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360" w:lineRule="auto"/>
        <w:jc w:val="center"/>
        <w:rPr>
          <w:rFonts w:hint="eastAsia" w:ascii="宋体" w:hAnsi="宋体" w:eastAsia="宋体" w:cs="宋体"/>
          <w:b/>
          <w:kern w:val="2"/>
          <w:sz w:val="72"/>
          <w:szCs w:val="72"/>
          <w:lang w:eastAsia="zh-CN"/>
        </w:rPr>
      </w:pPr>
      <w:r>
        <w:rPr>
          <w:rFonts w:hint="eastAsia"/>
          <w:b/>
          <w:kern w:val="2"/>
          <w:sz w:val="72"/>
          <w:szCs w:val="72"/>
          <w:lang w:eastAsia="zh-CN"/>
        </w:rPr>
        <w:t>西藏自治区房屋建筑和市政工程招标项目</w:t>
      </w:r>
      <w:r>
        <w:rPr>
          <w:rFonts w:hint="eastAsia" w:ascii="宋体" w:hAnsi="宋体" w:eastAsia="宋体" w:cs="宋体"/>
          <w:b/>
          <w:kern w:val="2"/>
          <w:sz w:val="72"/>
          <w:szCs w:val="72"/>
          <w:lang w:eastAsia="zh-CN"/>
        </w:rPr>
        <w:t>标准</w:t>
      </w:r>
      <w:r>
        <w:rPr>
          <w:rFonts w:hint="eastAsia" w:ascii="宋体" w:hAnsi="宋体" w:eastAsia="宋体" w:cs="宋体"/>
          <w:b/>
          <w:kern w:val="2"/>
          <w:sz w:val="72"/>
          <w:szCs w:val="72"/>
          <w:lang w:val="en-US" w:eastAsia="zh-CN"/>
        </w:rPr>
        <w:t>园林绿化</w:t>
      </w:r>
      <w:r>
        <w:rPr>
          <w:rFonts w:hint="eastAsia" w:ascii="宋体" w:hAnsi="宋体" w:eastAsia="宋体" w:cs="宋体"/>
          <w:b/>
          <w:kern w:val="2"/>
          <w:sz w:val="72"/>
          <w:szCs w:val="72"/>
          <w:lang w:eastAsia="zh-CN"/>
        </w:rPr>
        <w:t>招标文件</w:t>
      </w:r>
    </w:p>
    <w:p>
      <w:pPr>
        <w:autoSpaceDE/>
        <w:autoSpaceDN/>
        <w:spacing w:line="360" w:lineRule="auto"/>
        <w:jc w:val="center"/>
        <w:rPr>
          <w:sz w:val="48"/>
          <w:lang w:eastAsia="zh-CN"/>
        </w:rPr>
      </w:pPr>
    </w:p>
    <w:p>
      <w:pPr>
        <w:autoSpaceDE/>
        <w:autoSpaceDN/>
        <w:spacing w:line="360" w:lineRule="auto"/>
        <w:jc w:val="center"/>
        <w:rPr>
          <w:sz w:val="48"/>
          <w:lang w:eastAsia="zh-CN"/>
        </w:rPr>
      </w:pPr>
    </w:p>
    <w:p>
      <w:pPr>
        <w:autoSpaceDE/>
        <w:autoSpaceDN/>
        <w:spacing w:line="360" w:lineRule="auto"/>
        <w:jc w:val="center"/>
        <w:rPr>
          <w:sz w:val="48"/>
          <w:lang w:eastAsia="zh-CN"/>
        </w:rPr>
      </w:pPr>
    </w:p>
    <w:p>
      <w:pPr>
        <w:autoSpaceDE/>
        <w:autoSpaceDN/>
        <w:spacing w:line="360" w:lineRule="auto"/>
        <w:jc w:val="center"/>
        <w:rPr>
          <w:sz w:val="48"/>
          <w:lang w:eastAsia="zh-CN"/>
        </w:rPr>
      </w:pPr>
    </w:p>
    <w:p>
      <w:pPr>
        <w:autoSpaceDE/>
        <w:autoSpaceDN/>
        <w:spacing w:line="360" w:lineRule="auto"/>
        <w:jc w:val="center"/>
        <w:rPr>
          <w:sz w:val="48"/>
          <w:lang w:eastAsia="zh-CN"/>
        </w:rPr>
      </w:pPr>
    </w:p>
    <w:p>
      <w:pPr>
        <w:autoSpaceDE/>
        <w:autoSpaceDN/>
        <w:spacing w:line="360" w:lineRule="auto"/>
        <w:jc w:val="center"/>
        <w:rPr>
          <w:sz w:val="48"/>
          <w:lang w:eastAsia="zh-CN"/>
        </w:rPr>
      </w:pPr>
    </w:p>
    <w:p>
      <w:pPr>
        <w:ind w:right="245"/>
        <w:jc w:val="center"/>
        <w:rPr>
          <w:rFonts w:asciiTheme="minorEastAsia" w:hAnsiTheme="minorEastAsia" w:eastAsiaTheme="minorEastAsia"/>
          <w:b/>
          <w:sz w:val="52"/>
          <w:lang w:eastAsia="zh-CN"/>
        </w:rPr>
      </w:pPr>
      <w:r>
        <w:rPr>
          <w:rFonts w:asciiTheme="minorEastAsia" w:hAnsiTheme="minorEastAsia" w:eastAsiaTheme="minorEastAsia"/>
          <w:b/>
          <w:w w:val="95"/>
          <w:sz w:val="52"/>
          <w:lang w:eastAsia="zh-CN"/>
        </w:rPr>
        <w:t>西藏自治区住房与城乡建设厅</w:t>
      </w:r>
    </w:p>
    <w:p>
      <w:pPr>
        <w:jc w:val="center"/>
        <w:rPr>
          <w:rFonts w:asciiTheme="minorEastAsia" w:hAnsiTheme="minorEastAsia" w:eastAsiaTheme="minorEastAsia"/>
          <w:sz w:val="52"/>
          <w:lang w:eastAsia="zh-CN"/>
        </w:rPr>
        <w:sectPr>
          <w:headerReference r:id="rId3" w:type="default"/>
          <w:footerReference r:id="rId4" w:type="default"/>
          <w:type w:val="continuous"/>
          <w:pgSz w:w="11910" w:h="16840"/>
          <w:pgMar w:top="1361" w:right="1361" w:bottom="1361" w:left="1361" w:header="720" w:footer="1089" w:gutter="0"/>
          <w:pgNumType w:start="1"/>
          <w:cols w:space="720" w:num="1"/>
        </w:sectPr>
      </w:pPr>
    </w:p>
    <w:p>
      <w:pPr>
        <w:autoSpaceDE/>
        <w:autoSpaceDN/>
        <w:spacing w:line="360" w:lineRule="auto"/>
        <w:jc w:val="center"/>
        <w:rPr>
          <w:sz w:val="48"/>
          <w:lang w:eastAsia="zh-CN"/>
        </w:rPr>
      </w:pPr>
    </w:p>
    <w:p>
      <w:pPr>
        <w:autoSpaceDE/>
        <w:autoSpaceDN/>
        <w:spacing w:line="360" w:lineRule="auto"/>
        <w:jc w:val="center"/>
        <w:rPr>
          <w:sz w:val="48"/>
          <w:lang w:eastAsia="zh-CN"/>
        </w:rPr>
        <w:sectPr>
          <w:footerReference r:id="rId5" w:type="default"/>
          <w:type w:val="continuous"/>
          <w:pgSz w:w="11910" w:h="16840"/>
          <w:pgMar w:top="1361" w:right="1361" w:bottom="1361" w:left="1361" w:header="720" w:footer="992" w:gutter="0"/>
          <w:pgNumType w:start="1"/>
          <w:cols w:space="720" w:num="1"/>
          <w:rtlGutter w:val="0"/>
          <w:docGrid w:linePitch="0" w:charSpace="0"/>
        </w:sectPr>
      </w:pPr>
      <w:r>
        <w:rPr>
          <w:sz w:val="48"/>
          <w:lang w:eastAsia="zh-CN"/>
        </w:rPr>
        <w:t>2022</w:t>
      </w:r>
      <w:r>
        <w:rPr>
          <w:rFonts w:hint="eastAsia"/>
          <w:sz w:val="48"/>
          <w:lang w:eastAsia="zh-CN"/>
        </w:rPr>
        <w:t>年</w:t>
      </w:r>
      <w:r>
        <w:rPr>
          <w:sz w:val="48"/>
          <w:lang w:eastAsia="zh-CN"/>
        </w:rPr>
        <w:t>8</w:t>
      </w:r>
      <w:r>
        <w:rPr>
          <w:rFonts w:hint="eastAsia"/>
          <w:sz w:val="48"/>
          <w:lang w:eastAsia="zh-CN"/>
        </w:rPr>
        <w:t>月</w:t>
      </w:r>
    </w:p>
    <w:p>
      <w:pPr>
        <w:rPr>
          <w:lang w:eastAsia="zh-CN"/>
        </w:rPr>
      </w:pPr>
    </w:p>
    <w:p>
      <w:pPr>
        <w:tabs>
          <w:tab w:val="left" w:pos="4161"/>
        </w:tabs>
        <w:ind w:right="735"/>
        <w:jc w:val="center"/>
        <w:rPr>
          <w:rFonts w:hint="eastAsia" w:ascii="宋体" w:hAnsi="宋体" w:eastAsia="宋体" w:cs="宋体"/>
          <w:b/>
          <w:kern w:val="2"/>
          <w:sz w:val="28"/>
          <w:szCs w:val="28"/>
          <w:lang w:eastAsia="zh-CN"/>
        </w:rPr>
      </w:pPr>
    </w:p>
    <w:p>
      <w:pPr>
        <w:jc w:val="center"/>
        <w:rPr>
          <w:rFonts w:hint="default"/>
          <w:b/>
          <w:lang w:val="en-US" w:eastAsia="zh-CN"/>
        </w:rPr>
      </w:pPr>
      <w:r>
        <w:rPr>
          <w:rFonts w:hint="eastAsia"/>
          <w:b/>
          <w:u w:val="single"/>
          <w:lang w:val="en-US" w:eastAsia="zh-CN"/>
        </w:rPr>
        <w:t xml:space="preserve">                   </w:t>
      </w:r>
      <w:r>
        <w:rPr>
          <w:b/>
          <w:lang w:eastAsia="zh-CN"/>
        </w:rPr>
        <w:t>（</w:t>
      </w:r>
      <w:r>
        <w:rPr>
          <w:rFonts w:hint="eastAsia" w:ascii="宋体" w:hAnsi="宋体" w:eastAsia="宋体" w:cs="宋体"/>
          <w:b/>
          <w:kern w:val="2"/>
          <w:sz w:val="28"/>
          <w:szCs w:val="28"/>
          <w:lang w:eastAsia="zh-CN"/>
        </w:rPr>
        <w:t>项目名称</w:t>
      </w:r>
      <w:r>
        <w:rPr>
          <w:b/>
          <w:lang w:eastAsia="zh-CN"/>
        </w:rPr>
        <w:t>）</w:t>
      </w:r>
      <w:r>
        <w:rPr>
          <w:rFonts w:hint="eastAsia"/>
          <w:b/>
          <w:u w:val="single"/>
          <w:lang w:val="en-US" w:eastAsia="zh-CN"/>
        </w:rPr>
        <w:t xml:space="preserve">                </w:t>
      </w:r>
      <w:r>
        <w:rPr>
          <w:rFonts w:hint="eastAsia" w:ascii="宋体" w:hAnsi="宋体" w:eastAsia="宋体" w:cs="宋体"/>
          <w:b/>
          <w:kern w:val="2"/>
          <w:sz w:val="28"/>
          <w:szCs w:val="28"/>
          <w:lang w:eastAsia="zh-CN"/>
        </w:rPr>
        <w:t>（标段）</w:t>
      </w:r>
      <w:r>
        <w:rPr>
          <w:rFonts w:hint="eastAsia" w:ascii="宋体" w:hAnsi="宋体" w:eastAsia="宋体" w:cs="宋体"/>
          <w:b/>
          <w:kern w:val="2"/>
          <w:sz w:val="28"/>
          <w:szCs w:val="28"/>
          <w:lang w:val="en-US" w:eastAsia="zh-CN"/>
        </w:rPr>
        <w:t>园林绿化</w:t>
      </w:r>
    </w:p>
    <w:p>
      <w:pPr>
        <w:rPr>
          <w:lang w:eastAsia="zh-CN"/>
        </w:rPr>
      </w:pPr>
    </w:p>
    <w:p>
      <w:pPr>
        <w:pStyle w:val="18"/>
        <w:spacing w:before="2"/>
        <w:rPr>
          <w:rFonts w:asciiTheme="minorEastAsia" w:hAnsiTheme="minorEastAsia" w:eastAsiaTheme="minorEastAsia"/>
          <w:b/>
          <w:sz w:val="31"/>
          <w:lang w:eastAsia="zh-CN"/>
        </w:rPr>
      </w:pPr>
    </w:p>
    <w:p>
      <w:pPr>
        <w:tabs>
          <w:tab w:val="left" w:pos="4161"/>
        </w:tabs>
        <w:ind w:right="735"/>
        <w:jc w:val="center"/>
        <w:rPr>
          <w:rFonts w:asciiTheme="minorEastAsia" w:hAnsiTheme="minorEastAsia" w:eastAsiaTheme="minorEastAsia"/>
          <w:b/>
          <w:sz w:val="32"/>
          <w:lang w:eastAsia="zh-CN"/>
        </w:rPr>
      </w:pPr>
      <w:r>
        <w:rPr>
          <w:rFonts w:hint="eastAsia" w:ascii="宋体" w:hAnsi="宋体" w:eastAsia="宋体" w:cs="宋体"/>
          <w:b/>
          <w:kern w:val="2"/>
          <w:sz w:val="28"/>
          <w:szCs w:val="28"/>
          <w:lang w:eastAsia="zh-CN"/>
        </w:rPr>
        <w:t>（招标编号：</w:t>
      </w:r>
      <w:r>
        <w:rPr>
          <w:rFonts w:asciiTheme="minorEastAsia" w:hAnsiTheme="minorEastAsia" w:eastAsiaTheme="minorEastAsia"/>
          <w:b/>
          <w:sz w:val="32"/>
          <w:u w:val="single"/>
          <w:lang w:eastAsia="zh-CN"/>
        </w:rPr>
        <w:tab/>
      </w:r>
      <w:r>
        <w:rPr>
          <w:rFonts w:hint="eastAsia" w:ascii="宋体" w:hAnsi="宋体" w:eastAsia="宋体" w:cs="宋体"/>
          <w:b/>
          <w:kern w:val="2"/>
          <w:sz w:val="28"/>
          <w:szCs w:val="28"/>
          <w:lang w:eastAsia="zh-CN"/>
        </w:rPr>
        <w:t>）</w:t>
      </w:r>
    </w:p>
    <w:p>
      <w:pPr>
        <w:pStyle w:val="18"/>
        <w:rPr>
          <w:rFonts w:asciiTheme="minorEastAsia" w:hAnsiTheme="minorEastAsia" w:eastAsiaTheme="minorEastAsia"/>
          <w:sz w:val="34"/>
          <w:lang w:eastAsia="zh-CN"/>
        </w:rPr>
      </w:pPr>
    </w:p>
    <w:p>
      <w:pPr>
        <w:pStyle w:val="18"/>
        <w:rPr>
          <w:rFonts w:asciiTheme="minorEastAsia" w:hAnsiTheme="minorEastAsia" w:eastAsiaTheme="minorEastAsia"/>
          <w:sz w:val="34"/>
          <w:lang w:eastAsia="zh-CN"/>
        </w:rPr>
      </w:pPr>
    </w:p>
    <w:p>
      <w:pPr>
        <w:pStyle w:val="18"/>
        <w:rPr>
          <w:rFonts w:asciiTheme="minorEastAsia" w:hAnsiTheme="minorEastAsia" w:eastAsiaTheme="minorEastAsia"/>
          <w:sz w:val="34"/>
          <w:lang w:eastAsia="zh-CN"/>
        </w:rPr>
      </w:pPr>
    </w:p>
    <w:p>
      <w:pPr>
        <w:pStyle w:val="18"/>
        <w:rPr>
          <w:rFonts w:asciiTheme="minorEastAsia" w:hAnsiTheme="minorEastAsia" w:eastAsiaTheme="minorEastAsia"/>
          <w:sz w:val="34"/>
          <w:lang w:eastAsia="zh-CN"/>
        </w:rPr>
      </w:pPr>
    </w:p>
    <w:p>
      <w:pPr>
        <w:pStyle w:val="18"/>
        <w:spacing w:before="3"/>
        <w:rPr>
          <w:rFonts w:asciiTheme="minorEastAsia" w:hAnsiTheme="minorEastAsia" w:eastAsiaTheme="minorEastAsia"/>
          <w:sz w:val="26"/>
          <w:lang w:eastAsia="zh-CN"/>
        </w:rPr>
      </w:pPr>
    </w:p>
    <w:p>
      <w:pPr>
        <w:widowControl/>
        <w:autoSpaceDE/>
        <w:autoSpaceDN/>
        <w:spacing w:line="360" w:lineRule="auto"/>
        <w:jc w:val="center"/>
        <w:rPr>
          <w:rFonts w:hint="eastAsia" w:ascii="宋体" w:hAnsi="宋体" w:eastAsia="宋体" w:cs="宋体"/>
          <w:b/>
          <w:kern w:val="0"/>
          <w:sz w:val="52"/>
          <w:szCs w:val="20"/>
          <w:lang w:eastAsia="zh-CN"/>
        </w:rPr>
      </w:pPr>
      <w:r>
        <w:rPr>
          <w:rFonts w:hint="eastAsia" w:ascii="宋体" w:hAnsi="宋体" w:eastAsia="宋体" w:cs="宋体"/>
          <w:b/>
          <w:kern w:val="0"/>
          <w:sz w:val="52"/>
          <w:szCs w:val="20"/>
          <w:lang w:eastAsia="zh-CN"/>
        </w:rPr>
        <w:t>招标文件</w:t>
      </w:r>
    </w:p>
    <w:p>
      <w:pPr>
        <w:pStyle w:val="18"/>
        <w:rPr>
          <w:rFonts w:asciiTheme="minorEastAsia" w:hAnsiTheme="minorEastAsia" w:eastAsiaTheme="minorEastAsia"/>
          <w:sz w:val="32"/>
          <w:lang w:eastAsia="zh-CN"/>
        </w:rPr>
      </w:pPr>
    </w:p>
    <w:p>
      <w:pPr>
        <w:pStyle w:val="18"/>
        <w:rPr>
          <w:rFonts w:asciiTheme="minorEastAsia" w:hAnsiTheme="minorEastAsia" w:eastAsiaTheme="minorEastAsia"/>
          <w:sz w:val="32"/>
          <w:lang w:eastAsia="zh-CN"/>
        </w:rPr>
      </w:pPr>
    </w:p>
    <w:p>
      <w:pPr>
        <w:pStyle w:val="18"/>
        <w:rPr>
          <w:rFonts w:asciiTheme="minorEastAsia" w:hAnsiTheme="minorEastAsia" w:eastAsiaTheme="minorEastAsia"/>
          <w:sz w:val="32"/>
          <w:lang w:eastAsia="zh-CN"/>
        </w:rPr>
      </w:pPr>
    </w:p>
    <w:p>
      <w:pPr>
        <w:pStyle w:val="18"/>
        <w:rPr>
          <w:rFonts w:asciiTheme="minorEastAsia" w:hAnsiTheme="minorEastAsia" w:eastAsiaTheme="minorEastAsia"/>
          <w:sz w:val="32"/>
          <w:lang w:eastAsia="zh-CN"/>
        </w:rPr>
      </w:pPr>
    </w:p>
    <w:p>
      <w:pPr>
        <w:pStyle w:val="18"/>
        <w:rPr>
          <w:rFonts w:asciiTheme="minorEastAsia" w:hAnsiTheme="minorEastAsia" w:eastAsiaTheme="minorEastAsia"/>
          <w:sz w:val="32"/>
          <w:lang w:eastAsia="zh-CN"/>
        </w:rPr>
      </w:pPr>
    </w:p>
    <w:p>
      <w:pPr>
        <w:pStyle w:val="18"/>
        <w:rPr>
          <w:rFonts w:asciiTheme="minorEastAsia" w:hAnsiTheme="minorEastAsia" w:eastAsiaTheme="minorEastAsia"/>
          <w:sz w:val="32"/>
          <w:lang w:eastAsia="zh-CN"/>
        </w:rPr>
      </w:pPr>
    </w:p>
    <w:p>
      <w:pPr>
        <w:pStyle w:val="18"/>
        <w:rPr>
          <w:rFonts w:asciiTheme="minorEastAsia" w:hAnsiTheme="minorEastAsia" w:eastAsiaTheme="minorEastAsia"/>
          <w:sz w:val="32"/>
          <w:lang w:eastAsia="zh-CN"/>
        </w:rPr>
      </w:pPr>
    </w:p>
    <w:p>
      <w:pPr>
        <w:pStyle w:val="18"/>
        <w:rPr>
          <w:rFonts w:asciiTheme="minorEastAsia" w:hAnsiTheme="minorEastAsia" w:eastAsiaTheme="minorEastAsia"/>
          <w:sz w:val="32"/>
          <w:lang w:eastAsia="zh-CN"/>
        </w:rPr>
      </w:pPr>
    </w:p>
    <w:p>
      <w:pPr>
        <w:pStyle w:val="18"/>
        <w:rPr>
          <w:rFonts w:asciiTheme="minorEastAsia" w:hAnsiTheme="minorEastAsia" w:eastAsiaTheme="minorEastAsia"/>
          <w:sz w:val="32"/>
          <w:lang w:eastAsia="zh-CN"/>
        </w:rPr>
      </w:pPr>
    </w:p>
    <w:p>
      <w:pPr>
        <w:pStyle w:val="18"/>
        <w:rPr>
          <w:rFonts w:asciiTheme="minorEastAsia" w:hAnsiTheme="minorEastAsia" w:eastAsiaTheme="minorEastAsia"/>
          <w:sz w:val="32"/>
          <w:lang w:eastAsia="zh-CN"/>
        </w:rPr>
      </w:pPr>
    </w:p>
    <w:p>
      <w:pPr>
        <w:pStyle w:val="18"/>
        <w:spacing w:before="8"/>
        <w:rPr>
          <w:rFonts w:asciiTheme="minorEastAsia" w:hAnsiTheme="minorEastAsia" w:eastAsiaTheme="minorEastAsia"/>
          <w:sz w:val="36"/>
          <w:lang w:eastAsia="zh-CN"/>
        </w:rPr>
      </w:pPr>
    </w:p>
    <w:p>
      <w:pPr>
        <w:tabs>
          <w:tab w:val="left" w:pos="3520"/>
        </w:tabs>
        <w:ind w:right="730"/>
        <w:jc w:val="center"/>
        <w:rPr>
          <w:rFonts w:asciiTheme="minorEastAsia" w:hAnsiTheme="minorEastAsia" w:eastAsiaTheme="minorEastAsia"/>
          <w:sz w:val="32"/>
          <w:lang w:eastAsia="zh-CN"/>
        </w:rPr>
      </w:pPr>
      <w:r>
        <w:rPr>
          <w:rFonts w:hint="eastAsia" w:ascii="宋体" w:hAnsi="宋体" w:eastAsia="宋体" w:cs="宋体"/>
          <w:b w:val="0"/>
          <w:bCs/>
          <w:kern w:val="2"/>
          <w:sz w:val="28"/>
          <w:szCs w:val="28"/>
          <w:lang w:eastAsia="zh-CN"/>
        </w:rPr>
        <w:t>招标人：</w:t>
      </w:r>
      <w:r>
        <w:rPr>
          <w:rFonts w:asciiTheme="minorEastAsia" w:hAnsiTheme="minorEastAsia" w:eastAsiaTheme="minorEastAsia"/>
          <w:sz w:val="32"/>
          <w:u w:val="single"/>
          <w:lang w:eastAsia="zh-CN"/>
        </w:rPr>
        <w:tab/>
      </w:r>
      <w:r>
        <w:rPr>
          <w:rFonts w:asciiTheme="minorEastAsia" w:hAnsiTheme="minorEastAsia" w:eastAsiaTheme="minorEastAsia"/>
          <w:b/>
          <w:bCs/>
          <w:sz w:val="32"/>
          <w:lang w:eastAsia="zh-CN"/>
        </w:rPr>
        <w:t>（</w:t>
      </w:r>
      <w:r>
        <w:rPr>
          <w:rFonts w:hint="eastAsia" w:ascii="宋体" w:hAnsi="宋体" w:eastAsia="宋体" w:cs="宋体"/>
          <w:b/>
          <w:bCs/>
          <w:kern w:val="2"/>
          <w:sz w:val="28"/>
          <w:szCs w:val="28"/>
          <w:lang w:eastAsia="zh-CN"/>
        </w:rPr>
        <w:t>盖单位章）</w:t>
      </w:r>
    </w:p>
    <w:p>
      <w:pPr>
        <w:tabs>
          <w:tab w:val="left" w:pos="4480"/>
        </w:tabs>
        <w:spacing w:before="214"/>
        <w:ind w:right="730"/>
        <w:jc w:val="center"/>
        <w:rPr>
          <w:rFonts w:asciiTheme="minorEastAsia" w:hAnsiTheme="minorEastAsia" w:eastAsiaTheme="minorEastAsia"/>
          <w:sz w:val="32"/>
          <w:lang w:eastAsia="zh-CN"/>
        </w:rPr>
      </w:pPr>
      <w:r>
        <w:rPr>
          <w:rFonts w:hint="eastAsia" w:ascii="宋体" w:hAnsi="宋体" w:eastAsia="宋体" w:cs="宋体"/>
          <w:b w:val="0"/>
          <w:bCs/>
          <w:kern w:val="2"/>
          <w:sz w:val="28"/>
          <w:szCs w:val="28"/>
          <w:lang w:eastAsia="zh-CN"/>
        </w:rPr>
        <w:t>招标代理机构：</w:t>
      </w:r>
      <w:r>
        <w:rPr>
          <w:rFonts w:asciiTheme="minorEastAsia" w:hAnsiTheme="minorEastAsia" w:eastAsiaTheme="minorEastAsia"/>
          <w:sz w:val="32"/>
          <w:u w:val="single"/>
          <w:lang w:eastAsia="zh-CN"/>
        </w:rPr>
        <w:tab/>
      </w:r>
      <w:r>
        <w:rPr>
          <w:rFonts w:asciiTheme="minorEastAsia" w:hAnsiTheme="minorEastAsia" w:eastAsiaTheme="minorEastAsia"/>
          <w:b/>
          <w:bCs/>
          <w:sz w:val="32"/>
          <w:lang w:eastAsia="zh-CN"/>
        </w:rPr>
        <w:t>（</w:t>
      </w:r>
      <w:r>
        <w:rPr>
          <w:rFonts w:hint="eastAsia" w:ascii="宋体" w:hAnsi="宋体" w:eastAsia="宋体" w:cs="宋体"/>
          <w:b/>
          <w:bCs/>
          <w:kern w:val="2"/>
          <w:sz w:val="28"/>
          <w:szCs w:val="28"/>
          <w:lang w:eastAsia="zh-CN"/>
        </w:rPr>
        <w:t>盖单位章）</w:t>
      </w:r>
    </w:p>
    <w:p>
      <w:pPr>
        <w:pStyle w:val="18"/>
        <w:rPr>
          <w:rFonts w:asciiTheme="minorEastAsia" w:hAnsiTheme="minorEastAsia" w:eastAsiaTheme="minorEastAsia"/>
          <w:sz w:val="20"/>
          <w:lang w:eastAsia="zh-CN"/>
        </w:rPr>
      </w:pPr>
    </w:p>
    <w:p>
      <w:pPr>
        <w:pStyle w:val="18"/>
        <w:rPr>
          <w:rFonts w:asciiTheme="minorEastAsia" w:hAnsiTheme="minorEastAsia" w:eastAsiaTheme="minorEastAsia"/>
          <w:sz w:val="20"/>
          <w:lang w:eastAsia="zh-CN"/>
        </w:rPr>
      </w:pPr>
    </w:p>
    <w:p>
      <w:pPr>
        <w:pStyle w:val="18"/>
        <w:rPr>
          <w:rFonts w:asciiTheme="minorEastAsia" w:hAnsiTheme="minorEastAsia" w:eastAsiaTheme="minorEastAsia"/>
          <w:sz w:val="21"/>
          <w:u w:val="single"/>
          <w:lang w:eastAsia="zh-CN"/>
        </w:rPr>
      </w:pPr>
    </w:p>
    <w:p>
      <w:pPr>
        <w:tabs>
          <w:tab w:val="left" w:pos="4480"/>
        </w:tabs>
        <w:spacing w:before="214"/>
        <w:ind w:right="730"/>
        <w:jc w:val="center"/>
        <w:rPr>
          <w:rFonts w:hint="eastAsia" w:ascii="宋体" w:hAnsi="宋体" w:eastAsia="宋体" w:cs="宋体"/>
          <w:b w:val="0"/>
          <w:bCs/>
          <w:kern w:val="2"/>
          <w:sz w:val="28"/>
          <w:szCs w:val="28"/>
          <w:lang w:eastAsia="zh-CN"/>
        </w:rPr>
      </w:pPr>
      <w:r>
        <w:rPr>
          <w:rFonts w:hint="eastAsia" w:ascii="宋体" w:hAnsi="宋体" w:eastAsia="宋体" w:cs="宋体"/>
          <w:b w:val="0"/>
          <w:bCs/>
          <w:kern w:val="2"/>
          <w:sz w:val="28"/>
          <w:szCs w:val="28"/>
          <w:lang w:eastAsia="zh-CN"/>
        </w:rPr>
        <w:t xml:space="preserve">    </w:t>
      </w:r>
      <w:r>
        <w:rPr>
          <w:rFonts w:hint="eastAsia" w:ascii="宋体" w:hAnsi="宋体" w:eastAsia="宋体" w:cs="宋体"/>
          <w:b w:val="0"/>
          <w:bCs/>
          <w:kern w:val="2"/>
          <w:sz w:val="28"/>
          <w:szCs w:val="28"/>
          <w:lang w:val="en-US" w:eastAsia="zh-CN"/>
        </w:rPr>
        <w:t xml:space="preserve">           </w:t>
      </w:r>
      <w:r>
        <w:rPr>
          <w:rFonts w:hint="eastAsia" w:ascii="宋体" w:hAnsi="宋体" w:eastAsia="宋体" w:cs="宋体"/>
          <w:b w:val="0"/>
          <w:bCs/>
          <w:kern w:val="2"/>
          <w:sz w:val="28"/>
          <w:szCs w:val="28"/>
          <w:lang w:eastAsia="zh-CN"/>
        </w:rPr>
        <w:t xml:space="preserve"> </w:t>
      </w:r>
      <w:r>
        <w:rPr>
          <w:rFonts w:hint="eastAsia" w:ascii="宋体" w:hAnsi="宋体" w:eastAsia="宋体" w:cs="宋体"/>
          <w:b w:val="0"/>
          <w:bCs/>
          <w:kern w:val="2"/>
          <w:sz w:val="28"/>
          <w:szCs w:val="28"/>
          <w:u w:val="single"/>
          <w:lang w:val="en-US" w:eastAsia="zh-CN"/>
        </w:rPr>
        <w:t xml:space="preserve">    </w:t>
      </w:r>
      <w:r>
        <w:rPr>
          <w:rFonts w:hint="eastAsia" w:ascii="宋体" w:hAnsi="宋体" w:eastAsia="宋体" w:cs="宋体"/>
          <w:b w:val="0"/>
          <w:bCs/>
          <w:kern w:val="2"/>
          <w:sz w:val="28"/>
          <w:szCs w:val="28"/>
          <w:lang w:eastAsia="zh-CN"/>
        </w:rPr>
        <w:t>年</w:t>
      </w:r>
      <w:r>
        <w:rPr>
          <w:rFonts w:hint="eastAsia" w:ascii="宋体" w:hAnsi="宋体" w:eastAsia="宋体" w:cs="宋体"/>
          <w:b w:val="0"/>
          <w:bCs/>
          <w:kern w:val="2"/>
          <w:sz w:val="28"/>
          <w:szCs w:val="28"/>
          <w:u w:val="single"/>
          <w:lang w:val="en-US" w:eastAsia="zh-CN"/>
        </w:rPr>
        <w:t xml:space="preserve">     </w:t>
      </w:r>
      <w:r>
        <w:rPr>
          <w:rFonts w:hint="eastAsia" w:ascii="宋体" w:hAnsi="宋体" w:eastAsia="宋体" w:cs="宋体"/>
          <w:b w:val="0"/>
          <w:bCs/>
          <w:kern w:val="2"/>
          <w:sz w:val="28"/>
          <w:szCs w:val="28"/>
          <w:lang w:eastAsia="zh-CN"/>
        </w:rPr>
        <w:t xml:space="preserve"> 月</w:t>
      </w:r>
      <w:r>
        <w:rPr>
          <w:rFonts w:hint="eastAsia" w:ascii="宋体" w:hAnsi="宋体" w:eastAsia="宋体" w:cs="宋体"/>
          <w:b w:val="0"/>
          <w:bCs/>
          <w:kern w:val="2"/>
          <w:sz w:val="28"/>
          <w:szCs w:val="28"/>
          <w:u w:val="single"/>
          <w:lang w:val="en-US" w:eastAsia="zh-CN"/>
        </w:rPr>
        <w:t xml:space="preserve">     </w:t>
      </w:r>
      <w:r>
        <w:rPr>
          <w:rFonts w:hint="eastAsia" w:ascii="宋体" w:hAnsi="宋体" w:eastAsia="宋体" w:cs="宋体"/>
          <w:b w:val="0"/>
          <w:bCs/>
          <w:kern w:val="2"/>
          <w:sz w:val="28"/>
          <w:szCs w:val="28"/>
          <w:lang w:eastAsia="zh-CN"/>
        </w:rPr>
        <w:t xml:space="preserve"> 日</w:t>
      </w:r>
    </w:p>
    <w:p>
      <w:pPr>
        <w:tabs>
          <w:tab w:val="left" w:pos="4480"/>
        </w:tabs>
        <w:spacing w:before="214"/>
        <w:ind w:right="730"/>
        <w:jc w:val="center"/>
        <w:rPr>
          <w:rFonts w:hint="eastAsia" w:ascii="宋体" w:hAnsi="宋体" w:eastAsia="宋体" w:cs="宋体"/>
          <w:b w:val="0"/>
          <w:bCs/>
          <w:kern w:val="2"/>
          <w:sz w:val="28"/>
          <w:szCs w:val="28"/>
          <w:lang w:eastAsia="zh-CN"/>
        </w:rPr>
        <w:sectPr>
          <w:headerReference r:id="rId6" w:type="default"/>
          <w:footerReference r:id="rId7" w:type="default"/>
          <w:pgSz w:w="11910" w:h="16840"/>
          <w:pgMar w:top="1361" w:right="1361" w:bottom="1361" w:left="1361" w:header="0" w:footer="1086" w:gutter="0"/>
          <w:pgNumType w:start="1"/>
          <w:cols w:space="720" w:num="1"/>
        </w:sectPr>
      </w:pPr>
    </w:p>
    <w:p>
      <w:pPr>
        <w:pStyle w:val="146"/>
        <w:ind w:right="732"/>
        <w:jc w:val="center"/>
        <w:rPr>
          <w:rFonts w:asciiTheme="minorEastAsia" w:hAnsiTheme="minorEastAsia" w:eastAsiaTheme="minorEastAsia"/>
          <w:lang w:eastAsia="zh-CN"/>
        </w:rPr>
        <w:sectPr>
          <w:footerReference r:id="rId8" w:type="default"/>
          <w:type w:val="continuous"/>
          <w:pgSz w:w="11910" w:h="16840"/>
          <w:pgMar w:top="1361" w:right="1361" w:bottom="1361" w:left="1361" w:header="720" w:footer="720" w:gutter="0"/>
          <w:pgNumType w:start="1"/>
          <w:cols w:space="720" w:num="1"/>
        </w:sectPr>
      </w:pPr>
    </w:p>
    <w:p>
      <w:pPr>
        <w:spacing w:before="55" w:line="360" w:lineRule="auto"/>
        <w:ind w:right="936"/>
        <w:jc w:val="center"/>
        <w:rPr>
          <w:b/>
          <w:sz w:val="32"/>
          <w:szCs w:val="32"/>
        </w:rPr>
      </w:pPr>
      <w:r>
        <w:rPr>
          <w:rFonts w:hint="eastAsia"/>
          <w:b/>
          <w:sz w:val="32"/>
          <w:szCs w:val="32"/>
        </w:rPr>
        <w:t>使用说明</w:t>
      </w:r>
    </w:p>
    <w:p>
      <w:pPr>
        <w:pStyle w:val="5"/>
        <w:spacing w:line="360" w:lineRule="auto"/>
        <w:ind w:left="0" w:firstLine="561"/>
        <w:rPr>
          <w:rFonts w:ascii="宋体" w:cs="宋体"/>
          <w:sz w:val="24"/>
          <w:szCs w:val="24"/>
        </w:rPr>
      </w:pPr>
      <w:r>
        <w:rPr>
          <w:rFonts w:hint="eastAsia" w:ascii="宋体" w:hAnsi="宋体" w:cs="宋体"/>
          <w:spacing w:val="-13"/>
          <w:sz w:val="24"/>
          <w:szCs w:val="24"/>
        </w:rPr>
        <w:t>一、《西藏自治区园林绿化工程施工招标文件示范文本</w:t>
      </w:r>
      <w:r>
        <w:rPr>
          <w:rFonts w:ascii="宋体" w:hAnsi="宋体" w:cs="宋体"/>
          <w:spacing w:val="-13"/>
          <w:sz w:val="24"/>
          <w:szCs w:val="24"/>
        </w:rPr>
        <w:t>—</w:t>
      </w:r>
      <w:r>
        <w:rPr>
          <w:rFonts w:hint="eastAsia" w:ascii="宋体" w:hAnsi="宋体" w:cs="宋体"/>
          <w:spacing w:val="-13"/>
          <w:sz w:val="24"/>
          <w:szCs w:val="24"/>
        </w:rPr>
        <w:t>资格后审</w:t>
      </w:r>
      <w:r>
        <w:rPr>
          <w:rFonts w:hint="eastAsia" w:ascii="宋体" w:hAnsi="宋体" w:cs="宋体"/>
          <w:sz w:val="24"/>
          <w:szCs w:val="24"/>
        </w:rPr>
        <w:t>（电子化版</w:t>
      </w:r>
      <w:r>
        <w:rPr>
          <w:rFonts w:hint="eastAsia" w:ascii="宋体" w:hAnsi="宋体" w:cs="宋体"/>
          <w:spacing w:val="-140"/>
          <w:sz w:val="24"/>
          <w:szCs w:val="24"/>
        </w:rPr>
        <w:t>）</w:t>
      </w:r>
      <w:r>
        <w:rPr>
          <w:rFonts w:hint="eastAsia" w:ascii="宋体" w:hAnsi="宋体" w:cs="宋体"/>
          <w:spacing w:val="-137"/>
          <w:sz w:val="24"/>
          <w:szCs w:val="24"/>
        </w:rPr>
        <w:t>》</w:t>
      </w:r>
      <w:r>
        <w:rPr>
          <w:rFonts w:hint="eastAsia" w:ascii="宋体" w:hAnsi="宋体" w:cs="宋体"/>
          <w:sz w:val="24"/>
          <w:szCs w:val="24"/>
        </w:rPr>
        <w:t>（</w:t>
      </w:r>
      <w:r>
        <w:rPr>
          <w:rFonts w:hint="eastAsia" w:ascii="宋体" w:hAnsi="宋体" w:cs="宋体"/>
          <w:spacing w:val="-7"/>
          <w:sz w:val="24"/>
          <w:szCs w:val="24"/>
        </w:rPr>
        <w:t>以下简称《园林绿化工程施工招标文件示范文本</w:t>
      </w:r>
      <w:r>
        <w:rPr>
          <w:rFonts w:ascii="宋体" w:hAnsi="宋体" w:cs="宋体"/>
          <w:spacing w:val="-7"/>
          <w:sz w:val="24"/>
          <w:szCs w:val="24"/>
        </w:rPr>
        <w:t>—</w:t>
      </w:r>
      <w:r>
        <w:rPr>
          <w:rFonts w:hint="eastAsia" w:ascii="宋体" w:hAnsi="宋体" w:cs="宋体"/>
          <w:spacing w:val="-7"/>
          <w:sz w:val="24"/>
          <w:szCs w:val="24"/>
        </w:rPr>
        <w:t>资格后审》</w:t>
      </w:r>
      <w:r>
        <w:rPr>
          <w:rFonts w:hint="eastAsia" w:ascii="宋体" w:hAnsi="宋体" w:cs="宋体"/>
          <w:sz w:val="24"/>
          <w:szCs w:val="24"/>
        </w:rPr>
        <w:t>）</w:t>
      </w:r>
      <w:r>
        <w:rPr>
          <w:rFonts w:hint="eastAsia" w:ascii="宋体" w:hAnsi="宋体" w:cs="宋体"/>
          <w:spacing w:val="-3"/>
          <w:sz w:val="24"/>
          <w:szCs w:val="24"/>
        </w:rPr>
        <w:t>为满足园</w:t>
      </w:r>
      <w:r>
        <w:rPr>
          <w:rFonts w:hint="eastAsia" w:ascii="宋体" w:hAnsi="宋体" w:cs="宋体"/>
          <w:spacing w:val="-7"/>
          <w:sz w:val="24"/>
          <w:szCs w:val="24"/>
        </w:rPr>
        <w:t>林绿化工程建设工程施工招标需求而编写。招标人根据经审核合格的施</w:t>
      </w:r>
      <w:r>
        <w:rPr>
          <w:rFonts w:hint="eastAsia" w:ascii="宋体" w:hAnsi="宋体" w:cs="宋体"/>
          <w:spacing w:val="-8"/>
          <w:sz w:val="24"/>
          <w:szCs w:val="24"/>
        </w:rPr>
        <w:t>工图及施工图预算中的工程数量提出工程量清单；投标人按照施工图纸</w:t>
      </w:r>
      <w:r>
        <w:rPr>
          <w:rFonts w:hint="eastAsia" w:ascii="宋体" w:hAnsi="宋体" w:cs="宋体"/>
          <w:spacing w:val="-9"/>
          <w:sz w:val="24"/>
          <w:szCs w:val="24"/>
        </w:rPr>
        <w:t>与工程量清单进行报价，报价中不包含甲供材料设备费用，包含一定额</w:t>
      </w:r>
      <w:r>
        <w:rPr>
          <w:rFonts w:hint="eastAsia" w:ascii="宋体" w:hAnsi="宋体" w:cs="宋体"/>
          <w:spacing w:val="-6"/>
          <w:sz w:val="24"/>
          <w:szCs w:val="24"/>
        </w:rPr>
        <w:t>度的总承包风险费。</w:t>
      </w:r>
    </w:p>
    <w:p>
      <w:pPr>
        <w:pStyle w:val="5"/>
        <w:spacing w:line="360" w:lineRule="auto"/>
        <w:ind w:left="0" w:firstLine="561"/>
        <w:rPr>
          <w:rFonts w:ascii="宋体" w:cs="宋体"/>
          <w:sz w:val="24"/>
          <w:szCs w:val="24"/>
        </w:rPr>
      </w:pPr>
      <w:r>
        <w:rPr>
          <w:rFonts w:hint="eastAsia" w:ascii="宋体" w:hAnsi="宋体" w:cs="宋体"/>
          <w:spacing w:val="-13"/>
          <w:sz w:val="24"/>
          <w:szCs w:val="24"/>
        </w:rPr>
        <w:t>二、《园林绿化工程施工招标文件示范文本</w:t>
      </w:r>
      <w:r>
        <w:rPr>
          <w:rFonts w:ascii="宋体" w:hAnsi="宋体" w:cs="宋体"/>
          <w:spacing w:val="-13"/>
          <w:sz w:val="24"/>
          <w:szCs w:val="24"/>
        </w:rPr>
        <w:t>—</w:t>
      </w:r>
      <w:r>
        <w:rPr>
          <w:rFonts w:hint="eastAsia" w:ascii="宋体" w:hAnsi="宋体" w:cs="宋体"/>
          <w:spacing w:val="-13"/>
          <w:sz w:val="24"/>
          <w:szCs w:val="24"/>
        </w:rPr>
        <w:t>资格后审》根据国家发改委等九部</w:t>
      </w:r>
      <w:r>
        <w:rPr>
          <w:rFonts w:hint="eastAsia" w:ascii="宋体" w:hAnsi="宋体" w:cs="宋体"/>
          <w:spacing w:val="-25"/>
          <w:sz w:val="24"/>
          <w:szCs w:val="24"/>
        </w:rPr>
        <w:t>委令第</w:t>
      </w:r>
      <w:r>
        <w:rPr>
          <w:rFonts w:ascii="宋体" w:hAnsi="宋体" w:cs="宋体"/>
          <w:spacing w:val="-25"/>
          <w:sz w:val="24"/>
          <w:szCs w:val="24"/>
        </w:rPr>
        <w:t xml:space="preserve"> </w:t>
      </w:r>
      <w:r>
        <w:rPr>
          <w:rFonts w:ascii="宋体" w:hAnsi="宋体" w:cs="宋体"/>
          <w:sz w:val="24"/>
          <w:szCs w:val="24"/>
        </w:rPr>
        <w:t>56</w:t>
      </w:r>
      <w:r>
        <w:rPr>
          <w:rFonts w:ascii="宋体" w:hAnsi="宋体" w:cs="宋体"/>
          <w:spacing w:val="-19"/>
          <w:sz w:val="24"/>
          <w:szCs w:val="24"/>
        </w:rPr>
        <w:t xml:space="preserve"> </w:t>
      </w:r>
      <w:r>
        <w:rPr>
          <w:rFonts w:hint="eastAsia" w:ascii="宋体" w:hAnsi="宋体" w:cs="宋体"/>
          <w:spacing w:val="-19"/>
          <w:sz w:val="24"/>
          <w:szCs w:val="24"/>
        </w:rPr>
        <w:t>号《标准施工招标文件》，并结合园林行业规定及园林绿化工</w:t>
      </w:r>
      <w:r>
        <w:rPr>
          <w:rFonts w:hint="eastAsia" w:ascii="宋体" w:hAnsi="宋体" w:cs="宋体"/>
          <w:spacing w:val="-10"/>
          <w:sz w:val="24"/>
          <w:szCs w:val="24"/>
        </w:rPr>
        <w:t>程建设工程工程特点编写而成，其中“投标人须知</w:t>
      </w:r>
      <w:r>
        <w:rPr>
          <w:rFonts w:hint="eastAsia" w:ascii="宋体" w:hAnsi="宋体" w:cs="宋体"/>
          <w:spacing w:val="-34"/>
          <w:sz w:val="24"/>
          <w:szCs w:val="24"/>
        </w:rPr>
        <w:t>”“评标办法”“通用</w:t>
      </w:r>
      <w:r>
        <w:rPr>
          <w:rFonts w:hint="eastAsia" w:ascii="宋体" w:hAnsi="宋体" w:cs="宋体"/>
          <w:spacing w:val="-19"/>
          <w:sz w:val="24"/>
          <w:szCs w:val="24"/>
        </w:rPr>
        <w:t>合同条款”正文部分不加修改地引用国家发改委等九部委令第</w:t>
      </w:r>
      <w:r>
        <w:rPr>
          <w:rFonts w:ascii="宋体" w:hAnsi="宋体" w:cs="宋体"/>
          <w:spacing w:val="-19"/>
          <w:sz w:val="24"/>
          <w:szCs w:val="24"/>
        </w:rPr>
        <w:t xml:space="preserve"> </w:t>
      </w:r>
      <w:r>
        <w:rPr>
          <w:rFonts w:ascii="宋体" w:hAnsi="宋体" w:cs="宋体"/>
          <w:sz w:val="24"/>
          <w:szCs w:val="24"/>
        </w:rPr>
        <w:t>56</w:t>
      </w:r>
      <w:r>
        <w:rPr>
          <w:rFonts w:ascii="宋体" w:hAnsi="宋体" w:cs="宋体"/>
          <w:spacing w:val="-42"/>
          <w:sz w:val="24"/>
          <w:szCs w:val="24"/>
        </w:rPr>
        <w:t xml:space="preserve"> </w:t>
      </w:r>
      <w:r>
        <w:rPr>
          <w:rFonts w:hint="eastAsia" w:ascii="宋体" w:hAnsi="宋体" w:cs="宋体"/>
          <w:spacing w:val="-42"/>
          <w:sz w:val="24"/>
          <w:szCs w:val="24"/>
        </w:rPr>
        <w:t>号《标</w:t>
      </w:r>
      <w:r>
        <w:rPr>
          <w:rFonts w:hint="eastAsia" w:ascii="宋体" w:hAnsi="宋体" w:cs="宋体"/>
          <w:spacing w:val="-20"/>
          <w:sz w:val="24"/>
          <w:szCs w:val="24"/>
        </w:rPr>
        <w:t>准施工招标文件》对应的内容及格式；“投标人须知前附表”</w:t>
      </w:r>
      <w:r>
        <w:rPr>
          <w:rFonts w:hint="eastAsia" w:ascii="宋体" w:hAnsi="宋体" w:cs="宋体"/>
          <w:spacing w:val="-5"/>
          <w:sz w:val="24"/>
          <w:szCs w:val="24"/>
        </w:rPr>
        <w:t>“投标文</w:t>
      </w:r>
      <w:r>
        <w:rPr>
          <w:rFonts w:hint="eastAsia" w:ascii="宋体" w:hAnsi="宋体" w:cs="宋体"/>
          <w:spacing w:val="-4"/>
          <w:sz w:val="24"/>
          <w:szCs w:val="24"/>
        </w:rPr>
        <w:t>件格式”等内容根据园林行业特点，在国家发改委等九部委令第</w:t>
      </w:r>
      <w:r>
        <w:rPr>
          <w:rFonts w:ascii="宋体" w:hAnsi="宋体" w:cs="宋体"/>
          <w:spacing w:val="-4"/>
          <w:sz w:val="24"/>
          <w:szCs w:val="24"/>
        </w:rPr>
        <w:t xml:space="preserve"> </w:t>
      </w:r>
      <w:r>
        <w:rPr>
          <w:rFonts w:ascii="宋体" w:hAnsi="宋体" w:cs="宋体"/>
          <w:sz w:val="24"/>
          <w:szCs w:val="24"/>
        </w:rPr>
        <w:t>56</w:t>
      </w:r>
      <w:r>
        <w:rPr>
          <w:rFonts w:ascii="宋体" w:hAnsi="宋体" w:cs="宋体"/>
          <w:spacing w:val="-11"/>
          <w:sz w:val="24"/>
          <w:szCs w:val="24"/>
        </w:rPr>
        <w:t xml:space="preserve"> </w:t>
      </w:r>
      <w:r>
        <w:rPr>
          <w:rFonts w:hint="eastAsia" w:ascii="宋体" w:hAnsi="宋体" w:cs="宋体"/>
          <w:spacing w:val="-11"/>
          <w:sz w:val="24"/>
          <w:szCs w:val="24"/>
        </w:rPr>
        <w:t>号</w:t>
      </w:r>
      <w:r>
        <w:rPr>
          <w:rFonts w:hint="eastAsia" w:ascii="宋体" w:hAnsi="宋体" w:cs="宋体"/>
          <w:sz w:val="24"/>
          <w:szCs w:val="24"/>
        </w:rPr>
        <w:t>《标准施工招标文件》的基础上进行了完善和细化，并补充了相应附表或附件。</w:t>
      </w:r>
    </w:p>
    <w:p>
      <w:pPr>
        <w:pStyle w:val="5"/>
        <w:spacing w:line="360" w:lineRule="auto"/>
        <w:ind w:left="0" w:firstLine="561"/>
        <w:rPr>
          <w:rFonts w:ascii="宋体" w:cs="宋体"/>
          <w:sz w:val="24"/>
          <w:szCs w:val="24"/>
        </w:rPr>
      </w:pPr>
      <w:r>
        <w:rPr>
          <w:rFonts w:hint="eastAsia" w:ascii="宋体" w:hAnsi="宋体" w:cs="宋体"/>
          <w:spacing w:val="-25"/>
          <w:sz w:val="24"/>
          <w:szCs w:val="24"/>
        </w:rPr>
        <w:t>三、《</w:t>
      </w:r>
      <w:r>
        <w:rPr>
          <w:rFonts w:hint="eastAsia" w:ascii="宋体" w:hAnsi="宋体" w:cs="宋体"/>
          <w:spacing w:val="-13"/>
          <w:sz w:val="24"/>
          <w:szCs w:val="24"/>
        </w:rPr>
        <w:t>园林绿化工程</w:t>
      </w:r>
      <w:r>
        <w:rPr>
          <w:rFonts w:hint="eastAsia" w:ascii="宋体" w:hAnsi="宋体" w:cs="宋体"/>
          <w:spacing w:val="-25"/>
          <w:sz w:val="24"/>
          <w:szCs w:val="24"/>
        </w:rPr>
        <w:t>施工招标文件示范文本》和国家发改委等九部委令第</w:t>
      </w:r>
      <w:r>
        <w:rPr>
          <w:rFonts w:ascii="宋体" w:hAnsi="宋体" w:cs="宋体"/>
          <w:spacing w:val="-25"/>
          <w:sz w:val="24"/>
          <w:szCs w:val="24"/>
        </w:rPr>
        <w:t xml:space="preserve"> </w:t>
      </w:r>
      <w:r>
        <w:rPr>
          <w:rFonts w:ascii="宋体" w:hAnsi="宋体" w:cs="宋体"/>
          <w:sz w:val="24"/>
          <w:szCs w:val="24"/>
        </w:rPr>
        <w:t>56</w:t>
      </w:r>
      <w:r>
        <w:rPr>
          <w:rFonts w:ascii="宋体" w:hAnsi="宋体" w:cs="宋体"/>
          <w:spacing w:val="-45"/>
          <w:sz w:val="24"/>
          <w:szCs w:val="24"/>
        </w:rPr>
        <w:t xml:space="preserve"> </w:t>
      </w:r>
      <w:r>
        <w:rPr>
          <w:rFonts w:hint="eastAsia" w:ascii="宋体" w:hAnsi="宋体" w:cs="宋体"/>
          <w:spacing w:val="-45"/>
          <w:sz w:val="24"/>
          <w:szCs w:val="24"/>
        </w:rPr>
        <w:t>号《标</w:t>
      </w:r>
      <w:r>
        <w:rPr>
          <w:rFonts w:hint="eastAsia" w:ascii="宋体" w:hAnsi="宋体" w:cs="宋体"/>
          <w:spacing w:val="-16"/>
          <w:sz w:val="24"/>
          <w:szCs w:val="24"/>
        </w:rPr>
        <w:t>准施工招标文件》构成完整的招标文件。招标人在编制招标文件时，不</w:t>
      </w:r>
      <w:r>
        <w:rPr>
          <w:rFonts w:hint="eastAsia" w:ascii="宋体" w:hAnsi="宋体" w:cs="宋体"/>
          <w:spacing w:val="-24"/>
          <w:sz w:val="24"/>
          <w:szCs w:val="24"/>
        </w:rPr>
        <w:t>得擅自对《施工招标文件示范文本</w:t>
      </w:r>
      <w:r>
        <w:rPr>
          <w:rFonts w:ascii="宋体" w:hAnsi="宋体" w:cs="宋体"/>
          <w:spacing w:val="-24"/>
          <w:sz w:val="24"/>
          <w:szCs w:val="24"/>
        </w:rPr>
        <w:t>—</w:t>
      </w:r>
      <w:r>
        <w:rPr>
          <w:rFonts w:hint="eastAsia" w:ascii="宋体" w:hAnsi="宋体" w:cs="宋体"/>
          <w:spacing w:val="-24"/>
          <w:sz w:val="24"/>
          <w:szCs w:val="24"/>
        </w:rPr>
        <w:t>资格后审》进行修改，只允许对《</w:t>
      </w:r>
      <w:r>
        <w:rPr>
          <w:rFonts w:hint="eastAsia" w:ascii="宋体" w:hAnsi="宋体" w:cs="宋体"/>
          <w:spacing w:val="-13"/>
          <w:sz w:val="24"/>
          <w:szCs w:val="24"/>
        </w:rPr>
        <w:t>园林绿化工程</w:t>
      </w:r>
      <w:r>
        <w:rPr>
          <w:rFonts w:hint="eastAsia" w:ascii="宋体" w:hAnsi="宋体" w:cs="宋体"/>
          <w:spacing w:val="-24"/>
          <w:sz w:val="24"/>
          <w:szCs w:val="24"/>
        </w:rPr>
        <w:t>施</w:t>
      </w:r>
      <w:r>
        <w:rPr>
          <w:rFonts w:hint="eastAsia" w:ascii="宋体" w:hAnsi="宋体" w:cs="宋体"/>
          <w:spacing w:val="-7"/>
          <w:sz w:val="24"/>
          <w:szCs w:val="24"/>
        </w:rPr>
        <w:t>工招标文件示范文本</w:t>
      </w:r>
      <w:r>
        <w:rPr>
          <w:rFonts w:ascii="宋体" w:hAnsi="宋体" w:cs="宋体"/>
          <w:spacing w:val="-7"/>
          <w:sz w:val="24"/>
          <w:szCs w:val="24"/>
        </w:rPr>
        <w:t>—</w:t>
      </w:r>
      <w:r>
        <w:rPr>
          <w:rFonts w:hint="eastAsia" w:ascii="宋体" w:hAnsi="宋体" w:cs="宋体"/>
          <w:spacing w:val="-7"/>
          <w:sz w:val="24"/>
          <w:szCs w:val="24"/>
        </w:rPr>
        <w:t>资格后审》的空白部分根据招标工程的实际情况和有关要求进行填写，确实没有需要填写内容的，在空格中用“</w:t>
      </w:r>
      <w:r>
        <w:rPr>
          <w:rFonts w:ascii="宋体" w:hAnsi="宋体" w:cs="宋体"/>
          <w:spacing w:val="3"/>
          <w:sz w:val="24"/>
          <w:szCs w:val="24"/>
        </w:rPr>
        <w:t>/</w:t>
      </w:r>
      <w:r>
        <w:rPr>
          <w:rFonts w:hint="eastAsia" w:ascii="宋体" w:hAnsi="宋体" w:cs="宋体"/>
          <w:spacing w:val="-4"/>
          <w:sz w:val="24"/>
          <w:szCs w:val="24"/>
        </w:rPr>
        <w:t>”标</w:t>
      </w:r>
      <w:r>
        <w:rPr>
          <w:rFonts w:hint="eastAsia" w:ascii="宋体" w:hAnsi="宋体" w:cs="宋体"/>
          <w:sz w:val="24"/>
          <w:szCs w:val="24"/>
        </w:rPr>
        <w:t>示。</w:t>
      </w:r>
    </w:p>
    <w:p>
      <w:pPr>
        <w:pStyle w:val="5"/>
        <w:spacing w:line="360" w:lineRule="auto"/>
        <w:ind w:left="0" w:firstLine="561"/>
        <w:rPr>
          <w:rFonts w:ascii="宋体" w:cs="宋体"/>
          <w:sz w:val="24"/>
          <w:szCs w:val="24"/>
        </w:rPr>
      </w:pPr>
      <w:r>
        <w:rPr>
          <w:rFonts w:hint="eastAsia" w:ascii="宋体" w:hAnsi="宋体" w:cs="宋体"/>
          <w:sz w:val="24"/>
          <w:szCs w:val="24"/>
        </w:rPr>
        <w:t>四、建设工程分标段招标的，一个标段编制一份招标文件，招标人应根据标段工程特点，在招标文件中载明各标段的具体招标条件和要求。</w:t>
      </w:r>
    </w:p>
    <w:p>
      <w:pPr>
        <w:pStyle w:val="5"/>
        <w:spacing w:line="360" w:lineRule="auto"/>
        <w:ind w:left="0" w:firstLine="561"/>
        <w:rPr>
          <w:rFonts w:ascii="宋体" w:cs="宋体"/>
          <w:sz w:val="24"/>
          <w:szCs w:val="24"/>
        </w:rPr>
      </w:pPr>
      <w:r>
        <w:rPr>
          <w:rFonts w:hint="eastAsia" w:ascii="宋体" w:hAnsi="宋体" w:cs="宋体"/>
          <w:spacing w:val="-13"/>
          <w:sz w:val="24"/>
          <w:szCs w:val="24"/>
        </w:rPr>
        <w:t>五、《园林绿化工程施工招标文件示范文本</w:t>
      </w:r>
      <w:r>
        <w:rPr>
          <w:rFonts w:ascii="宋体" w:hAnsi="宋体" w:cs="宋体"/>
          <w:spacing w:val="-13"/>
          <w:sz w:val="24"/>
          <w:szCs w:val="24"/>
        </w:rPr>
        <w:t>—</w:t>
      </w:r>
      <w:r>
        <w:rPr>
          <w:rFonts w:hint="eastAsia" w:ascii="宋体" w:hAnsi="宋体" w:cs="宋体"/>
          <w:spacing w:val="-13"/>
          <w:sz w:val="24"/>
          <w:szCs w:val="24"/>
        </w:rPr>
        <w:t>资格后审》第一章“投标邀请书”</w:t>
      </w:r>
      <w:r>
        <w:rPr>
          <w:rFonts w:ascii="宋体" w:hAnsi="宋体" w:cs="宋体"/>
          <w:spacing w:val="-13"/>
          <w:sz w:val="24"/>
          <w:szCs w:val="24"/>
        </w:rPr>
        <w:t xml:space="preserve"> </w:t>
      </w:r>
      <w:r>
        <w:rPr>
          <w:rFonts w:hint="eastAsia" w:ascii="宋体" w:hAnsi="宋体" w:cs="宋体"/>
          <w:spacing w:val="-12"/>
          <w:sz w:val="24"/>
          <w:szCs w:val="24"/>
        </w:rPr>
        <w:t>应按照实际发布的招标公告编入发出的招标文件中，作为投标邀请。其</w:t>
      </w:r>
      <w:r>
        <w:rPr>
          <w:rFonts w:hint="eastAsia" w:ascii="宋体" w:hAnsi="宋体" w:cs="宋体"/>
          <w:spacing w:val="-3"/>
          <w:sz w:val="24"/>
          <w:szCs w:val="24"/>
        </w:rPr>
        <w:t>中，招标公告应同时注明发布的所有媒介名称。</w:t>
      </w:r>
    </w:p>
    <w:p>
      <w:pPr>
        <w:pStyle w:val="5"/>
        <w:spacing w:line="360" w:lineRule="auto"/>
        <w:ind w:left="0" w:firstLine="561"/>
        <w:rPr>
          <w:rFonts w:ascii="宋体" w:cs="宋体"/>
          <w:sz w:val="24"/>
          <w:szCs w:val="24"/>
        </w:rPr>
      </w:pPr>
      <w:r>
        <w:rPr>
          <w:rFonts w:hint="eastAsia" w:ascii="宋体" w:hAnsi="宋体" w:cs="宋体"/>
          <w:spacing w:val="-13"/>
          <w:sz w:val="24"/>
          <w:szCs w:val="24"/>
        </w:rPr>
        <w:t>六、《园林绿化工程施工招标文件示范文本</w:t>
      </w:r>
      <w:r>
        <w:rPr>
          <w:rFonts w:ascii="宋体" w:hAnsi="宋体" w:cs="宋体"/>
          <w:spacing w:val="-13"/>
          <w:sz w:val="24"/>
          <w:szCs w:val="24"/>
        </w:rPr>
        <w:t>—</w:t>
      </w:r>
      <w:r>
        <w:rPr>
          <w:rFonts w:hint="eastAsia" w:ascii="宋体" w:hAnsi="宋体" w:cs="宋体"/>
          <w:spacing w:val="-13"/>
          <w:sz w:val="24"/>
          <w:szCs w:val="24"/>
        </w:rPr>
        <w:t>资格后审》第二章</w:t>
      </w:r>
      <w:r>
        <w:rPr>
          <w:rFonts w:ascii="宋体" w:hAnsi="宋体" w:cs="宋体"/>
          <w:spacing w:val="-13"/>
          <w:sz w:val="24"/>
          <w:szCs w:val="24"/>
        </w:rPr>
        <w:t xml:space="preserve"> </w:t>
      </w:r>
      <w:r>
        <w:rPr>
          <w:rFonts w:hint="eastAsia" w:ascii="宋体" w:hAnsi="宋体" w:cs="宋体"/>
          <w:spacing w:val="-13"/>
          <w:sz w:val="24"/>
          <w:szCs w:val="24"/>
        </w:rPr>
        <w:t>“投标人须知”</w:t>
      </w:r>
      <w:r>
        <w:rPr>
          <w:rFonts w:ascii="宋体" w:hAnsi="宋体" w:cs="宋体"/>
          <w:spacing w:val="-13"/>
          <w:sz w:val="24"/>
          <w:szCs w:val="24"/>
        </w:rPr>
        <w:t xml:space="preserve"> </w:t>
      </w:r>
      <w:r>
        <w:rPr>
          <w:rFonts w:hint="eastAsia" w:ascii="宋体" w:hAnsi="宋体" w:cs="宋体"/>
          <w:spacing w:val="-6"/>
          <w:sz w:val="24"/>
          <w:szCs w:val="24"/>
        </w:rPr>
        <w:t>的前附表由招标人根据招标工程具体特点和实际需要进行填写，但不得</w:t>
      </w:r>
      <w:r>
        <w:rPr>
          <w:rFonts w:hint="eastAsia" w:ascii="宋体" w:hAnsi="宋体" w:cs="宋体"/>
          <w:spacing w:val="-5"/>
          <w:sz w:val="24"/>
          <w:szCs w:val="24"/>
        </w:rPr>
        <w:t>与“投标人须知正文”的内容相抵触。</w:t>
      </w:r>
    </w:p>
    <w:p>
      <w:pPr>
        <w:pStyle w:val="5"/>
        <w:spacing w:line="360" w:lineRule="auto"/>
        <w:ind w:left="0" w:firstLine="561"/>
        <w:rPr>
          <w:rFonts w:ascii="宋体" w:cs="宋体"/>
          <w:sz w:val="24"/>
          <w:szCs w:val="24"/>
        </w:rPr>
      </w:pPr>
      <w:r>
        <w:rPr>
          <w:rFonts w:hint="eastAsia" w:ascii="宋体" w:hAnsi="宋体" w:cs="宋体"/>
          <w:spacing w:val="-16"/>
          <w:sz w:val="24"/>
          <w:szCs w:val="24"/>
        </w:rPr>
        <w:t>七、《</w:t>
      </w:r>
      <w:r>
        <w:rPr>
          <w:rFonts w:hint="eastAsia" w:ascii="宋体" w:hAnsi="宋体" w:cs="宋体"/>
          <w:spacing w:val="-13"/>
          <w:sz w:val="24"/>
          <w:szCs w:val="24"/>
        </w:rPr>
        <w:t>园林绿化工程</w:t>
      </w:r>
      <w:r>
        <w:rPr>
          <w:rFonts w:hint="eastAsia" w:ascii="宋体" w:hAnsi="宋体" w:cs="宋体"/>
          <w:spacing w:val="-16"/>
          <w:sz w:val="24"/>
          <w:szCs w:val="24"/>
        </w:rPr>
        <w:t>施工招标文件示范文本</w:t>
      </w:r>
      <w:r>
        <w:rPr>
          <w:rFonts w:ascii="宋体" w:hAnsi="宋体" w:cs="宋体"/>
          <w:spacing w:val="-16"/>
          <w:sz w:val="24"/>
          <w:szCs w:val="24"/>
        </w:rPr>
        <w:t>—</w:t>
      </w:r>
      <w:r>
        <w:rPr>
          <w:rFonts w:hint="eastAsia" w:ascii="宋体" w:hAnsi="宋体" w:cs="宋体"/>
          <w:spacing w:val="-16"/>
          <w:sz w:val="24"/>
          <w:szCs w:val="24"/>
        </w:rPr>
        <w:t>资格后审》第三章</w:t>
      </w:r>
      <w:r>
        <w:rPr>
          <w:rFonts w:ascii="宋体" w:hAnsi="宋体" w:cs="宋体"/>
          <w:spacing w:val="-16"/>
          <w:sz w:val="24"/>
          <w:szCs w:val="24"/>
        </w:rPr>
        <w:t xml:space="preserve"> </w:t>
      </w:r>
      <w:r>
        <w:rPr>
          <w:rFonts w:hint="eastAsia" w:ascii="宋体" w:hAnsi="宋体" w:cs="宋体"/>
          <w:spacing w:val="-16"/>
          <w:sz w:val="24"/>
          <w:szCs w:val="24"/>
        </w:rPr>
        <w:t>“评标办法”审</w:t>
      </w:r>
      <w:r>
        <w:rPr>
          <w:rFonts w:hint="eastAsia" w:ascii="宋体" w:hAnsi="宋体" w:cs="宋体"/>
          <w:spacing w:val="-12"/>
          <w:sz w:val="24"/>
          <w:szCs w:val="24"/>
        </w:rPr>
        <w:t>查或评审因素、标准，招标人可根据招标工程具体特点和实际需要进行</w:t>
      </w:r>
      <w:r>
        <w:rPr>
          <w:rFonts w:hint="eastAsia" w:ascii="宋体" w:hAnsi="宋体" w:cs="宋体"/>
          <w:sz w:val="24"/>
          <w:szCs w:val="24"/>
        </w:rPr>
        <w:t>填写。</w:t>
      </w:r>
    </w:p>
    <w:p>
      <w:pPr>
        <w:pStyle w:val="5"/>
        <w:spacing w:line="360" w:lineRule="auto"/>
        <w:ind w:left="0" w:firstLine="561"/>
        <w:rPr>
          <w:sz w:val="24"/>
          <w:szCs w:val="24"/>
        </w:rPr>
        <w:sectPr>
          <w:footerReference r:id="rId9" w:type="default"/>
          <w:pgSz w:w="11910" w:h="16850"/>
          <w:pgMar w:top="1361" w:right="1361" w:bottom="1361" w:left="1361" w:header="0" w:footer="716" w:gutter="0"/>
          <w:cols w:space="720" w:num="1"/>
        </w:sectPr>
      </w:pPr>
      <w:r>
        <w:rPr>
          <w:rFonts w:hint="eastAsia" w:ascii="宋体" w:hAnsi="宋体" w:cs="宋体"/>
          <w:spacing w:val="-18"/>
          <w:sz w:val="24"/>
          <w:szCs w:val="24"/>
        </w:rPr>
        <w:t>八、《</w:t>
      </w:r>
      <w:r>
        <w:rPr>
          <w:rFonts w:hint="eastAsia" w:ascii="宋体" w:hAnsi="宋体" w:cs="宋体"/>
          <w:spacing w:val="-13"/>
          <w:sz w:val="24"/>
          <w:szCs w:val="24"/>
        </w:rPr>
        <w:t>园林绿化工程</w:t>
      </w:r>
      <w:r>
        <w:rPr>
          <w:rFonts w:hint="eastAsia" w:ascii="宋体" w:hAnsi="宋体" w:cs="宋体"/>
          <w:spacing w:val="-18"/>
          <w:sz w:val="24"/>
          <w:szCs w:val="24"/>
        </w:rPr>
        <w:t>施工招标文件示范文本</w:t>
      </w:r>
      <w:r>
        <w:rPr>
          <w:rFonts w:ascii="宋体" w:hAnsi="宋体" w:cs="宋体"/>
          <w:spacing w:val="-18"/>
          <w:sz w:val="24"/>
          <w:szCs w:val="24"/>
        </w:rPr>
        <w:t>—</w:t>
      </w:r>
      <w:r>
        <w:rPr>
          <w:rFonts w:hint="eastAsia" w:ascii="宋体" w:hAnsi="宋体" w:cs="宋体"/>
          <w:spacing w:val="-18"/>
          <w:sz w:val="24"/>
          <w:szCs w:val="24"/>
        </w:rPr>
        <w:t>资格后审》为</w:t>
      </w:r>
      <w:r>
        <w:rPr>
          <w:rFonts w:ascii="宋体" w:hAnsi="宋体" w:cs="宋体"/>
          <w:spacing w:val="-18"/>
          <w:sz w:val="24"/>
          <w:szCs w:val="24"/>
        </w:rPr>
        <w:t xml:space="preserve"> </w:t>
      </w:r>
      <w:r>
        <w:rPr>
          <w:rFonts w:ascii="宋体" w:hAnsi="宋体" w:cs="宋体"/>
          <w:sz w:val="24"/>
          <w:szCs w:val="24"/>
        </w:rPr>
        <w:t>2021</w:t>
      </w:r>
      <w:r>
        <w:rPr>
          <w:rFonts w:ascii="宋体" w:hAnsi="宋体" w:cs="宋体"/>
          <w:spacing w:val="-14"/>
          <w:sz w:val="24"/>
          <w:szCs w:val="24"/>
        </w:rPr>
        <w:t xml:space="preserve"> </w:t>
      </w:r>
      <w:r>
        <w:rPr>
          <w:rFonts w:hint="eastAsia" w:ascii="宋体" w:hAnsi="宋体" w:cs="宋体"/>
          <w:spacing w:val="-14"/>
          <w:sz w:val="24"/>
          <w:szCs w:val="24"/>
        </w:rPr>
        <w:t>年电子化版，各</w:t>
      </w:r>
      <w:r>
        <w:rPr>
          <w:rFonts w:hint="eastAsia" w:ascii="宋体" w:hAnsi="宋体" w:cs="宋体"/>
          <w:spacing w:val="-11"/>
          <w:sz w:val="24"/>
          <w:szCs w:val="24"/>
        </w:rPr>
        <w:t>使用单位或个人对《施工招标文件示范文本》的修改意见和建议，请及</w:t>
      </w:r>
      <w:r>
        <w:rPr>
          <w:rFonts w:hint="eastAsia" w:ascii="宋体" w:hAnsi="宋体" w:cs="宋体"/>
          <w:spacing w:val="-3"/>
          <w:sz w:val="24"/>
          <w:szCs w:val="24"/>
        </w:rPr>
        <w:t>时向西藏自治区建设工程造价与招标投标管理中心反馈。</w:t>
      </w:r>
    </w:p>
    <w:p>
      <w:pPr>
        <w:spacing w:line="360" w:lineRule="auto"/>
        <w:ind w:right="776"/>
        <w:jc w:val="center"/>
        <w:rPr>
          <w:b/>
          <w:sz w:val="24"/>
          <w:szCs w:val="24"/>
        </w:rPr>
      </w:pPr>
      <w:r>
        <w:rPr>
          <w:rFonts w:hint="eastAsia"/>
          <w:b/>
          <w:sz w:val="24"/>
          <w:szCs w:val="24"/>
          <w:u w:val="none"/>
        </w:rPr>
        <w:t>目</w:t>
      </w:r>
      <w:r>
        <w:rPr>
          <w:b/>
          <w:sz w:val="24"/>
          <w:szCs w:val="24"/>
          <w:u w:val="none"/>
        </w:rPr>
        <w:t xml:space="preserve"> </w:t>
      </w:r>
      <w:r>
        <w:rPr>
          <w:rFonts w:hint="eastAsia"/>
          <w:b/>
          <w:sz w:val="24"/>
          <w:szCs w:val="24"/>
          <w:u w:val="none"/>
        </w:rPr>
        <w:t>录</w:t>
      </w:r>
    </w:p>
    <w:p>
      <w:pPr>
        <w:tabs>
          <w:tab w:val="left" w:leader="dot" w:pos="8541"/>
        </w:tabs>
        <w:spacing w:before="161" w:line="360" w:lineRule="auto"/>
        <w:ind w:left="104"/>
        <w:rPr>
          <w:sz w:val="24"/>
          <w:szCs w:val="24"/>
        </w:rPr>
      </w:pPr>
      <w:r>
        <w:fldChar w:fldCharType="begin"/>
      </w:r>
      <w:r>
        <w:instrText xml:space="preserve"> HYPERLINK \l "_bookmark0" </w:instrText>
      </w:r>
      <w:r>
        <w:fldChar w:fldCharType="separate"/>
      </w:r>
      <w:r>
        <w:rPr>
          <w:rFonts w:hint="eastAsia"/>
          <w:sz w:val="24"/>
          <w:szCs w:val="24"/>
        </w:rPr>
        <w:t>第一章招标公告</w:t>
      </w:r>
      <w:r>
        <w:rPr>
          <w:sz w:val="24"/>
          <w:szCs w:val="24"/>
        </w:rPr>
        <w:fldChar w:fldCharType="end"/>
      </w:r>
    </w:p>
    <w:p>
      <w:pPr>
        <w:pStyle w:val="18"/>
        <w:spacing w:before="6" w:line="360" w:lineRule="auto"/>
      </w:pPr>
    </w:p>
    <w:p>
      <w:pPr>
        <w:tabs>
          <w:tab w:val="left" w:leader="dot" w:pos="8421"/>
        </w:tabs>
        <w:spacing w:before="1" w:line="360" w:lineRule="auto"/>
        <w:ind w:left="104"/>
        <w:rPr>
          <w:sz w:val="24"/>
          <w:szCs w:val="24"/>
        </w:rPr>
      </w:pPr>
      <w:r>
        <w:fldChar w:fldCharType="begin"/>
      </w:r>
      <w:r>
        <w:instrText xml:space="preserve"> HYPERLINK \l "_bookmark1" </w:instrText>
      </w:r>
      <w:r>
        <w:fldChar w:fldCharType="separate"/>
      </w:r>
      <w:r>
        <w:rPr>
          <w:rFonts w:hint="eastAsia"/>
          <w:sz w:val="24"/>
          <w:szCs w:val="24"/>
        </w:rPr>
        <w:t>第一章投标邀请书</w:t>
      </w:r>
      <w:r>
        <w:rPr>
          <w:sz w:val="24"/>
          <w:szCs w:val="24"/>
        </w:rPr>
        <w:fldChar w:fldCharType="end"/>
      </w:r>
    </w:p>
    <w:p>
      <w:pPr>
        <w:pStyle w:val="18"/>
        <w:spacing w:before="8" w:line="360" w:lineRule="auto"/>
      </w:pPr>
    </w:p>
    <w:p>
      <w:pPr>
        <w:tabs>
          <w:tab w:val="left" w:leader="dot" w:pos="8421"/>
        </w:tabs>
        <w:spacing w:before="1" w:line="360" w:lineRule="auto"/>
        <w:ind w:left="104"/>
        <w:rPr>
          <w:sz w:val="24"/>
          <w:szCs w:val="24"/>
        </w:rPr>
      </w:pPr>
      <w:r>
        <w:fldChar w:fldCharType="begin"/>
      </w:r>
      <w:r>
        <w:instrText xml:space="preserve"> HYPERLINK \l "_bookmark2" </w:instrText>
      </w:r>
      <w:r>
        <w:fldChar w:fldCharType="separate"/>
      </w:r>
      <w:r>
        <w:rPr>
          <w:rFonts w:hint="eastAsia"/>
          <w:sz w:val="24"/>
          <w:szCs w:val="24"/>
        </w:rPr>
        <w:t>第二章投标人须知</w:t>
      </w:r>
      <w:r>
        <w:rPr>
          <w:sz w:val="24"/>
          <w:szCs w:val="24"/>
        </w:rPr>
        <w:fldChar w:fldCharType="end"/>
      </w:r>
    </w:p>
    <w:p>
      <w:pPr>
        <w:pStyle w:val="18"/>
        <w:spacing w:before="6" w:line="360" w:lineRule="auto"/>
      </w:pPr>
    </w:p>
    <w:p>
      <w:pPr>
        <w:tabs>
          <w:tab w:val="left" w:leader="dot" w:pos="8421"/>
        </w:tabs>
        <w:spacing w:line="360" w:lineRule="auto"/>
        <w:ind w:left="104"/>
        <w:rPr>
          <w:sz w:val="24"/>
          <w:szCs w:val="24"/>
        </w:rPr>
      </w:pPr>
      <w:r>
        <w:fldChar w:fldCharType="begin"/>
      </w:r>
      <w:r>
        <w:instrText xml:space="preserve"> HYPERLINK \l "_bookmark3" </w:instrText>
      </w:r>
      <w:r>
        <w:fldChar w:fldCharType="separate"/>
      </w:r>
      <w:r>
        <w:rPr>
          <w:rFonts w:hint="eastAsia"/>
          <w:sz w:val="24"/>
          <w:szCs w:val="24"/>
        </w:rPr>
        <w:t>第三章评标办法</w:t>
      </w:r>
      <w:r>
        <w:rPr>
          <w:sz w:val="24"/>
          <w:szCs w:val="24"/>
        </w:rPr>
        <w:fldChar w:fldCharType="end"/>
      </w:r>
    </w:p>
    <w:p>
      <w:pPr>
        <w:pStyle w:val="18"/>
        <w:spacing w:before="7" w:line="360" w:lineRule="auto"/>
      </w:pPr>
    </w:p>
    <w:p>
      <w:pPr>
        <w:tabs>
          <w:tab w:val="left" w:leader="dot" w:pos="8421"/>
        </w:tabs>
        <w:spacing w:line="360" w:lineRule="auto"/>
        <w:ind w:left="104"/>
        <w:rPr>
          <w:sz w:val="24"/>
          <w:szCs w:val="24"/>
        </w:rPr>
      </w:pPr>
      <w:r>
        <w:fldChar w:fldCharType="begin"/>
      </w:r>
      <w:r>
        <w:instrText xml:space="preserve"> HYPERLINK \l "_bookmark4" </w:instrText>
      </w:r>
      <w:r>
        <w:fldChar w:fldCharType="separate"/>
      </w:r>
      <w:r>
        <w:rPr>
          <w:rFonts w:hint="eastAsia"/>
          <w:sz w:val="24"/>
          <w:szCs w:val="24"/>
        </w:rPr>
        <w:t>第四章合同条款及格式</w:t>
      </w:r>
      <w:r>
        <w:rPr>
          <w:sz w:val="24"/>
          <w:szCs w:val="24"/>
        </w:rPr>
        <w:fldChar w:fldCharType="end"/>
      </w:r>
    </w:p>
    <w:p>
      <w:pPr>
        <w:pStyle w:val="18"/>
        <w:spacing w:before="9" w:line="360" w:lineRule="auto"/>
      </w:pPr>
    </w:p>
    <w:p>
      <w:pPr>
        <w:tabs>
          <w:tab w:val="left" w:leader="dot" w:pos="8421"/>
        </w:tabs>
        <w:spacing w:line="360" w:lineRule="auto"/>
        <w:ind w:left="104"/>
        <w:rPr>
          <w:sz w:val="24"/>
          <w:szCs w:val="24"/>
        </w:rPr>
      </w:pPr>
      <w:r>
        <w:fldChar w:fldCharType="begin"/>
      </w:r>
      <w:r>
        <w:instrText xml:space="preserve"> HYPERLINK \l "_bookmark15" </w:instrText>
      </w:r>
      <w:r>
        <w:fldChar w:fldCharType="separate"/>
      </w:r>
      <w:r>
        <w:rPr>
          <w:rFonts w:hint="eastAsia"/>
          <w:sz w:val="24"/>
          <w:szCs w:val="24"/>
        </w:rPr>
        <w:t>第五章招标工程量清单</w:t>
      </w:r>
      <w:r>
        <w:rPr>
          <w:sz w:val="24"/>
          <w:szCs w:val="24"/>
        </w:rPr>
        <w:fldChar w:fldCharType="end"/>
      </w:r>
    </w:p>
    <w:p>
      <w:pPr>
        <w:pStyle w:val="18"/>
        <w:spacing w:before="7" w:line="360" w:lineRule="auto"/>
      </w:pPr>
    </w:p>
    <w:p>
      <w:pPr>
        <w:tabs>
          <w:tab w:val="left" w:leader="dot" w:pos="8421"/>
        </w:tabs>
        <w:spacing w:line="360" w:lineRule="auto"/>
        <w:ind w:left="104"/>
        <w:rPr>
          <w:sz w:val="24"/>
          <w:szCs w:val="24"/>
        </w:rPr>
      </w:pPr>
      <w:r>
        <w:fldChar w:fldCharType="begin"/>
      </w:r>
      <w:r>
        <w:instrText xml:space="preserve"> HYPERLINK \l "_bookmark16" </w:instrText>
      </w:r>
      <w:r>
        <w:fldChar w:fldCharType="separate"/>
      </w:r>
      <w:r>
        <w:rPr>
          <w:rFonts w:hint="eastAsia"/>
          <w:sz w:val="24"/>
          <w:szCs w:val="24"/>
        </w:rPr>
        <w:t>第六章图纸</w:t>
      </w:r>
      <w:r>
        <w:rPr>
          <w:sz w:val="24"/>
          <w:szCs w:val="24"/>
        </w:rPr>
        <w:fldChar w:fldCharType="end"/>
      </w:r>
    </w:p>
    <w:p>
      <w:pPr>
        <w:pStyle w:val="18"/>
        <w:spacing w:before="6" w:line="360" w:lineRule="auto"/>
      </w:pPr>
    </w:p>
    <w:p>
      <w:pPr>
        <w:tabs>
          <w:tab w:val="left" w:leader="dot" w:pos="8421"/>
        </w:tabs>
        <w:spacing w:before="1" w:line="360" w:lineRule="auto"/>
        <w:ind w:left="104"/>
        <w:rPr>
          <w:sz w:val="24"/>
          <w:szCs w:val="24"/>
        </w:rPr>
      </w:pPr>
      <w:r>
        <w:fldChar w:fldCharType="begin"/>
      </w:r>
      <w:r>
        <w:instrText xml:space="preserve"> HYPERLINK \l "_bookmark17" </w:instrText>
      </w:r>
      <w:r>
        <w:fldChar w:fldCharType="separate"/>
      </w:r>
      <w:r>
        <w:rPr>
          <w:rFonts w:hint="eastAsia"/>
          <w:sz w:val="24"/>
          <w:szCs w:val="24"/>
        </w:rPr>
        <w:t>第七章技术标准和要求</w:t>
      </w:r>
      <w:r>
        <w:rPr>
          <w:sz w:val="24"/>
          <w:szCs w:val="24"/>
        </w:rPr>
        <w:fldChar w:fldCharType="end"/>
      </w:r>
    </w:p>
    <w:p>
      <w:pPr>
        <w:pStyle w:val="18"/>
        <w:spacing w:before="8" w:line="360" w:lineRule="auto"/>
      </w:pPr>
    </w:p>
    <w:p>
      <w:pPr>
        <w:tabs>
          <w:tab w:val="left" w:leader="dot" w:pos="8301"/>
        </w:tabs>
        <w:spacing w:before="1" w:line="360" w:lineRule="auto"/>
        <w:ind w:left="104"/>
        <w:rPr>
          <w:sz w:val="24"/>
          <w:szCs w:val="24"/>
        </w:rPr>
      </w:pPr>
      <w:r>
        <w:fldChar w:fldCharType="begin"/>
      </w:r>
      <w:r>
        <w:instrText xml:space="preserve"> HYPERLINK \l "_bookmark18" </w:instrText>
      </w:r>
      <w:r>
        <w:fldChar w:fldCharType="separate"/>
      </w:r>
      <w:r>
        <w:rPr>
          <w:rFonts w:hint="eastAsia"/>
          <w:sz w:val="24"/>
          <w:szCs w:val="24"/>
        </w:rPr>
        <w:t>第八章投标文件格式</w:t>
      </w:r>
      <w:r>
        <w:rPr>
          <w:sz w:val="24"/>
          <w:szCs w:val="24"/>
        </w:rPr>
        <w:fldChar w:fldCharType="end"/>
      </w:r>
    </w:p>
    <w:p>
      <w:pPr>
        <w:pStyle w:val="18"/>
        <w:spacing w:before="6" w:line="360" w:lineRule="auto"/>
      </w:pPr>
    </w:p>
    <w:p>
      <w:pPr>
        <w:tabs>
          <w:tab w:val="left" w:leader="dot" w:pos="8301"/>
        </w:tabs>
        <w:spacing w:before="1" w:line="360" w:lineRule="auto"/>
        <w:ind w:left="104"/>
        <w:rPr>
          <w:sz w:val="24"/>
        </w:rPr>
      </w:pPr>
      <w:r>
        <w:fldChar w:fldCharType="begin"/>
      </w:r>
      <w:r>
        <w:instrText xml:space="preserve"> HYPERLINK \l "_bookmark19" </w:instrText>
      </w:r>
      <w:r>
        <w:fldChar w:fldCharType="separate"/>
      </w:r>
      <w:r>
        <w:rPr>
          <w:rFonts w:hint="eastAsia"/>
          <w:sz w:val="24"/>
          <w:szCs w:val="24"/>
        </w:rPr>
        <w:t>第九章招标控制价</w:t>
      </w:r>
      <w:r>
        <w:rPr>
          <w:sz w:val="24"/>
          <w:szCs w:val="24"/>
        </w:rPr>
        <w:fldChar w:fldCharType="end"/>
      </w:r>
    </w:p>
    <w:p>
      <w:pPr>
        <w:spacing w:line="360" w:lineRule="auto"/>
        <w:rPr>
          <w:sz w:val="24"/>
        </w:rPr>
        <w:sectPr>
          <w:pgSz w:w="11910" w:h="16850"/>
          <w:pgMar w:top="1420" w:right="600" w:bottom="980" w:left="1540" w:header="0" w:footer="716" w:gutter="0"/>
          <w:cols w:space="720" w:num="1"/>
        </w:sectPr>
      </w:pPr>
    </w:p>
    <w:p>
      <w:pPr>
        <w:tabs>
          <w:tab w:val="left" w:pos="1687"/>
        </w:tabs>
        <w:spacing w:line="360" w:lineRule="auto"/>
        <w:ind w:right="503"/>
        <w:jc w:val="center"/>
        <w:rPr>
          <w:b/>
          <w:sz w:val="48"/>
        </w:rPr>
      </w:pPr>
      <w:bookmarkStart w:id="0" w:name="_bookmark0"/>
      <w:bookmarkEnd w:id="0"/>
    </w:p>
    <w:p>
      <w:pPr>
        <w:tabs>
          <w:tab w:val="left" w:pos="1687"/>
        </w:tabs>
        <w:spacing w:line="360" w:lineRule="auto"/>
        <w:ind w:right="503"/>
        <w:jc w:val="center"/>
        <w:rPr>
          <w:b/>
          <w:sz w:val="48"/>
        </w:rPr>
      </w:pPr>
    </w:p>
    <w:p>
      <w:pPr>
        <w:tabs>
          <w:tab w:val="left" w:pos="1687"/>
        </w:tabs>
        <w:spacing w:line="360" w:lineRule="auto"/>
        <w:ind w:right="503"/>
        <w:jc w:val="center"/>
        <w:rPr>
          <w:b/>
          <w:sz w:val="48"/>
        </w:rPr>
      </w:pPr>
    </w:p>
    <w:p>
      <w:pPr>
        <w:tabs>
          <w:tab w:val="left" w:pos="1687"/>
        </w:tabs>
        <w:spacing w:line="360" w:lineRule="auto"/>
        <w:ind w:right="503"/>
        <w:jc w:val="center"/>
        <w:rPr>
          <w:b/>
          <w:sz w:val="48"/>
        </w:rPr>
      </w:pPr>
    </w:p>
    <w:p>
      <w:pPr>
        <w:tabs>
          <w:tab w:val="left" w:pos="1687"/>
        </w:tabs>
        <w:spacing w:line="360" w:lineRule="auto"/>
        <w:ind w:right="503"/>
        <w:jc w:val="center"/>
        <w:rPr>
          <w:b/>
          <w:sz w:val="48"/>
        </w:rPr>
      </w:pPr>
    </w:p>
    <w:p>
      <w:pPr>
        <w:tabs>
          <w:tab w:val="left" w:pos="1687"/>
        </w:tabs>
        <w:spacing w:line="360" w:lineRule="auto"/>
        <w:ind w:right="503"/>
        <w:jc w:val="center"/>
        <w:rPr>
          <w:b/>
          <w:sz w:val="48"/>
        </w:rPr>
      </w:pPr>
    </w:p>
    <w:p>
      <w:pPr>
        <w:tabs>
          <w:tab w:val="left" w:pos="1687"/>
        </w:tabs>
        <w:spacing w:line="360" w:lineRule="auto"/>
        <w:ind w:right="503"/>
        <w:jc w:val="center"/>
        <w:rPr>
          <w:b/>
          <w:sz w:val="48"/>
        </w:rPr>
      </w:pPr>
    </w:p>
    <w:p>
      <w:pPr>
        <w:tabs>
          <w:tab w:val="left" w:pos="1687"/>
        </w:tabs>
        <w:spacing w:line="360" w:lineRule="auto"/>
        <w:ind w:right="503"/>
        <w:jc w:val="center"/>
        <w:rPr>
          <w:b/>
          <w:sz w:val="48"/>
        </w:rPr>
      </w:pPr>
      <w:r>
        <w:rPr>
          <w:rFonts w:hint="eastAsia"/>
          <w:b/>
          <w:sz w:val="48"/>
        </w:rPr>
        <w:t>第一章</w:t>
      </w:r>
      <w:r>
        <w:rPr>
          <w:b/>
          <w:sz w:val="48"/>
        </w:rPr>
        <w:tab/>
      </w:r>
      <w:r>
        <w:rPr>
          <w:rFonts w:hint="eastAsia"/>
          <w:b/>
          <w:sz w:val="48"/>
        </w:rPr>
        <w:t>招标公告</w:t>
      </w:r>
    </w:p>
    <w:p>
      <w:pPr>
        <w:spacing w:line="360" w:lineRule="auto"/>
        <w:jc w:val="center"/>
        <w:rPr>
          <w:sz w:val="48"/>
        </w:rPr>
        <w:sectPr>
          <w:pgSz w:w="11910" w:h="16850"/>
          <w:pgMar w:top="1400" w:right="600" w:bottom="980" w:left="1540" w:header="0" w:footer="716" w:gutter="0"/>
          <w:cols w:space="720" w:num="1"/>
        </w:sectPr>
      </w:pPr>
    </w:p>
    <w:p>
      <w:pPr>
        <w:spacing w:line="360" w:lineRule="auto"/>
        <w:jc w:val="center"/>
        <w:rPr>
          <w:b/>
          <w:sz w:val="28"/>
          <w:szCs w:val="28"/>
        </w:rPr>
      </w:pPr>
      <w:r>
        <w:rPr>
          <w:rFonts w:hint="eastAsia"/>
          <w:b/>
          <w:sz w:val="28"/>
          <w:szCs w:val="28"/>
          <w:lang w:val="en-US"/>
        </w:rPr>
        <w:t>第一章</w:t>
      </w:r>
      <w:r>
        <w:rPr>
          <w:b/>
          <w:sz w:val="28"/>
          <w:szCs w:val="28"/>
          <w:lang w:val="en-US"/>
        </w:rPr>
        <w:t xml:space="preserve">  </w:t>
      </w:r>
      <w:r>
        <w:rPr>
          <w:rFonts w:hint="eastAsia"/>
          <w:b/>
          <w:sz w:val="28"/>
          <w:szCs w:val="28"/>
        </w:rPr>
        <w:t>招标公告</w:t>
      </w:r>
    </w:p>
    <w:p>
      <w:pPr>
        <w:spacing w:line="360" w:lineRule="auto"/>
        <w:rPr>
          <w:b/>
          <w:sz w:val="24"/>
          <w:szCs w:val="24"/>
        </w:rPr>
      </w:pPr>
      <w:r>
        <w:rPr>
          <w:b/>
          <w:sz w:val="24"/>
          <w:szCs w:val="24"/>
        </w:rPr>
        <w:t xml:space="preserve">1. </w:t>
      </w:r>
      <w:r>
        <w:rPr>
          <w:rFonts w:hint="eastAsia"/>
          <w:b/>
          <w:sz w:val="24"/>
          <w:szCs w:val="24"/>
        </w:rPr>
        <w:t>招标条件</w:t>
      </w:r>
    </w:p>
    <w:p>
      <w:pPr>
        <w:spacing w:line="360" w:lineRule="auto"/>
        <w:rPr>
          <w:sz w:val="24"/>
          <w:szCs w:val="24"/>
        </w:rPr>
      </w:pPr>
      <w:r>
        <w:rPr>
          <w:sz w:val="24"/>
          <w:szCs w:val="24"/>
        </w:rPr>
        <w:t xml:space="preserve">    1.1</w:t>
      </w:r>
      <w:r>
        <w:rPr>
          <w:rFonts w:hint="eastAsia"/>
          <w:sz w:val="24"/>
          <w:szCs w:val="24"/>
        </w:rPr>
        <w:t>本招标项目</w:t>
      </w:r>
      <w:r>
        <w:rPr>
          <w:b/>
          <w:sz w:val="24"/>
          <w:szCs w:val="24"/>
          <w:u w:val="single"/>
        </w:rPr>
        <w:t xml:space="preserve">              </w:t>
      </w:r>
      <w:r>
        <w:rPr>
          <w:sz w:val="24"/>
          <w:szCs w:val="24"/>
        </w:rPr>
        <w:t>(</w:t>
      </w:r>
      <w:r>
        <w:rPr>
          <w:rFonts w:hint="eastAsia"/>
          <w:sz w:val="24"/>
          <w:szCs w:val="24"/>
        </w:rPr>
        <w:t>项目名称</w:t>
      </w:r>
      <w:r>
        <w:rPr>
          <w:sz w:val="24"/>
          <w:szCs w:val="24"/>
        </w:rPr>
        <w:t>)</w:t>
      </w:r>
      <w:r>
        <w:rPr>
          <w:rFonts w:hint="eastAsia"/>
          <w:sz w:val="24"/>
          <w:szCs w:val="24"/>
        </w:rPr>
        <w:t>已由</w:t>
      </w:r>
      <w:r>
        <w:rPr>
          <w:b/>
          <w:sz w:val="24"/>
          <w:szCs w:val="24"/>
          <w:u w:val="single"/>
        </w:rPr>
        <w:t xml:space="preserve">   </w:t>
      </w:r>
      <w:r>
        <w:rPr>
          <w:sz w:val="24"/>
          <w:szCs w:val="24"/>
        </w:rPr>
        <w:t>(</w:t>
      </w:r>
      <w:r>
        <w:rPr>
          <w:rFonts w:hint="eastAsia"/>
          <w:sz w:val="24"/>
          <w:szCs w:val="24"/>
        </w:rPr>
        <w:t>项目审批、核准或备案机关名称</w:t>
      </w:r>
      <w:r>
        <w:rPr>
          <w:sz w:val="24"/>
          <w:szCs w:val="24"/>
        </w:rPr>
        <w:t>)</w:t>
      </w:r>
      <w:r>
        <w:rPr>
          <w:rFonts w:hint="eastAsia"/>
          <w:sz w:val="24"/>
          <w:szCs w:val="24"/>
        </w:rPr>
        <w:t>以</w:t>
      </w:r>
      <w:r>
        <w:rPr>
          <w:b/>
          <w:sz w:val="24"/>
          <w:szCs w:val="24"/>
          <w:u w:val="single"/>
        </w:rPr>
        <w:t xml:space="preserve">   </w:t>
      </w:r>
      <w:r>
        <w:rPr>
          <w:rFonts w:hint="eastAsia"/>
          <w:sz w:val="24"/>
          <w:szCs w:val="24"/>
        </w:rPr>
        <w:t>（批文名称及编号）批准建设，项目业主为</w:t>
      </w:r>
      <w:r>
        <w:rPr>
          <w:sz w:val="24"/>
          <w:szCs w:val="24"/>
          <w:u w:val="single"/>
        </w:rPr>
        <w:t xml:space="preserve">           </w:t>
      </w:r>
      <w:r>
        <w:rPr>
          <w:rFonts w:hint="eastAsia"/>
          <w:sz w:val="24"/>
          <w:szCs w:val="24"/>
        </w:rPr>
        <w:t>，建设资金来自</w:t>
      </w:r>
      <w:r>
        <w:rPr>
          <w:b/>
          <w:sz w:val="24"/>
          <w:szCs w:val="24"/>
          <w:u w:val="single"/>
        </w:rPr>
        <w:t xml:space="preserve">         </w:t>
      </w:r>
      <w:r>
        <w:rPr>
          <w:rFonts w:hint="eastAsia"/>
          <w:sz w:val="24"/>
          <w:szCs w:val="24"/>
        </w:rPr>
        <w:t>（资金来源），项目出资比例为</w:t>
      </w:r>
      <w:r>
        <w:rPr>
          <w:sz w:val="24"/>
          <w:szCs w:val="24"/>
          <w:u w:val="single"/>
        </w:rPr>
        <w:t xml:space="preserve">    </w:t>
      </w:r>
      <w:r>
        <w:rPr>
          <w:rFonts w:hint="eastAsia"/>
          <w:sz w:val="24"/>
          <w:szCs w:val="24"/>
        </w:rPr>
        <w:t>，招标人为</w:t>
      </w:r>
      <w:r>
        <w:rPr>
          <w:sz w:val="24"/>
          <w:szCs w:val="24"/>
          <w:u w:val="single"/>
        </w:rPr>
        <w:t xml:space="preserve">   </w:t>
      </w:r>
      <w:r>
        <w:rPr>
          <w:rFonts w:hint="eastAsia"/>
          <w:sz w:val="24"/>
          <w:szCs w:val="24"/>
        </w:rPr>
        <w:t>。项目已具备招标条件，现对该项目的施工进行公开招标。</w:t>
      </w:r>
    </w:p>
    <w:p>
      <w:pPr>
        <w:spacing w:line="360" w:lineRule="auto"/>
        <w:ind w:firstLine="420"/>
        <w:rPr>
          <w:b/>
          <w:sz w:val="24"/>
          <w:szCs w:val="24"/>
          <w:u w:val="single"/>
        </w:rPr>
      </w:pPr>
      <w:r>
        <w:rPr>
          <w:sz w:val="24"/>
          <w:szCs w:val="24"/>
        </w:rPr>
        <w:t>1.2</w:t>
      </w:r>
      <w:r>
        <w:rPr>
          <w:rFonts w:hint="eastAsia"/>
          <w:sz w:val="24"/>
          <w:szCs w:val="24"/>
        </w:rPr>
        <w:t>本招标项目由</w:t>
      </w:r>
      <w:r>
        <w:rPr>
          <w:b/>
          <w:sz w:val="24"/>
          <w:szCs w:val="24"/>
          <w:u w:val="single"/>
        </w:rPr>
        <w:t xml:space="preserve">      </w:t>
      </w:r>
      <w:r>
        <w:rPr>
          <w:rFonts w:hint="eastAsia"/>
          <w:sz w:val="24"/>
          <w:szCs w:val="24"/>
        </w:rPr>
        <w:t>（核准机关名称）核准（招标事项核准文号为</w:t>
      </w:r>
      <w:r>
        <w:rPr>
          <w:b/>
          <w:sz w:val="24"/>
          <w:szCs w:val="24"/>
          <w:u w:val="single"/>
        </w:rPr>
        <w:t xml:space="preserve">   </w:t>
      </w:r>
      <w:r>
        <w:rPr>
          <w:rFonts w:hint="eastAsia"/>
          <w:sz w:val="24"/>
          <w:szCs w:val="24"/>
        </w:rPr>
        <w:t>）的招标组织形式为</w:t>
      </w:r>
      <w:r>
        <w:rPr>
          <w:sz w:val="24"/>
          <w:szCs w:val="24"/>
          <w:u w:val="single"/>
        </w:rPr>
        <w:t xml:space="preserve">         </w:t>
      </w:r>
      <w:r>
        <w:rPr>
          <w:rFonts w:hint="eastAsia"/>
          <w:sz w:val="24"/>
          <w:szCs w:val="24"/>
        </w:rPr>
        <w:t>（□自行招标</w:t>
      </w:r>
      <w:r>
        <w:rPr>
          <w:sz w:val="24"/>
          <w:szCs w:val="24"/>
        </w:rPr>
        <w:t xml:space="preserve"> </w:t>
      </w:r>
      <w:r>
        <w:rPr>
          <w:rFonts w:hint="eastAsia"/>
          <w:sz w:val="24"/>
          <w:szCs w:val="24"/>
        </w:rPr>
        <w:t>□委托招标）。招标人选择的招标代理机构是</w:t>
      </w:r>
      <w:r>
        <w:rPr>
          <w:sz w:val="24"/>
          <w:szCs w:val="24"/>
          <w:u w:val="single"/>
        </w:rPr>
        <w:t xml:space="preserve">              </w:t>
      </w:r>
      <w:r>
        <w:rPr>
          <w:rFonts w:hint="eastAsia"/>
          <w:sz w:val="24"/>
          <w:szCs w:val="24"/>
        </w:rPr>
        <w:t>。</w:t>
      </w:r>
    </w:p>
    <w:p>
      <w:pPr>
        <w:spacing w:line="360" w:lineRule="auto"/>
        <w:rPr>
          <w:b/>
          <w:sz w:val="24"/>
          <w:szCs w:val="24"/>
        </w:rPr>
      </w:pPr>
      <w:r>
        <w:rPr>
          <w:b/>
          <w:sz w:val="24"/>
          <w:szCs w:val="24"/>
        </w:rPr>
        <w:t xml:space="preserve">2. </w:t>
      </w:r>
      <w:r>
        <w:rPr>
          <w:rFonts w:hint="eastAsia"/>
          <w:b/>
          <w:sz w:val="24"/>
          <w:szCs w:val="24"/>
        </w:rPr>
        <w:t>项目概况与招标范围</w:t>
      </w:r>
    </w:p>
    <w:p>
      <w:pPr>
        <w:spacing w:line="360" w:lineRule="auto"/>
        <w:rPr>
          <w:sz w:val="24"/>
          <w:szCs w:val="24"/>
          <w:u w:val="single"/>
        </w:rPr>
      </w:pPr>
      <w:r>
        <w:rPr>
          <w:sz w:val="24"/>
          <w:szCs w:val="24"/>
          <w:u w:val="single"/>
        </w:rPr>
        <w:t xml:space="preserve">                                                                 </w:t>
      </w:r>
      <w:r>
        <w:rPr>
          <w:rFonts w:hint="eastAsia"/>
          <w:sz w:val="24"/>
          <w:szCs w:val="24"/>
        </w:rPr>
        <w:t>。</w:t>
      </w:r>
    </w:p>
    <w:p>
      <w:pPr>
        <w:spacing w:line="360" w:lineRule="auto"/>
        <w:rPr>
          <w:sz w:val="24"/>
          <w:szCs w:val="24"/>
        </w:rPr>
      </w:pPr>
      <w:r>
        <w:rPr>
          <w:rFonts w:hint="eastAsia"/>
          <w:sz w:val="24"/>
          <w:szCs w:val="24"/>
        </w:rPr>
        <w:t>（说明本次招标项目的建设地点、规模及投资额、计划工期、招标范围、标段划分及标段投资额等）。</w:t>
      </w:r>
    </w:p>
    <w:p>
      <w:pPr>
        <w:spacing w:line="360" w:lineRule="auto"/>
        <w:rPr>
          <w:b/>
          <w:sz w:val="24"/>
          <w:szCs w:val="24"/>
        </w:rPr>
      </w:pPr>
      <w:r>
        <w:rPr>
          <w:b/>
          <w:sz w:val="24"/>
          <w:szCs w:val="24"/>
        </w:rPr>
        <w:t xml:space="preserve">3. </w:t>
      </w:r>
      <w:r>
        <w:rPr>
          <w:rFonts w:hint="eastAsia"/>
          <w:b/>
          <w:sz w:val="24"/>
          <w:szCs w:val="24"/>
        </w:rPr>
        <w:t>投标人资格要求</w:t>
      </w:r>
    </w:p>
    <w:p>
      <w:pPr>
        <w:spacing w:line="360" w:lineRule="auto"/>
        <w:ind w:firstLine="420"/>
        <w:rPr>
          <w:sz w:val="24"/>
          <w:szCs w:val="24"/>
        </w:rPr>
      </w:pPr>
      <w:r>
        <w:rPr>
          <w:sz w:val="24"/>
          <w:szCs w:val="24"/>
        </w:rPr>
        <w:t>3.1</w:t>
      </w:r>
      <w:r>
        <w:rPr>
          <w:rFonts w:hint="eastAsia"/>
          <w:sz w:val="24"/>
          <w:szCs w:val="24"/>
        </w:rPr>
        <w:t>本次招标要求投标人须具备：</w:t>
      </w:r>
    </w:p>
    <w:p>
      <w:pPr>
        <w:spacing w:line="360" w:lineRule="auto"/>
        <w:ind w:firstLine="420"/>
        <w:rPr>
          <w:sz w:val="24"/>
          <w:szCs w:val="24"/>
        </w:rPr>
      </w:pPr>
      <w:r>
        <w:rPr>
          <w:sz w:val="24"/>
          <w:szCs w:val="24"/>
        </w:rPr>
        <w:t>3.1.1</w:t>
      </w:r>
      <w:r>
        <w:rPr>
          <w:rFonts w:hint="eastAsia"/>
          <w:sz w:val="24"/>
          <w:szCs w:val="24"/>
        </w:rPr>
        <w:t>资质条件：</w:t>
      </w:r>
      <w:r>
        <w:rPr>
          <w:sz w:val="24"/>
          <w:szCs w:val="24"/>
          <w:u w:val="single"/>
        </w:rPr>
        <w:t xml:space="preserve">                </w:t>
      </w:r>
      <w:r>
        <w:rPr>
          <w:rFonts w:hint="eastAsia"/>
          <w:sz w:val="24"/>
          <w:szCs w:val="24"/>
        </w:rPr>
        <w:t>。</w:t>
      </w:r>
    </w:p>
    <w:p>
      <w:pPr>
        <w:spacing w:line="360" w:lineRule="auto"/>
        <w:ind w:firstLine="420"/>
        <w:rPr>
          <w:sz w:val="24"/>
          <w:szCs w:val="24"/>
        </w:rPr>
      </w:pPr>
      <w:r>
        <w:rPr>
          <w:sz w:val="24"/>
          <w:szCs w:val="24"/>
        </w:rPr>
        <w:t>3.1.2</w:t>
      </w:r>
      <w:r>
        <w:rPr>
          <w:rFonts w:hint="eastAsia"/>
          <w:sz w:val="24"/>
          <w:szCs w:val="24"/>
        </w:rPr>
        <w:t>业绩要求：</w:t>
      </w:r>
    </w:p>
    <w:p>
      <w:pPr>
        <w:spacing w:line="360" w:lineRule="auto"/>
        <w:ind w:firstLine="960" w:firstLineChars="400"/>
        <w:rPr>
          <w:sz w:val="24"/>
          <w:szCs w:val="24"/>
        </w:rPr>
      </w:pPr>
      <w:r>
        <w:rPr>
          <w:rFonts w:hint="eastAsia"/>
          <w:sz w:val="24"/>
          <w:szCs w:val="24"/>
        </w:rPr>
        <w:t>□近年（</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日至投标截止时间，不少于</w:t>
      </w:r>
      <w:r>
        <w:rPr>
          <w:sz w:val="24"/>
          <w:szCs w:val="24"/>
        </w:rPr>
        <w:t>3</w:t>
      </w:r>
      <w:r>
        <w:rPr>
          <w:rFonts w:hint="eastAsia"/>
          <w:sz w:val="24"/>
          <w:szCs w:val="24"/>
        </w:rPr>
        <w:t>年）（多项选择：□已完成</w:t>
      </w:r>
      <w:r>
        <w:rPr>
          <w:sz w:val="24"/>
          <w:szCs w:val="24"/>
        </w:rPr>
        <w:t xml:space="preserve"> </w:t>
      </w:r>
      <w:r>
        <w:rPr>
          <w:rFonts w:hint="eastAsia"/>
          <w:sz w:val="24"/>
          <w:szCs w:val="24"/>
        </w:rPr>
        <w:t>□已完成或新承接或正在施工）不少于</w:t>
      </w:r>
      <w:r>
        <w:rPr>
          <w:sz w:val="24"/>
          <w:szCs w:val="24"/>
          <w:u w:val="single"/>
        </w:rPr>
        <w:t xml:space="preserve">   </w:t>
      </w:r>
      <w:r>
        <w:rPr>
          <w:sz w:val="24"/>
          <w:szCs w:val="24"/>
          <w:u w:val="single"/>
          <w:lang w:val="en-US"/>
        </w:rPr>
        <w:t xml:space="preserve"> </w:t>
      </w:r>
      <w:r>
        <w:rPr>
          <w:sz w:val="24"/>
          <w:szCs w:val="24"/>
          <w:u w:val="single"/>
        </w:rPr>
        <w:t xml:space="preserve"> </w:t>
      </w:r>
      <w:r>
        <w:rPr>
          <w:rFonts w:hint="eastAsia"/>
          <w:sz w:val="24"/>
          <w:szCs w:val="24"/>
        </w:rPr>
        <w:t>（</w:t>
      </w:r>
      <w:r>
        <w:rPr>
          <w:sz w:val="24"/>
          <w:szCs w:val="24"/>
        </w:rPr>
        <w:t>1</w:t>
      </w:r>
      <w:r>
        <w:rPr>
          <w:rFonts w:hint="eastAsia"/>
          <w:sz w:val="24"/>
          <w:szCs w:val="24"/>
        </w:rPr>
        <w:t>至</w:t>
      </w:r>
      <w:r>
        <w:rPr>
          <w:sz w:val="24"/>
          <w:szCs w:val="24"/>
        </w:rPr>
        <w:t>3</w:t>
      </w:r>
      <w:r>
        <w:rPr>
          <w:rFonts w:hint="eastAsia"/>
          <w:sz w:val="24"/>
          <w:szCs w:val="24"/>
        </w:rPr>
        <w:t>个）个类似项目。</w:t>
      </w:r>
    </w:p>
    <w:p>
      <w:pPr>
        <w:spacing w:line="360" w:lineRule="auto"/>
        <w:rPr>
          <w:sz w:val="24"/>
          <w:szCs w:val="24"/>
        </w:rPr>
      </w:pPr>
      <w:r>
        <w:rPr>
          <w:sz w:val="24"/>
          <w:szCs w:val="24"/>
        </w:rPr>
        <w:t xml:space="preserve">        </w:t>
      </w:r>
      <w:r>
        <w:rPr>
          <w:rFonts w:hint="eastAsia"/>
          <w:sz w:val="24"/>
          <w:szCs w:val="24"/>
        </w:rPr>
        <w:t>□无业绩要求。</w:t>
      </w:r>
    </w:p>
    <w:p>
      <w:pPr>
        <w:spacing w:line="360" w:lineRule="auto"/>
        <w:ind w:firstLine="364" w:firstLineChars="152"/>
        <w:rPr>
          <w:sz w:val="24"/>
          <w:szCs w:val="24"/>
        </w:rPr>
      </w:pPr>
      <w:r>
        <w:rPr>
          <w:sz w:val="24"/>
          <w:szCs w:val="24"/>
        </w:rPr>
        <w:t>3.1.3</w:t>
      </w:r>
      <w:r>
        <w:rPr>
          <w:rFonts w:hint="eastAsia"/>
          <w:sz w:val="24"/>
          <w:szCs w:val="24"/>
        </w:rPr>
        <w:t>项目经理的资格要求：</w:t>
      </w:r>
    </w:p>
    <w:p>
      <w:pPr>
        <w:spacing w:line="360" w:lineRule="auto"/>
        <w:ind w:firstLine="960" w:firstLineChars="400"/>
        <w:rPr>
          <w:color w:val="FF0000"/>
          <w:sz w:val="24"/>
          <w:szCs w:val="24"/>
        </w:rPr>
      </w:pPr>
      <w:r>
        <w:rPr>
          <w:rFonts w:hint="eastAsia"/>
          <w:sz w:val="24"/>
          <w:szCs w:val="24"/>
        </w:rPr>
        <w:t>□项目经理（项目负责人）资格：</w:t>
      </w:r>
      <w:r>
        <w:rPr>
          <w:sz w:val="24"/>
          <w:szCs w:val="24"/>
          <w:u w:val="single"/>
        </w:rPr>
        <w:t xml:space="preserve">     (</w:t>
      </w:r>
      <w:r>
        <w:rPr>
          <w:rFonts w:hint="eastAsia"/>
          <w:sz w:val="24"/>
          <w:szCs w:val="24"/>
          <w:u w:val="single"/>
        </w:rPr>
        <w:t>注册专业</w:t>
      </w:r>
      <w:r>
        <w:rPr>
          <w:sz w:val="24"/>
          <w:szCs w:val="24"/>
          <w:u w:val="single"/>
        </w:rPr>
        <w:t>)</w:t>
      </w:r>
      <w:r>
        <w:rPr>
          <w:rFonts w:hint="eastAsia"/>
          <w:sz w:val="24"/>
          <w:szCs w:val="24"/>
          <w:u w:val="single"/>
        </w:rPr>
        <w:t>（级别）</w:t>
      </w:r>
      <w:r>
        <w:rPr>
          <w:rFonts w:hint="eastAsia"/>
          <w:sz w:val="24"/>
          <w:szCs w:val="24"/>
        </w:rPr>
        <w:t>建造师执业资格，具备有效的安全生产考核合格证书（建安</w:t>
      </w:r>
      <w:r>
        <w:rPr>
          <w:sz w:val="24"/>
          <w:szCs w:val="24"/>
        </w:rPr>
        <w:t>B</w:t>
      </w:r>
      <w:r>
        <w:rPr>
          <w:rFonts w:hint="eastAsia"/>
          <w:sz w:val="24"/>
          <w:szCs w:val="24"/>
        </w:rPr>
        <w:t>证），且不得担任其他在施建设工程项目的项目经理，</w:t>
      </w:r>
      <w:r>
        <w:rPr>
          <w:b/>
          <w:sz w:val="24"/>
          <w:szCs w:val="24"/>
          <w:u w:val="single"/>
        </w:rPr>
        <w:t xml:space="preserve">     </w:t>
      </w:r>
      <w:r>
        <w:rPr>
          <w:rFonts w:hint="eastAsia"/>
          <w:bCs/>
          <w:sz w:val="24"/>
          <w:szCs w:val="24"/>
          <w:u w:val="single"/>
        </w:rPr>
        <w:t>（业绩要求）</w:t>
      </w:r>
      <w:r>
        <w:rPr>
          <w:rFonts w:hint="eastAsia"/>
          <w:sz w:val="24"/>
          <w:szCs w:val="24"/>
        </w:rPr>
        <w:t>，须为</w:t>
      </w:r>
      <w:r>
        <w:rPr>
          <w:rFonts w:hint="eastAsia"/>
          <w:bCs/>
          <w:sz w:val="24"/>
          <w:szCs w:val="24"/>
        </w:rPr>
        <w:t>本单位人员（若为联合体投标，须为联合体牵头</w:t>
      </w:r>
      <w:r>
        <w:rPr>
          <w:rFonts w:hint="eastAsia"/>
          <w:sz w:val="24"/>
          <w:szCs w:val="24"/>
        </w:rPr>
        <w:t>人人员）。</w:t>
      </w:r>
    </w:p>
    <w:p>
      <w:pPr>
        <w:spacing w:line="360" w:lineRule="auto"/>
        <w:rPr>
          <w:sz w:val="24"/>
          <w:szCs w:val="24"/>
        </w:rPr>
      </w:pPr>
      <w:r>
        <w:rPr>
          <w:sz w:val="24"/>
          <w:szCs w:val="24"/>
        </w:rPr>
        <w:t xml:space="preserve">   3.2</w:t>
      </w:r>
      <w:r>
        <w:rPr>
          <w:rFonts w:hint="eastAsia"/>
          <w:sz w:val="24"/>
          <w:szCs w:val="24"/>
        </w:rPr>
        <w:t>本次招标□接受或□不接受联合体投标。联合体投标的，应满足下列要求：</w:t>
      </w:r>
      <w:r>
        <w:rPr>
          <w:sz w:val="24"/>
          <w:szCs w:val="24"/>
          <w:u w:val="single"/>
        </w:rPr>
        <w:t xml:space="preserve">            </w:t>
      </w:r>
      <w:r>
        <w:rPr>
          <w:rFonts w:hint="eastAsia"/>
          <w:sz w:val="24"/>
          <w:szCs w:val="24"/>
        </w:rPr>
        <w:t>。</w:t>
      </w:r>
    </w:p>
    <w:p>
      <w:pPr>
        <w:spacing w:line="360" w:lineRule="auto"/>
        <w:rPr>
          <w:sz w:val="24"/>
          <w:szCs w:val="24"/>
        </w:rPr>
      </w:pPr>
      <w:r>
        <w:rPr>
          <w:sz w:val="24"/>
          <w:szCs w:val="24"/>
        </w:rPr>
        <w:t xml:space="preserve">   3.3</w:t>
      </w:r>
      <w:r>
        <w:rPr>
          <w:rFonts w:hint="eastAsia"/>
          <w:sz w:val="24"/>
          <w:szCs w:val="24"/>
        </w:rPr>
        <w:t>各投标人均可就上述</w:t>
      </w:r>
      <w:r>
        <w:rPr>
          <w:sz w:val="24"/>
          <w:szCs w:val="24"/>
          <w:u w:val="single"/>
        </w:rPr>
        <w:t xml:space="preserve">           </w:t>
      </w:r>
      <w:r>
        <w:rPr>
          <w:sz w:val="24"/>
          <w:szCs w:val="24"/>
        </w:rPr>
        <w:t>(</w:t>
      </w:r>
      <w:r>
        <w:rPr>
          <w:rFonts w:hint="eastAsia"/>
          <w:sz w:val="24"/>
          <w:szCs w:val="24"/>
        </w:rPr>
        <w:t>具体数量</w:t>
      </w:r>
      <w:r>
        <w:rPr>
          <w:sz w:val="24"/>
          <w:szCs w:val="24"/>
        </w:rPr>
        <w:t>)</w:t>
      </w:r>
      <w:r>
        <w:rPr>
          <w:rFonts w:hint="eastAsia"/>
          <w:sz w:val="24"/>
          <w:szCs w:val="24"/>
        </w:rPr>
        <w:t>标段投标</w:t>
      </w:r>
      <w:r>
        <w:rPr>
          <w:sz w:val="24"/>
          <w:szCs w:val="24"/>
        </w:rPr>
        <w:t xml:space="preserve"> </w:t>
      </w:r>
      <w:r>
        <w:rPr>
          <w:rFonts w:hint="eastAsia"/>
          <w:sz w:val="24"/>
          <w:szCs w:val="24"/>
        </w:rPr>
        <w:t>。</w:t>
      </w:r>
    </w:p>
    <w:p>
      <w:pPr>
        <w:tabs>
          <w:tab w:val="left" w:pos="1066"/>
          <w:tab w:val="left" w:pos="8362"/>
        </w:tabs>
        <w:spacing w:line="360" w:lineRule="auto"/>
        <w:rPr>
          <w:b/>
          <w:sz w:val="24"/>
          <w:szCs w:val="24"/>
        </w:rPr>
      </w:pPr>
      <w:r>
        <w:rPr>
          <w:b/>
          <w:sz w:val="24"/>
          <w:szCs w:val="24"/>
        </w:rPr>
        <w:t>4</w:t>
      </w:r>
      <w:r>
        <w:rPr>
          <w:rFonts w:hint="eastAsia"/>
          <w:b/>
          <w:sz w:val="24"/>
          <w:szCs w:val="24"/>
        </w:rPr>
        <w:t>、关注项目</w:t>
      </w:r>
    </w:p>
    <w:p>
      <w:pPr>
        <w:spacing w:line="360" w:lineRule="auto"/>
        <w:ind w:firstLine="480" w:firstLineChars="200"/>
        <w:rPr>
          <w:b/>
          <w:sz w:val="24"/>
          <w:szCs w:val="24"/>
        </w:rPr>
      </w:pPr>
      <w:r>
        <w:rPr>
          <w:rFonts w:hint="eastAsia"/>
          <w:sz w:val="24"/>
          <w:szCs w:val="24"/>
        </w:rPr>
        <w:t>凡有意参加投标者，请于</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分至</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分（北京时间，下同），在</w:t>
      </w:r>
      <w:r>
        <w:rPr>
          <w:rFonts w:hint="eastAsia"/>
          <w:sz w:val="24"/>
          <w:szCs w:val="24"/>
          <w:u w:val="single"/>
        </w:rPr>
        <w:t>西藏自治区公共资源交易平台（通过西藏自治区公共资源交易网登录，网址：</w:t>
      </w:r>
      <w:r>
        <w:rPr>
          <w:sz w:val="24"/>
          <w:szCs w:val="24"/>
          <w:u w:val="single"/>
        </w:rPr>
        <w:t xml:space="preserve"> ggzy.xizang.gov.cn</w:t>
      </w:r>
      <w:r>
        <w:rPr>
          <w:rFonts w:hint="eastAsia"/>
          <w:sz w:val="24"/>
          <w:szCs w:val="24"/>
          <w:u w:val="single"/>
        </w:rPr>
        <w:t>）</w:t>
      </w:r>
      <w:r>
        <w:rPr>
          <w:rFonts w:hint="eastAsia"/>
          <w:sz w:val="24"/>
          <w:szCs w:val="24"/>
        </w:rPr>
        <w:t>关注项目。</w:t>
      </w:r>
    </w:p>
    <w:p>
      <w:pPr>
        <w:spacing w:line="360" w:lineRule="auto"/>
        <w:rPr>
          <w:b/>
          <w:sz w:val="24"/>
          <w:szCs w:val="24"/>
        </w:rPr>
      </w:pPr>
      <w:r>
        <w:rPr>
          <w:b/>
          <w:sz w:val="24"/>
          <w:szCs w:val="24"/>
        </w:rPr>
        <w:t xml:space="preserve">5. </w:t>
      </w:r>
      <w:r>
        <w:rPr>
          <w:rFonts w:hint="eastAsia"/>
          <w:b/>
          <w:sz w:val="24"/>
          <w:szCs w:val="24"/>
        </w:rPr>
        <w:t>招标文件的获取</w:t>
      </w:r>
    </w:p>
    <w:p>
      <w:pPr>
        <w:spacing w:line="360" w:lineRule="auto"/>
        <w:rPr>
          <w:sz w:val="24"/>
          <w:szCs w:val="24"/>
        </w:rPr>
      </w:pPr>
      <w:r>
        <w:rPr>
          <w:sz w:val="24"/>
          <w:szCs w:val="24"/>
        </w:rPr>
        <w:t xml:space="preserve">   5.1</w:t>
      </w:r>
      <w:r>
        <w:rPr>
          <w:rFonts w:hint="eastAsia"/>
          <w:sz w:val="24"/>
          <w:szCs w:val="24"/>
        </w:rPr>
        <w:t>凡通过上述报名者，请于</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分至</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分（北京时间，下同），在</w:t>
      </w:r>
      <w:r>
        <w:rPr>
          <w:rFonts w:hint="eastAsia"/>
          <w:sz w:val="24"/>
          <w:szCs w:val="24"/>
          <w:u w:val="single"/>
        </w:rPr>
        <w:t>西藏自治区公共资源交易平台（</w:t>
      </w:r>
      <w:r>
        <w:rPr>
          <w:sz w:val="24"/>
          <w:szCs w:val="24"/>
          <w:u w:val="single"/>
        </w:rPr>
        <w:t xml:space="preserve">http://ggzy.xizang.gov.cn) </w:t>
      </w:r>
      <w:r>
        <w:rPr>
          <w:sz w:val="24"/>
          <w:szCs w:val="24"/>
        </w:rPr>
        <w:t>(</w:t>
      </w:r>
      <w:r>
        <w:rPr>
          <w:rFonts w:hint="eastAsia"/>
          <w:sz w:val="24"/>
          <w:szCs w:val="24"/>
        </w:rPr>
        <w:t>购买网址</w:t>
      </w:r>
      <w:r>
        <w:rPr>
          <w:sz w:val="24"/>
          <w:szCs w:val="24"/>
        </w:rPr>
        <w:t>)</w:t>
      </w:r>
      <w:r>
        <w:rPr>
          <w:rFonts w:hint="eastAsia"/>
          <w:sz w:val="24"/>
          <w:szCs w:val="24"/>
        </w:rPr>
        <w:t>下载招标文件、图纸及工程量清单。</w:t>
      </w:r>
    </w:p>
    <w:p>
      <w:pPr>
        <w:spacing w:line="360" w:lineRule="auto"/>
        <w:ind w:firstLine="480" w:firstLineChars="200"/>
        <w:rPr>
          <w:sz w:val="24"/>
          <w:szCs w:val="24"/>
        </w:rPr>
      </w:pPr>
      <w:r>
        <w:rPr>
          <w:sz w:val="24"/>
          <w:szCs w:val="24"/>
        </w:rPr>
        <w:t xml:space="preserve">5.2 </w:t>
      </w:r>
      <w:r>
        <w:rPr>
          <w:rFonts w:hint="eastAsia"/>
          <w:sz w:val="24"/>
          <w:szCs w:val="24"/>
        </w:rPr>
        <w:t>招标人不提供招标文件获取的其他方式。</w:t>
      </w:r>
    </w:p>
    <w:p>
      <w:pPr>
        <w:spacing w:line="360" w:lineRule="auto"/>
        <w:rPr>
          <w:b/>
          <w:sz w:val="24"/>
          <w:szCs w:val="24"/>
        </w:rPr>
      </w:pPr>
      <w:r>
        <w:rPr>
          <w:b/>
          <w:sz w:val="24"/>
          <w:szCs w:val="24"/>
        </w:rPr>
        <w:t xml:space="preserve">6. </w:t>
      </w:r>
      <w:r>
        <w:rPr>
          <w:rFonts w:hint="eastAsia"/>
          <w:b/>
          <w:sz w:val="24"/>
          <w:szCs w:val="24"/>
        </w:rPr>
        <w:t>投标文件的递交</w:t>
      </w:r>
    </w:p>
    <w:p>
      <w:pPr>
        <w:adjustRightInd w:val="0"/>
        <w:snapToGrid w:val="0"/>
        <w:spacing w:line="360" w:lineRule="auto"/>
        <w:ind w:firstLine="480" w:firstLineChars="200"/>
        <w:rPr>
          <w:sz w:val="24"/>
          <w:szCs w:val="24"/>
        </w:rPr>
      </w:pPr>
      <w:r>
        <w:rPr>
          <w:sz w:val="24"/>
          <w:szCs w:val="24"/>
        </w:rPr>
        <w:t>6.1</w:t>
      </w:r>
      <w:r>
        <w:rPr>
          <w:rFonts w:hint="eastAsia"/>
          <w:sz w:val="24"/>
          <w:szCs w:val="24"/>
        </w:rPr>
        <w:t>投标文件递交的截止时间</w:t>
      </w:r>
      <w:r>
        <w:rPr>
          <w:sz w:val="24"/>
          <w:szCs w:val="24"/>
        </w:rPr>
        <w:t>(</w:t>
      </w:r>
      <w:r>
        <w:rPr>
          <w:rFonts w:hint="eastAsia"/>
          <w:sz w:val="24"/>
          <w:szCs w:val="24"/>
        </w:rPr>
        <w:t>投标截止时间，下同</w:t>
      </w:r>
      <w:r>
        <w:rPr>
          <w:sz w:val="24"/>
          <w:szCs w:val="24"/>
        </w:rPr>
        <w:t>)</w:t>
      </w:r>
      <w:r>
        <w:rPr>
          <w:rFonts w:hint="eastAsia"/>
          <w:sz w:val="24"/>
          <w:szCs w:val="24"/>
        </w:rPr>
        <w:t>为</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w:t>
      </w:r>
      <w:r>
        <w:rPr>
          <w:sz w:val="24"/>
          <w:szCs w:val="24"/>
        </w:rPr>
        <w:t xml:space="preserve"> </w:t>
      </w:r>
      <w:r>
        <w:rPr>
          <w:rFonts w:hint="eastAsia"/>
          <w:sz w:val="24"/>
          <w:szCs w:val="24"/>
        </w:rPr>
        <w:t>，地点为</w:t>
      </w:r>
      <w:r>
        <w:rPr>
          <w:rFonts w:hint="eastAsia"/>
          <w:sz w:val="24"/>
          <w:szCs w:val="24"/>
          <w:u w:val="single"/>
        </w:rPr>
        <w:t>西藏自治区公共资源交易平台（通过西藏自治区公共资源交易网登录，网址：</w:t>
      </w:r>
      <w:r>
        <w:rPr>
          <w:sz w:val="24"/>
          <w:szCs w:val="24"/>
          <w:u w:val="single"/>
        </w:rPr>
        <w:t>ggzy.xizang.gov.cn</w:t>
      </w:r>
      <w:r>
        <w:rPr>
          <w:rFonts w:hint="eastAsia"/>
          <w:sz w:val="24"/>
          <w:szCs w:val="24"/>
          <w:u w:val="single"/>
        </w:rPr>
        <w:t>）</w:t>
      </w:r>
      <w:r>
        <w:rPr>
          <w:rFonts w:hint="eastAsia"/>
          <w:sz w:val="24"/>
          <w:szCs w:val="24"/>
        </w:rPr>
        <w:t>。</w:t>
      </w:r>
    </w:p>
    <w:p>
      <w:pPr>
        <w:adjustRightInd w:val="0"/>
        <w:snapToGrid w:val="0"/>
        <w:spacing w:line="360" w:lineRule="auto"/>
        <w:ind w:firstLine="480"/>
        <w:rPr>
          <w:sz w:val="24"/>
        </w:rPr>
      </w:pPr>
      <w:r>
        <w:rPr>
          <w:sz w:val="24"/>
        </w:rPr>
        <w:t xml:space="preserve">6.2 </w:t>
      </w:r>
      <w:r>
        <w:rPr>
          <w:rFonts w:hint="eastAsia"/>
          <w:sz w:val="24"/>
        </w:rPr>
        <w:t>逾期送达的或者未送达指定地点的投标文件，招标人不予受理。</w:t>
      </w:r>
    </w:p>
    <w:p>
      <w:pPr>
        <w:spacing w:line="360" w:lineRule="auto"/>
        <w:rPr>
          <w:b/>
          <w:sz w:val="24"/>
          <w:szCs w:val="24"/>
        </w:rPr>
      </w:pPr>
      <w:r>
        <w:rPr>
          <w:b/>
          <w:sz w:val="24"/>
          <w:szCs w:val="24"/>
        </w:rPr>
        <w:t xml:space="preserve">7. </w:t>
      </w:r>
      <w:r>
        <w:rPr>
          <w:rFonts w:hint="eastAsia"/>
          <w:b/>
          <w:sz w:val="24"/>
          <w:szCs w:val="24"/>
        </w:rPr>
        <w:t>发布公告的媒介</w:t>
      </w:r>
    </w:p>
    <w:p>
      <w:pPr>
        <w:spacing w:line="360" w:lineRule="auto"/>
        <w:rPr>
          <w:sz w:val="24"/>
          <w:szCs w:val="24"/>
        </w:rPr>
      </w:pPr>
      <w:r>
        <w:rPr>
          <w:sz w:val="24"/>
          <w:szCs w:val="24"/>
        </w:rPr>
        <w:t xml:space="preserve">   </w:t>
      </w:r>
      <w:r>
        <w:rPr>
          <w:rFonts w:hint="eastAsia"/>
          <w:sz w:val="24"/>
          <w:szCs w:val="24"/>
        </w:rPr>
        <w:t>本次招标公告同时在</w:t>
      </w:r>
      <w:r>
        <w:rPr>
          <w:b/>
          <w:sz w:val="24"/>
          <w:szCs w:val="24"/>
          <w:u w:val="single"/>
        </w:rPr>
        <w:t xml:space="preserve">          </w:t>
      </w:r>
      <w:r>
        <w:rPr>
          <w:sz w:val="24"/>
          <w:szCs w:val="24"/>
        </w:rPr>
        <w:t>(</w:t>
      </w:r>
      <w:r>
        <w:rPr>
          <w:rFonts w:hint="eastAsia"/>
          <w:sz w:val="24"/>
          <w:szCs w:val="24"/>
        </w:rPr>
        <w:t>公告发布的媒介名称）上发布。</w:t>
      </w:r>
    </w:p>
    <w:p>
      <w:pPr>
        <w:spacing w:line="360" w:lineRule="auto"/>
        <w:rPr>
          <w:b/>
          <w:sz w:val="24"/>
          <w:szCs w:val="24"/>
        </w:rPr>
      </w:pPr>
      <w:r>
        <w:rPr>
          <w:b/>
          <w:sz w:val="24"/>
          <w:szCs w:val="24"/>
        </w:rPr>
        <w:t xml:space="preserve">8. </w:t>
      </w:r>
      <w:r>
        <w:rPr>
          <w:rFonts w:hint="eastAsia"/>
          <w:b/>
          <w:sz w:val="24"/>
          <w:szCs w:val="24"/>
        </w:rPr>
        <w:t>其他</w:t>
      </w:r>
    </w:p>
    <w:p>
      <w:pPr>
        <w:spacing w:line="360" w:lineRule="auto"/>
        <w:ind w:firstLine="480" w:firstLineChars="200"/>
        <w:rPr>
          <w:sz w:val="24"/>
          <w:szCs w:val="24"/>
        </w:rPr>
      </w:pPr>
      <w:r>
        <w:rPr>
          <w:sz w:val="24"/>
          <w:szCs w:val="24"/>
        </w:rPr>
        <w:t>8.1</w:t>
      </w:r>
      <w:r>
        <w:rPr>
          <w:rFonts w:hint="eastAsia"/>
          <w:sz w:val="24"/>
          <w:szCs w:val="24"/>
        </w:rPr>
        <w:t>投标企业在投标时需要上传电子投标文件至系统中、并在西藏自治区公共资源交易平台不见面开标大厅（即不见面开标大厅，可登录西藏自治区公共资源交易平台访问）用企业</w:t>
      </w:r>
      <w:r>
        <w:rPr>
          <w:sz w:val="24"/>
          <w:szCs w:val="24"/>
        </w:rPr>
        <w:t>CA</w:t>
      </w:r>
      <w:r>
        <w:rPr>
          <w:rFonts w:hint="eastAsia"/>
          <w:sz w:val="24"/>
          <w:szCs w:val="24"/>
        </w:rPr>
        <w:t>锁制作电子标书的锁，解密上传的电子标书。</w:t>
      </w:r>
    </w:p>
    <w:p>
      <w:pPr>
        <w:spacing w:line="360" w:lineRule="auto"/>
        <w:ind w:firstLine="482" w:firstLineChars="200"/>
        <w:rPr>
          <w:sz w:val="24"/>
          <w:szCs w:val="24"/>
        </w:rPr>
      </w:pPr>
      <w:r>
        <w:rPr>
          <w:rFonts w:hint="eastAsia"/>
          <w:b/>
          <w:bCs/>
          <w:sz w:val="24"/>
          <w:szCs w:val="24"/>
        </w:rPr>
        <w:t>备注</w:t>
      </w:r>
      <w:r>
        <w:rPr>
          <w:rFonts w:hint="eastAsia"/>
          <w:sz w:val="24"/>
          <w:szCs w:val="24"/>
        </w:rPr>
        <w:t>：请投标人将投标文件中需要签字的页面打印出来签字，并按照招标文件所要求的投标文件的格式</w:t>
      </w:r>
      <w:r>
        <w:rPr>
          <w:rFonts w:hint="eastAsia"/>
          <w:sz w:val="24"/>
          <w:szCs w:val="24"/>
          <w:lang w:val="en-US"/>
        </w:rPr>
        <w:t>依次</w:t>
      </w:r>
      <w:r>
        <w:rPr>
          <w:rFonts w:hint="eastAsia"/>
          <w:sz w:val="24"/>
          <w:szCs w:val="24"/>
        </w:rPr>
        <w:t>扫描</w:t>
      </w:r>
      <w:r>
        <w:rPr>
          <w:rFonts w:hint="eastAsia"/>
          <w:sz w:val="24"/>
          <w:szCs w:val="24"/>
          <w:lang w:val="en-US"/>
        </w:rPr>
        <w:t>放入</w:t>
      </w:r>
      <w:r>
        <w:rPr>
          <w:rFonts w:hint="eastAsia"/>
          <w:sz w:val="24"/>
          <w:szCs w:val="24"/>
        </w:rPr>
        <w:t>相应位置，</w:t>
      </w:r>
      <w:r>
        <w:rPr>
          <w:rFonts w:hint="eastAsia"/>
          <w:sz w:val="24"/>
          <w:szCs w:val="24"/>
          <w:lang w:val="en-US"/>
        </w:rPr>
        <w:t>然后</w:t>
      </w:r>
      <w:r>
        <w:rPr>
          <w:rFonts w:hint="eastAsia"/>
          <w:sz w:val="24"/>
          <w:szCs w:val="24"/>
        </w:rPr>
        <w:t>制作成电子文件上传至电子招投标系统中，否则投标文件无效。</w:t>
      </w:r>
    </w:p>
    <w:p>
      <w:pPr>
        <w:spacing w:line="360" w:lineRule="auto"/>
        <w:rPr>
          <w:b/>
          <w:sz w:val="24"/>
          <w:szCs w:val="24"/>
        </w:rPr>
      </w:pPr>
      <w:r>
        <w:rPr>
          <w:b/>
          <w:sz w:val="24"/>
          <w:szCs w:val="24"/>
        </w:rPr>
        <w:t xml:space="preserve">9. </w:t>
      </w:r>
      <w:r>
        <w:rPr>
          <w:rFonts w:hint="eastAsia"/>
          <w:b/>
          <w:sz w:val="24"/>
          <w:szCs w:val="24"/>
        </w:rPr>
        <w:t>联系方式</w:t>
      </w:r>
    </w:p>
    <w:p>
      <w:pPr>
        <w:adjustRightInd w:val="0"/>
        <w:snapToGrid w:val="0"/>
        <w:spacing w:line="360" w:lineRule="auto"/>
        <w:ind w:firstLine="240" w:firstLineChars="100"/>
        <w:rPr>
          <w:sz w:val="24"/>
          <w:szCs w:val="24"/>
        </w:rPr>
      </w:pPr>
      <w:r>
        <w:rPr>
          <w:rFonts w:hint="eastAsia"/>
          <w:sz w:val="24"/>
          <w:szCs w:val="24"/>
        </w:rPr>
        <w:t>招</w:t>
      </w:r>
      <w:r>
        <w:rPr>
          <w:sz w:val="24"/>
          <w:szCs w:val="24"/>
        </w:rPr>
        <w:t xml:space="preserve"> </w:t>
      </w:r>
      <w:r>
        <w:rPr>
          <w:rFonts w:hint="eastAsia"/>
          <w:sz w:val="24"/>
          <w:szCs w:val="24"/>
        </w:rPr>
        <w:t>标</w:t>
      </w:r>
      <w:r>
        <w:rPr>
          <w:sz w:val="24"/>
          <w:szCs w:val="24"/>
        </w:rPr>
        <w:t xml:space="preserve"> </w:t>
      </w:r>
      <w:r>
        <w:rPr>
          <w:rFonts w:hint="eastAsia"/>
          <w:sz w:val="24"/>
          <w:szCs w:val="24"/>
        </w:rPr>
        <w:t>人：</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地</w:t>
      </w:r>
      <w:r>
        <w:rPr>
          <w:sz w:val="24"/>
          <w:szCs w:val="24"/>
        </w:rPr>
        <w:t xml:space="preserve">    </w:t>
      </w:r>
      <w:r>
        <w:rPr>
          <w:rFonts w:hint="eastAsia"/>
          <w:sz w:val="24"/>
          <w:szCs w:val="24"/>
        </w:rPr>
        <w:t>址：</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邮</w:t>
      </w:r>
      <w:r>
        <w:rPr>
          <w:sz w:val="24"/>
          <w:szCs w:val="24"/>
        </w:rPr>
        <w:t xml:space="preserve">    </w:t>
      </w:r>
      <w:r>
        <w:rPr>
          <w:rFonts w:hint="eastAsia"/>
          <w:sz w:val="24"/>
          <w:szCs w:val="24"/>
        </w:rPr>
        <w:t>编：</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联</w:t>
      </w:r>
      <w:r>
        <w:rPr>
          <w:sz w:val="24"/>
          <w:szCs w:val="24"/>
        </w:rPr>
        <w:t xml:space="preserve"> </w:t>
      </w:r>
      <w:r>
        <w:rPr>
          <w:rFonts w:hint="eastAsia"/>
          <w:sz w:val="24"/>
          <w:szCs w:val="24"/>
        </w:rPr>
        <w:t>系</w:t>
      </w:r>
      <w:r>
        <w:rPr>
          <w:sz w:val="24"/>
          <w:szCs w:val="24"/>
        </w:rPr>
        <w:t xml:space="preserve"> </w:t>
      </w:r>
      <w:r>
        <w:rPr>
          <w:rFonts w:hint="eastAsia"/>
          <w:sz w:val="24"/>
          <w:szCs w:val="24"/>
        </w:rPr>
        <w:t>人：</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电</w:t>
      </w:r>
      <w:r>
        <w:rPr>
          <w:sz w:val="24"/>
          <w:szCs w:val="24"/>
        </w:rPr>
        <w:t xml:space="preserve">    </w:t>
      </w:r>
      <w:r>
        <w:rPr>
          <w:rFonts w:hint="eastAsia"/>
          <w:sz w:val="24"/>
          <w:szCs w:val="24"/>
        </w:rPr>
        <w:t>话：</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传</w:t>
      </w:r>
      <w:r>
        <w:rPr>
          <w:sz w:val="24"/>
          <w:szCs w:val="24"/>
        </w:rPr>
        <w:t xml:space="preserve">    </w:t>
      </w:r>
      <w:r>
        <w:rPr>
          <w:rFonts w:hint="eastAsia"/>
          <w:sz w:val="24"/>
          <w:szCs w:val="24"/>
        </w:rPr>
        <w:t>真：</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电子邮件：</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网</w:t>
      </w:r>
      <w:r>
        <w:rPr>
          <w:sz w:val="24"/>
          <w:szCs w:val="24"/>
        </w:rPr>
        <w:t xml:space="preserve">    </w:t>
      </w:r>
      <w:r>
        <w:rPr>
          <w:rFonts w:hint="eastAsia"/>
          <w:sz w:val="24"/>
          <w:szCs w:val="24"/>
        </w:rPr>
        <w:t>址：</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开户银行：</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账</w:t>
      </w:r>
      <w:r>
        <w:rPr>
          <w:sz w:val="24"/>
          <w:szCs w:val="24"/>
        </w:rPr>
        <w:t xml:space="preserve">    </w:t>
      </w:r>
      <w:r>
        <w:rPr>
          <w:rFonts w:hint="eastAsia"/>
          <w:sz w:val="24"/>
          <w:szCs w:val="24"/>
        </w:rPr>
        <w:t>号：</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招标代理机构：</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地</w:t>
      </w:r>
      <w:r>
        <w:rPr>
          <w:sz w:val="24"/>
          <w:szCs w:val="24"/>
        </w:rPr>
        <w:t xml:space="preserve">    </w:t>
      </w:r>
      <w:r>
        <w:rPr>
          <w:rFonts w:hint="eastAsia"/>
          <w:sz w:val="24"/>
          <w:szCs w:val="24"/>
        </w:rPr>
        <w:t>址：</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邮</w:t>
      </w:r>
      <w:r>
        <w:rPr>
          <w:sz w:val="24"/>
          <w:szCs w:val="24"/>
        </w:rPr>
        <w:t xml:space="preserve">    </w:t>
      </w:r>
      <w:r>
        <w:rPr>
          <w:rFonts w:hint="eastAsia"/>
          <w:sz w:val="24"/>
          <w:szCs w:val="24"/>
        </w:rPr>
        <w:t>编：</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联</w:t>
      </w:r>
      <w:r>
        <w:rPr>
          <w:sz w:val="24"/>
          <w:szCs w:val="24"/>
        </w:rPr>
        <w:t xml:space="preserve"> </w:t>
      </w:r>
      <w:r>
        <w:rPr>
          <w:rFonts w:hint="eastAsia"/>
          <w:sz w:val="24"/>
          <w:szCs w:val="24"/>
        </w:rPr>
        <w:t>系</w:t>
      </w:r>
      <w:r>
        <w:rPr>
          <w:sz w:val="24"/>
          <w:szCs w:val="24"/>
        </w:rPr>
        <w:t xml:space="preserve"> </w:t>
      </w:r>
      <w:r>
        <w:rPr>
          <w:rFonts w:hint="eastAsia"/>
          <w:sz w:val="24"/>
          <w:szCs w:val="24"/>
        </w:rPr>
        <w:t>人：</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电</w:t>
      </w:r>
      <w:r>
        <w:rPr>
          <w:sz w:val="24"/>
          <w:szCs w:val="24"/>
        </w:rPr>
        <w:t xml:space="preserve">    </w:t>
      </w:r>
      <w:r>
        <w:rPr>
          <w:rFonts w:hint="eastAsia"/>
          <w:sz w:val="24"/>
          <w:szCs w:val="24"/>
        </w:rPr>
        <w:t>话：</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传</w:t>
      </w:r>
      <w:r>
        <w:rPr>
          <w:sz w:val="24"/>
          <w:szCs w:val="24"/>
        </w:rPr>
        <w:t xml:space="preserve">    </w:t>
      </w:r>
      <w:r>
        <w:rPr>
          <w:rFonts w:hint="eastAsia"/>
          <w:sz w:val="24"/>
          <w:szCs w:val="24"/>
        </w:rPr>
        <w:t>真：</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电子邮件：</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网</w:t>
      </w:r>
      <w:r>
        <w:rPr>
          <w:sz w:val="24"/>
          <w:szCs w:val="24"/>
        </w:rPr>
        <w:t xml:space="preserve">    </w:t>
      </w:r>
      <w:r>
        <w:rPr>
          <w:rFonts w:hint="eastAsia"/>
          <w:sz w:val="24"/>
          <w:szCs w:val="24"/>
        </w:rPr>
        <w:t>址：</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开户银行：</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账</w:t>
      </w:r>
      <w:r>
        <w:rPr>
          <w:sz w:val="24"/>
          <w:szCs w:val="24"/>
        </w:rPr>
        <w:t xml:space="preserve">    </w:t>
      </w:r>
      <w:r>
        <w:rPr>
          <w:rFonts w:hint="eastAsia"/>
          <w:sz w:val="24"/>
          <w:szCs w:val="24"/>
        </w:rPr>
        <w:t>号：</w:t>
      </w:r>
      <w:r>
        <w:rPr>
          <w:b/>
          <w:sz w:val="24"/>
          <w:szCs w:val="24"/>
          <w:u w:val="single"/>
        </w:rPr>
        <w:t xml:space="preserve">         </w:t>
      </w:r>
    </w:p>
    <w:p>
      <w:pPr>
        <w:adjustRightInd w:val="0"/>
        <w:snapToGrid w:val="0"/>
        <w:spacing w:line="360" w:lineRule="auto"/>
        <w:jc w:val="center"/>
        <w:rPr>
          <w:sz w:val="24"/>
          <w:szCs w:val="24"/>
        </w:rPr>
      </w:pPr>
      <w:r>
        <w:rPr>
          <w:b/>
          <w:sz w:val="24"/>
          <w:szCs w:val="24"/>
        </w:rPr>
        <w:t xml:space="preserve">                                      </w:t>
      </w:r>
      <w:r>
        <w:rPr>
          <w:b/>
          <w:sz w:val="24"/>
          <w:szCs w:val="24"/>
          <w:u w:val="single"/>
        </w:rPr>
        <w:t xml:space="preserve">   </w:t>
      </w:r>
      <w:r>
        <w:rPr>
          <w:rFonts w:hint="eastAsia"/>
          <w:sz w:val="24"/>
          <w:szCs w:val="24"/>
        </w:rPr>
        <w:t>年</w:t>
      </w:r>
      <w:r>
        <w:rPr>
          <w:b/>
          <w:sz w:val="24"/>
          <w:szCs w:val="24"/>
          <w:u w:val="single"/>
        </w:rPr>
        <w:t xml:space="preserve">   </w:t>
      </w:r>
      <w:r>
        <w:rPr>
          <w:rFonts w:hint="eastAsia"/>
          <w:sz w:val="24"/>
          <w:szCs w:val="24"/>
        </w:rPr>
        <w:t>月</w:t>
      </w:r>
      <w:r>
        <w:rPr>
          <w:b/>
          <w:sz w:val="24"/>
          <w:szCs w:val="24"/>
          <w:u w:val="single"/>
        </w:rPr>
        <w:t xml:space="preserve">   </w:t>
      </w:r>
      <w:r>
        <w:rPr>
          <w:rFonts w:hint="eastAsia"/>
          <w:sz w:val="24"/>
          <w:szCs w:val="24"/>
        </w:rPr>
        <w:t>日</w:t>
      </w:r>
    </w:p>
    <w:p>
      <w:pPr>
        <w:autoSpaceDE/>
        <w:autoSpaceDN/>
        <w:spacing w:line="360" w:lineRule="auto"/>
        <w:rPr>
          <w:sz w:val="24"/>
          <w:szCs w:val="24"/>
        </w:rPr>
      </w:pPr>
      <w:r>
        <w:rPr>
          <w:rFonts w:hint="eastAsia"/>
          <w:sz w:val="24"/>
          <w:szCs w:val="24"/>
        </w:rPr>
        <w:t>注：</w:t>
      </w:r>
    </w:p>
    <w:p>
      <w:pPr>
        <w:autoSpaceDE/>
        <w:autoSpaceDN/>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）若划分标段，则填写标段序号；若划分为两个及以上标段，应分别明确各标段的具体内容、划分情况。</w:t>
      </w:r>
    </w:p>
    <w:p>
      <w:pPr>
        <w:autoSpaceDE/>
        <w:autoSpaceDN/>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）招标人对投标人的资质要求，应是国家对投标人资质的强制性规定。不是国家规定必须具备的资质，不得作为资质要求。</w:t>
      </w:r>
    </w:p>
    <w:p>
      <w:pPr>
        <w:autoSpaceDE/>
        <w:autoSpaceDN/>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）招标人对投标人的类似项目业绩要求，设置的投资额、面积、长度等规模量化指标不得高于本次招标工程相应指标，类似项目业绩的定义应明确，用语准确无歧义。</w:t>
      </w:r>
    </w:p>
    <w:p>
      <w:pPr>
        <w:tabs>
          <w:tab w:val="left" w:pos="6467"/>
          <w:tab w:val="left" w:pos="7428"/>
          <w:tab w:val="left" w:pos="8268"/>
        </w:tabs>
        <w:spacing w:line="360" w:lineRule="auto"/>
        <w:rPr>
          <w:sz w:val="24"/>
        </w:rPr>
      </w:pPr>
      <w:r>
        <w:rPr>
          <w:rFonts w:hint="eastAsia"/>
          <w:sz w:val="24"/>
          <w:szCs w:val="24"/>
        </w:rPr>
        <w:t>（</w:t>
      </w:r>
      <w:r>
        <w:rPr>
          <w:sz w:val="24"/>
          <w:szCs w:val="24"/>
        </w:rPr>
        <w:t>4</w:t>
      </w:r>
      <w:r>
        <w:rPr>
          <w:rFonts w:hint="eastAsia"/>
          <w:sz w:val="24"/>
          <w:szCs w:val="24"/>
        </w:rPr>
        <w:t>）招标人要求投标人需具备的资质一个项目（标段）为一个，因特殊情况需要两个以上资质的，应当接受投标人组成联合体投标，且限定的联合体成员数量不得少于设定的资质个数。</w:t>
      </w:r>
    </w:p>
    <w:p>
      <w:pPr>
        <w:spacing w:line="360" w:lineRule="auto"/>
        <w:jc w:val="right"/>
        <w:rPr>
          <w:sz w:val="24"/>
        </w:rPr>
        <w:sectPr>
          <w:pgSz w:w="11910" w:h="16850"/>
          <w:pgMar w:top="1361" w:right="1361" w:bottom="1361" w:left="1361" w:header="0" w:footer="714" w:gutter="0"/>
          <w:cols w:space="720" w:num="1"/>
        </w:sectPr>
      </w:pPr>
    </w:p>
    <w:p>
      <w:pPr>
        <w:tabs>
          <w:tab w:val="left" w:pos="1687"/>
        </w:tabs>
        <w:spacing w:line="360" w:lineRule="auto"/>
        <w:ind w:right="501"/>
        <w:jc w:val="center"/>
        <w:rPr>
          <w:b/>
          <w:sz w:val="48"/>
        </w:rPr>
      </w:pPr>
      <w:bookmarkStart w:id="1" w:name="_bookmark1"/>
      <w:bookmarkEnd w:id="1"/>
    </w:p>
    <w:p>
      <w:pPr>
        <w:tabs>
          <w:tab w:val="left" w:pos="1687"/>
        </w:tabs>
        <w:spacing w:line="360" w:lineRule="auto"/>
        <w:ind w:right="501"/>
        <w:jc w:val="center"/>
        <w:rPr>
          <w:b/>
          <w:sz w:val="48"/>
        </w:rPr>
      </w:pPr>
    </w:p>
    <w:p>
      <w:pPr>
        <w:tabs>
          <w:tab w:val="left" w:pos="1687"/>
        </w:tabs>
        <w:spacing w:line="360" w:lineRule="auto"/>
        <w:ind w:right="501"/>
        <w:jc w:val="center"/>
        <w:rPr>
          <w:b/>
          <w:sz w:val="48"/>
        </w:rPr>
      </w:pPr>
    </w:p>
    <w:p>
      <w:pPr>
        <w:tabs>
          <w:tab w:val="left" w:pos="1687"/>
        </w:tabs>
        <w:spacing w:line="360" w:lineRule="auto"/>
        <w:ind w:right="501"/>
        <w:jc w:val="center"/>
        <w:rPr>
          <w:b/>
          <w:sz w:val="48"/>
        </w:rPr>
      </w:pPr>
    </w:p>
    <w:p>
      <w:pPr>
        <w:tabs>
          <w:tab w:val="left" w:pos="1687"/>
        </w:tabs>
        <w:spacing w:line="360" w:lineRule="auto"/>
        <w:ind w:right="501"/>
        <w:jc w:val="center"/>
        <w:rPr>
          <w:b/>
          <w:sz w:val="48"/>
        </w:rPr>
      </w:pPr>
    </w:p>
    <w:p>
      <w:pPr>
        <w:tabs>
          <w:tab w:val="left" w:pos="1687"/>
        </w:tabs>
        <w:spacing w:line="360" w:lineRule="auto"/>
        <w:ind w:right="501"/>
        <w:jc w:val="center"/>
        <w:rPr>
          <w:b/>
          <w:sz w:val="48"/>
        </w:rPr>
      </w:pPr>
    </w:p>
    <w:p>
      <w:pPr>
        <w:tabs>
          <w:tab w:val="left" w:pos="1687"/>
        </w:tabs>
        <w:spacing w:line="360" w:lineRule="auto"/>
        <w:ind w:right="501"/>
        <w:jc w:val="center"/>
        <w:rPr>
          <w:b/>
          <w:sz w:val="48"/>
        </w:rPr>
      </w:pPr>
      <w:r>
        <w:rPr>
          <w:rFonts w:hint="eastAsia"/>
          <w:b/>
          <w:sz w:val="48"/>
        </w:rPr>
        <w:t>第一章</w:t>
      </w:r>
      <w:r>
        <w:rPr>
          <w:b/>
          <w:sz w:val="48"/>
        </w:rPr>
        <w:tab/>
      </w:r>
      <w:r>
        <w:rPr>
          <w:rFonts w:hint="eastAsia"/>
          <w:b/>
          <w:sz w:val="48"/>
        </w:rPr>
        <w:t>投标邀请书</w:t>
      </w:r>
    </w:p>
    <w:p>
      <w:pPr>
        <w:spacing w:line="360" w:lineRule="auto"/>
        <w:jc w:val="center"/>
        <w:rPr>
          <w:sz w:val="48"/>
        </w:rPr>
        <w:sectPr>
          <w:pgSz w:w="11910" w:h="16850"/>
          <w:pgMar w:top="1520" w:right="600" w:bottom="980" w:left="1540" w:header="0" w:footer="716" w:gutter="0"/>
          <w:cols w:space="720" w:num="1"/>
        </w:sectPr>
      </w:pPr>
    </w:p>
    <w:p>
      <w:pPr>
        <w:pStyle w:val="18"/>
        <w:spacing w:before="7" w:line="360" w:lineRule="auto"/>
        <w:rPr>
          <w:b/>
          <w:sz w:val="9"/>
        </w:rPr>
      </w:pPr>
    </w:p>
    <w:p>
      <w:pPr>
        <w:spacing w:line="360" w:lineRule="auto"/>
        <w:ind w:left="1477"/>
        <w:rPr>
          <w:b/>
          <w:sz w:val="30"/>
        </w:rPr>
      </w:pPr>
      <w:bookmarkStart w:id="2" w:name="_bookmark2"/>
      <w:bookmarkEnd w:id="2"/>
      <w:r>
        <w:rPr>
          <w:rFonts w:hint="eastAsia"/>
          <w:b/>
          <w:sz w:val="30"/>
        </w:rPr>
        <w:t>第一章</w:t>
      </w:r>
      <w:r>
        <w:rPr>
          <w:b/>
          <w:sz w:val="30"/>
        </w:rPr>
        <w:t xml:space="preserve"> </w:t>
      </w:r>
      <w:r>
        <w:rPr>
          <w:rFonts w:hint="eastAsia"/>
          <w:b/>
          <w:sz w:val="30"/>
        </w:rPr>
        <w:t>投标邀请书（适用于邀请招标工程）</w:t>
      </w:r>
    </w:p>
    <w:p>
      <w:pPr>
        <w:pStyle w:val="4"/>
        <w:tabs>
          <w:tab w:val="left" w:pos="3990"/>
        </w:tabs>
        <w:spacing w:before="157" w:line="360" w:lineRule="auto"/>
        <w:ind w:left="1318"/>
        <w:rPr>
          <w:rFonts w:ascii="宋体" w:hAnsi="宋体" w:eastAsia="宋体" w:cs="宋体"/>
        </w:rPr>
      </w:pPr>
      <w:r>
        <w:rPr>
          <w:rFonts w:ascii="宋体" w:hAnsi="宋体" w:eastAsia="宋体" w:cs="宋体"/>
          <w:u w:val="thick"/>
        </w:rPr>
        <w:tab/>
      </w:r>
      <w:r>
        <w:rPr>
          <w:rFonts w:hint="eastAsia" w:ascii="宋体" w:hAnsi="宋体" w:eastAsia="宋体" w:cs="宋体"/>
        </w:rPr>
        <w:t>（工程名称）施工投标邀请书</w:t>
      </w:r>
    </w:p>
    <w:p>
      <w:pPr>
        <w:pStyle w:val="18"/>
        <w:spacing w:before="3" w:line="360" w:lineRule="auto"/>
        <w:rPr>
          <w:b/>
          <w:sz w:val="19"/>
        </w:rPr>
      </w:pPr>
    </w:p>
    <w:p>
      <w:pPr>
        <w:adjustRightInd w:val="0"/>
        <w:snapToGrid w:val="0"/>
        <w:spacing w:line="360" w:lineRule="auto"/>
        <w:jc w:val="center"/>
        <w:rPr>
          <w:b/>
          <w:sz w:val="28"/>
          <w:szCs w:val="28"/>
        </w:rPr>
      </w:pPr>
      <w:r>
        <w:rPr>
          <w:rFonts w:hint="eastAsia"/>
          <w:b/>
          <w:sz w:val="28"/>
          <w:szCs w:val="28"/>
        </w:rPr>
        <w:t>投标邀请书</w:t>
      </w:r>
    </w:p>
    <w:p>
      <w:pPr>
        <w:adjustRightInd w:val="0"/>
        <w:snapToGrid w:val="0"/>
        <w:spacing w:line="360" w:lineRule="auto"/>
        <w:rPr>
          <w:sz w:val="24"/>
          <w:szCs w:val="24"/>
        </w:rPr>
      </w:pPr>
      <w:r>
        <w:rPr>
          <w:b/>
          <w:sz w:val="24"/>
          <w:szCs w:val="24"/>
          <w:u w:val="single"/>
        </w:rPr>
        <w:t xml:space="preserve">                   </w:t>
      </w:r>
      <w:r>
        <w:rPr>
          <w:rFonts w:hint="eastAsia"/>
          <w:b/>
          <w:sz w:val="24"/>
          <w:szCs w:val="24"/>
          <w:u w:val="single"/>
        </w:rPr>
        <w:t>（被邀请单位名称）</w:t>
      </w:r>
      <w:r>
        <w:rPr>
          <w:rFonts w:hint="eastAsia"/>
          <w:b/>
          <w:sz w:val="24"/>
          <w:szCs w:val="24"/>
        </w:rPr>
        <w:t>：</w:t>
      </w:r>
    </w:p>
    <w:p>
      <w:pPr>
        <w:spacing w:line="360" w:lineRule="auto"/>
        <w:rPr>
          <w:b/>
          <w:sz w:val="24"/>
          <w:szCs w:val="24"/>
        </w:rPr>
      </w:pPr>
      <w:r>
        <w:rPr>
          <w:b/>
          <w:sz w:val="24"/>
          <w:szCs w:val="24"/>
        </w:rPr>
        <w:t xml:space="preserve">1. </w:t>
      </w:r>
      <w:r>
        <w:rPr>
          <w:rFonts w:hint="eastAsia"/>
          <w:b/>
          <w:sz w:val="24"/>
          <w:szCs w:val="24"/>
        </w:rPr>
        <w:t>招标条件</w:t>
      </w:r>
    </w:p>
    <w:p>
      <w:pPr>
        <w:spacing w:line="360" w:lineRule="auto"/>
        <w:rPr>
          <w:sz w:val="24"/>
          <w:szCs w:val="24"/>
        </w:rPr>
      </w:pPr>
      <w:r>
        <w:rPr>
          <w:sz w:val="24"/>
          <w:szCs w:val="24"/>
        </w:rPr>
        <w:t xml:space="preserve">    1.1</w:t>
      </w:r>
      <w:r>
        <w:rPr>
          <w:rFonts w:hint="eastAsia"/>
          <w:sz w:val="24"/>
          <w:szCs w:val="24"/>
        </w:rPr>
        <w:t>本招标项目</w:t>
      </w:r>
      <w:r>
        <w:rPr>
          <w:b/>
          <w:sz w:val="24"/>
          <w:szCs w:val="24"/>
          <w:u w:val="single"/>
        </w:rPr>
        <w:t xml:space="preserve">              </w:t>
      </w:r>
      <w:r>
        <w:rPr>
          <w:sz w:val="24"/>
          <w:szCs w:val="24"/>
        </w:rPr>
        <w:t>(</w:t>
      </w:r>
      <w:r>
        <w:rPr>
          <w:rFonts w:hint="eastAsia"/>
          <w:sz w:val="24"/>
          <w:szCs w:val="24"/>
        </w:rPr>
        <w:t>项目名称</w:t>
      </w:r>
      <w:r>
        <w:rPr>
          <w:sz w:val="24"/>
          <w:szCs w:val="24"/>
        </w:rPr>
        <w:t>)</w:t>
      </w:r>
      <w:r>
        <w:rPr>
          <w:rFonts w:hint="eastAsia"/>
          <w:sz w:val="24"/>
          <w:szCs w:val="24"/>
        </w:rPr>
        <w:t>已由</w:t>
      </w:r>
      <w:r>
        <w:rPr>
          <w:b/>
          <w:sz w:val="24"/>
          <w:szCs w:val="24"/>
          <w:u w:val="single"/>
        </w:rPr>
        <w:t xml:space="preserve">   </w:t>
      </w:r>
      <w:r>
        <w:rPr>
          <w:sz w:val="24"/>
          <w:szCs w:val="24"/>
        </w:rPr>
        <w:t>(</w:t>
      </w:r>
      <w:r>
        <w:rPr>
          <w:rFonts w:hint="eastAsia"/>
          <w:sz w:val="24"/>
          <w:szCs w:val="24"/>
        </w:rPr>
        <w:t>项目审批、核准或备案机关名称</w:t>
      </w:r>
      <w:r>
        <w:rPr>
          <w:sz w:val="24"/>
          <w:szCs w:val="24"/>
        </w:rPr>
        <w:t>)</w:t>
      </w:r>
      <w:r>
        <w:rPr>
          <w:rFonts w:hint="eastAsia"/>
          <w:sz w:val="24"/>
          <w:szCs w:val="24"/>
        </w:rPr>
        <w:t>以</w:t>
      </w:r>
      <w:r>
        <w:rPr>
          <w:b/>
          <w:sz w:val="24"/>
          <w:szCs w:val="24"/>
          <w:u w:val="single"/>
        </w:rPr>
        <w:t xml:space="preserve">   </w:t>
      </w:r>
      <w:r>
        <w:rPr>
          <w:rFonts w:hint="eastAsia"/>
          <w:sz w:val="24"/>
          <w:szCs w:val="24"/>
        </w:rPr>
        <w:t>（批文名称及编号）批准建设，项目业主为</w:t>
      </w:r>
      <w:r>
        <w:rPr>
          <w:sz w:val="24"/>
          <w:szCs w:val="24"/>
          <w:u w:val="single"/>
        </w:rPr>
        <w:t xml:space="preserve">           </w:t>
      </w:r>
      <w:r>
        <w:rPr>
          <w:rFonts w:hint="eastAsia"/>
          <w:sz w:val="24"/>
          <w:szCs w:val="24"/>
        </w:rPr>
        <w:t>，建设资金来自</w:t>
      </w:r>
      <w:r>
        <w:rPr>
          <w:b/>
          <w:sz w:val="24"/>
          <w:szCs w:val="24"/>
          <w:u w:val="single"/>
        </w:rPr>
        <w:t xml:space="preserve">         </w:t>
      </w:r>
      <w:r>
        <w:rPr>
          <w:rFonts w:hint="eastAsia"/>
          <w:sz w:val="24"/>
          <w:szCs w:val="24"/>
        </w:rPr>
        <w:t>（资金来源），项目出资比例为</w:t>
      </w:r>
      <w:r>
        <w:rPr>
          <w:sz w:val="24"/>
          <w:szCs w:val="24"/>
          <w:u w:val="single"/>
        </w:rPr>
        <w:t xml:space="preserve">    </w:t>
      </w:r>
      <w:r>
        <w:rPr>
          <w:rFonts w:hint="eastAsia"/>
          <w:sz w:val="24"/>
          <w:szCs w:val="24"/>
        </w:rPr>
        <w:t>，招标人为</w:t>
      </w:r>
      <w:r>
        <w:rPr>
          <w:sz w:val="24"/>
          <w:szCs w:val="24"/>
          <w:u w:val="single"/>
        </w:rPr>
        <w:t xml:space="preserve">   </w:t>
      </w:r>
      <w:r>
        <w:rPr>
          <w:rFonts w:hint="eastAsia"/>
          <w:sz w:val="24"/>
          <w:szCs w:val="24"/>
        </w:rPr>
        <w:t>。项目已具备招标条件，现邀请你单位参加该项目的施工投标。</w:t>
      </w:r>
    </w:p>
    <w:p>
      <w:pPr>
        <w:spacing w:line="360" w:lineRule="auto"/>
        <w:ind w:firstLine="420"/>
        <w:rPr>
          <w:b/>
          <w:sz w:val="24"/>
          <w:szCs w:val="24"/>
          <w:u w:val="single"/>
        </w:rPr>
      </w:pPr>
      <w:r>
        <w:rPr>
          <w:sz w:val="24"/>
          <w:szCs w:val="24"/>
        </w:rPr>
        <w:t>1.2</w:t>
      </w:r>
      <w:r>
        <w:rPr>
          <w:rFonts w:hint="eastAsia"/>
          <w:sz w:val="24"/>
          <w:szCs w:val="24"/>
        </w:rPr>
        <w:t>本招标项目由</w:t>
      </w:r>
      <w:r>
        <w:rPr>
          <w:b/>
          <w:sz w:val="24"/>
          <w:szCs w:val="24"/>
          <w:u w:val="single"/>
        </w:rPr>
        <w:t xml:space="preserve">      </w:t>
      </w:r>
      <w:r>
        <w:rPr>
          <w:rFonts w:hint="eastAsia"/>
          <w:sz w:val="24"/>
          <w:szCs w:val="24"/>
        </w:rPr>
        <w:t>（核准机关名称）核准（招标事项核准文号为</w:t>
      </w:r>
      <w:r>
        <w:rPr>
          <w:b/>
          <w:sz w:val="24"/>
          <w:szCs w:val="24"/>
          <w:u w:val="single"/>
        </w:rPr>
        <w:t xml:space="preserve">   </w:t>
      </w:r>
      <w:r>
        <w:rPr>
          <w:rFonts w:hint="eastAsia"/>
          <w:sz w:val="24"/>
          <w:szCs w:val="24"/>
        </w:rPr>
        <w:t>）的招标组织形式为</w:t>
      </w:r>
      <w:r>
        <w:rPr>
          <w:sz w:val="24"/>
          <w:szCs w:val="24"/>
          <w:u w:val="single"/>
        </w:rPr>
        <w:t xml:space="preserve">         </w:t>
      </w:r>
      <w:r>
        <w:rPr>
          <w:rFonts w:hint="eastAsia"/>
          <w:sz w:val="24"/>
          <w:szCs w:val="24"/>
        </w:rPr>
        <w:t>（□自行招标</w:t>
      </w:r>
      <w:r>
        <w:rPr>
          <w:sz w:val="24"/>
          <w:szCs w:val="24"/>
        </w:rPr>
        <w:t xml:space="preserve"> </w:t>
      </w:r>
      <w:r>
        <w:rPr>
          <w:rFonts w:hint="eastAsia"/>
          <w:sz w:val="24"/>
          <w:szCs w:val="24"/>
        </w:rPr>
        <w:t>□委托招标）。招标人选择的招标代理机构是</w:t>
      </w:r>
      <w:r>
        <w:rPr>
          <w:sz w:val="24"/>
          <w:szCs w:val="24"/>
          <w:u w:val="single"/>
        </w:rPr>
        <w:t xml:space="preserve">              </w:t>
      </w:r>
      <w:r>
        <w:rPr>
          <w:rFonts w:hint="eastAsia"/>
          <w:sz w:val="24"/>
          <w:szCs w:val="24"/>
        </w:rPr>
        <w:t>。</w:t>
      </w:r>
    </w:p>
    <w:p>
      <w:pPr>
        <w:spacing w:line="360" w:lineRule="auto"/>
        <w:rPr>
          <w:b/>
          <w:sz w:val="24"/>
          <w:szCs w:val="24"/>
        </w:rPr>
      </w:pPr>
      <w:r>
        <w:rPr>
          <w:b/>
          <w:sz w:val="24"/>
          <w:szCs w:val="24"/>
        </w:rPr>
        <w:t xml:space="preserve">2. </w:t>
      </w:r>
      <w:r>
        <w:rPr>
          <w:rFonts w:hint="eastAsia"/>
          <w:b/>
          <w:sz w:val="24"/>
          <w:szCs w:val="24"/>
        </w:rPr>
        <w:t>项目概况与招标范围</w:t>
      </w:r>
    </w:p>
    <w:p>
      <w:pPr>
        <w:spacing w:line="360" w:lineRule="auto"/>
        <w:rPr>
          <w:sz w:val="24"/>
          <w:szCs w:val="24"/>
          <w:u w:val="single"/>
        </w:rPr>
      </w:pPr>
      <w:r>
        <w:rPr>
          <w:sz w:val="24"/>
          <w:szCs w:val="24"/>
          <w:u w:val="single"/>
        </w:rPr>
        <w:t xml:space="preserve">                                                                 </w:t>
      </w:r>
      <w:r>
        <w:rPr>
          <w:rFonts w:hint="eastAsia"/>
          <w:sz w:val="24"/>
          <w:szCs w:val="24"/>
        </w:rPr>
        <w:t>。</w:t>
      </w:r>
    </w:p>
    <w:p>
      <w:pPr>
        <w:spacing w:line="360" w:lineRule="auto"/>
        <w:rPr>
          <w:sz w:val="24"/>
          <w:szCs w:val="24"/>
        </w:rPr>
      </w:pPr>
      <w:r>
        <w:rPr>
          <w:rFonts w:hint="eastAsia"/>
          <w:sz w:val="24"/>
          <w:szCs w:val="24"/>
        </w:rPr>
        <w:t>（说明本次招标项目的建设地点、规模及投资额、计划工期、招标范围、标段划分及标段投资额等）。</w:t>
      </w:r>
    </w:p>
    <w:p>
      <w:pPr>
        <w:spacing w:line="360" w:lineRule="auto"/>
        <w:rPr>
          <w:b/>
          <w:sz w:val="24"/>
          <w:szCs w:val="24"/>
        </w:rPr>
      </w:pPr>
      <w:r>
        <w:rPr>
          <w:b/>
          <w:sz w:val="24"/>
          <w:szCs w:val="24"/>
        </w:rPr>
        <w:t xml:space="preserve">3. </w:t>
      </w:r>
      <w:r>
        <w:rPr>
          <w:rFonts w:hint="eastAsia"/>
          <w:b/>
          <w:sz w:val="24"/>
          <w:szCs w:val="24"/>
        </w:rPr>
        <w:t>投标人资格要求</w:t>
      </w:r>
    </w:p>
    <w:p>
      <w:pPr>
        <w:spacing w:line="360" w:lineRule="auto"/>
        <w:ind w:firstLine="420"/>
        <w:rPr>
          <w:sz w:val="24"/>
          <w:szCs w:val="24"/>
        </w:rPr>
      </w:pPr>
      <w:r>
        <w:rPr>
          <w:sz w:val="24"/>
          <w:szCs w:val="24"/>
        </w:rPr>
        <w:t>3.1</w:t>
      </w:r>
      <w:r>
        <w:rPr>
          <w:rFonts w:hint="eastAsia"/>
          <w:sz w:val="24"/>
          <w:szCs w:val="24"/>
        </w:rPr>
        <w:t>本次招标要求投标人须具备</w:t>
      </w:r>
    </w:p>
    <w:p>
      <w:pPr>
        <w:spacing w:line="360" w:lineRule="auto"/>
        <w:ind w:firstLine="420"/>
        <w:rPr>
          <w:sz w:val="24"/>
          <w:szCs w:val="24"/>
        </w:rPr>
      </w:pPr>
      <w:r>
        <w:rPr>
          <w:sz w:val="24"/>
          <w:szCs w:val="24"/>
        </w:rPr>
        <w:t>3.1.1</w:t>
      </w:r>
      <w:r>
        <w:rPr>
          <w:rFonts w:hint="eastAsia"/>
          <w:sz w:val="24"/>
          <w:szCs w:val="24"/>
        </w:rPr>
        <w:t>资质条件：</w:t>
      </w:r>
      <w:r>
        <w:rPr>
          <w:sz w:val="24"/>
          <w:szCs w:val="24"/>
          <w:u w:val="single"/>
        </w:rPr>
        <w:t xml:space="preserve">                </w:t>
      </w:r>
      <w:r>
        <w:rPr>
          <w:rFonts w:hint="eastAsia"/>
          <w:sz w:val="24"/>
          <w:szCs w:val="24"/>
        </w:rPr>
        <w:t>。</w:t>
      </w:r>
    </w:p>
    <w:p>
      <w:pPr>
        <w:spacing w:line="360" w:lineRule="auto"/>
        <w:ind w:firstLine="420"/>
        <w:rPr>
          <w:sz w:val="24"/>
          <w:szCs w:val="24"/>
        </w:rPr>
      </w:pPr>
      <w:r>
        <w:rPr>
          <w:sz w:val="24"/>
          <w:szCs w:val="24"/>
        </w:rPr>
        <w:t>3.1.2</w:t>
      </w:r>
      <w:r>
        <w:rPr>
          <w:rFonts w:hint="eastAsia"/>
          <w:sz w:val="24"/>
          <w:szCs w:val="24"/>
        </w:rPr>
        <w:t>业绩要求：</w:t>
      </w:r>
    </w:p>
    <w:p>
      <w:pPr>
        <w:spacing w:line="360" w:lineRule="auto"/>
        <w:ind w:firstLine="960" w:firstLineChars="400"/>
        <w:rPr>
          <w:sz w:val="24"/>
          <w:szCs w:val="24"/>
        </w:rPr>
      </w:pPr>
      <w:r>
        <w:rPr>
          <w:rFonts w:hint="eastAsia"/>
          <w:sz w:val="24"/>
          <w:szCs w:val="24"/>
        </w:rPr>
        <w:t>□近年（</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日至投标截止时间，不少于</w:t>
      </w:r>
      <w:r>
        <w:rPr>
          <w:sz w:val="24"/>
          <w:szCs w:val="24"/>
        </w:rPr>
        <w:t>3</w:t>
      </w:r>
      <w:r>
        <w:rPr>
          <w:rFonts w:hint="eastAsia"/>
          <w:sz w:val="24"/>
          <w:szCs w:val="24"/>
        </w:rPr>
        <w:t>年）（多项选择：□已完成</w:t>
      </w:r>
      <w:r>
        <w:rPr>
          <w:sz w:val="24"/>
          <w:szCs w:val="24"/>
        </w:rPr>
        <w:t xml:space="preserve"> </w:t>
      </w:r>
      <w:r>
        <w:rPr>
          <w:rFonts w:hint="eastAsia"/>
          <w:sz w:val="24"/>
          <w:szCs w:val="24"/>
        </w:rPr>
        <w:t>□已完成或新承接或正在施工）不少于</w:t>
      </w:r>
      <w:r>
        <w:rPr>
          <w:sz w:val="24"/>
          <w:szCs w:val="24"/>
          <w:u w:val="single"/>
        </w:rPr>
        <w:t xml:space="preserve">    </w:t>
      </w:r>
      <w:r>
        <w:rPr>
          <w:rFonts w:hint="eastAsia"/>
          <w:sz w:val="24"/>
          <w:szCs w:val="24"/>
        </w:rPr>
        <w:t>（</w:t>
      </w:r>
      <w:r>
        <w:rPr>
          <w:sz w:val="24"/>
          <w:szCs w:val="24"/>
        </w:rPr>
        <w:t xml:space="preserve">1 </w:t>
      </w:r>
      <w:r>
        <w:rPr>
          <w:rFonts w:hint="eastAsia"/>
          <w:sz w:val="24"/>
          <w:szCs w:val="24"/>
        </w:rPr>
        <w:t>至</w:t>
      </w:r>
      <w:r>
        <w:rPr>
          <w:sz w:val="24"/>
          <w:szCs w:val="24"/>
        </w:rPr>
        <w:t>3</w:t>
      </w:r>
      <w:r>
        <w:rPr>
          <w:rFonts w:hint="eastAsia"/>
          <w:sz w:val="24"/>
          <w:szCs w:val="24"/>
        </w:rPr>
        <w:t>个）个类似项目。</w:t>
      </w:r>
    </w:p>
    <w:p>
      <w:pPr>
        <w:spacing w:line="360" w:lineRule="auto"/>
        <w:rPr>
          <w:sz w:val="24"/>
          <w:szCs w:val="24"/>
        </w:rPr>
      </w:pPr>
      <w:r>
        <w:rPr>
          <w:sz w:val="24"/>
          <w:szCs w:val="24"/>
        </w:rPr>
        <w:t xml:space="preserve">        </w:t>
      </w:r>
      <w:r>
        <w:rPr>
          <w:rFonts w:hint="eastAsia"/>
          <w:sz w:val="24"/>
          <w:szCs w:val="24"/>
        </w:rPr>
        <w:t>□无业绩要求。</w:t>
      </w:r>
    </w:p>
    <w:p>
      <w:pPr>
        <w:spacing w:line="360" w:lineRule="auto"/>
        <w:ind w:firstLine="364" w:firstLineChars="152"/>
        <w:rPr>
          <w:sz w:val="24"/>
          <w:szCs w:val="24"/>
        </w:rPr>
      </w:pPr>
      <w:r>
        <w:rPr>
          <w:sz w:val="24"/>
          <w:szCs w:val="24"/>
        </w:rPr>
        <w:t>3.1.3</w:t>
      </w:r>
      <w:r>
        <w:rPr>
          <w:rFonts w:hint="eastAsia"/>
          <w:sz w:val="24"/>
          <w:szCs w:val="24"/>
        </w:rPr>
        <w:t>项目经理的资格要求：</w:t>
      </w:r>
    </w:p>
    <w:p>
      <w:pPr>
        <w:spacing w:line="360" w:lineRule="auto"/>
        <w:ind w:firstLine="960" w:firstLineChars="400"/>
        <w:rPr>
          <w:sz w:val="24"/>
          <w:szCs w:val="24"/>
        </w:rPr>
      </w:pPr>
      <w:r>
        <w:rPr>
          <w:rFonts w:hint="eastAsia"/>
          <w:sz w:val="24"/>
          <w:szCs w:val="24"/>
        </w:rPr>
        <w:t>□项目经理（项目负责人）资格：</w:t>
      </w:r>
      <w:r>
        <w:rPr>
          <w:sz w:val="24"/>
          <w:szCs w:val="24"/>
          <w:u w:val="single"/>
        </w:rPr>
        <w:t xml:space="preserve">     (</w:t>
      </w:r>
      <w:r>
        <w:rPr>
          <w:rFonts w:hint="eastAsia"/>
          <w:sz w:val="24"/>
          <w:szCs w:val="24"/>
          <w:u w:val="single"/>
        </w:rPr>
        <w:t>注册专业</w:t>
      </w:r>
      <w:r>
        <w:rPr>
          <w:sz w:val="24"/>
          <w:szCs w:val="24"/>
          <w:u w:val="single"/>
        </w:rPr>
        <w:t>)</w:t>
      </w:r>
      <w:r>
        <w:rPr>
          <w:rFonts w:hint="eastAsia"/>
          <w:sz w:val="24"/>
          <w:szCs w:val="24"/>
          <w:u w:val="single"/>
        </w:rPr>
        <w:t>（级别）</w:t>
      </w:r>
      <w:r>
        <w:rPr>
          <w:rFonts w:hint="eastAsia"/>
          <w:sz w:val="24"/>
          <w:szCs w:val="24"/>
        </w:rPr>
        <w:t>建造师执业资格，具备有效的安全生产考核合格证书（建安</w:t>
      </w:r>
      <w:r>
        <w:rPr>
          <w:sz w:val="24"/>
          <w:szCs w:val="24"/>
        </w:rPr>
        <w:t>B</w:t>
      </w:r>
      <w:r>
        <w:rPr>
          <w:rFonts w:hint="eastAsia"/>
          <w:sz w:val="24"/>
          <w:szCs w:val="24"/>
        </w:rPr>
        <w:t>证），且不得担任其他在施建设工程项目的项目经理，</w:t>
      </w:r>
      <w:r>
        <w:rPr>
          <w:b/>
          <w:sz w:val="24"/>
          <w:szCs w:val="24"/>
          <w:u w:val="single"/>
        </w:rPr>
        <w:t xml:space="preserve">     </w:t>
      </w:r>
      <w:r>
        <w:rPr>
          <w:rFonts w:hint="eastAsia"/>
          <w:bCs/>
          <w:sz w:val="24"/>
          <w:szCs w:val="24"/>
          <w:u w:val="single"/>
        </w:rPr>
        <w:t>（业绩要求）</w:t>
      </w:r>
      <w:r>
        <w:rPr>
          <w:sz w:val="24"/>
          <w:szCs w:val="24"/>
        </w:rPr>
        <w:t xml:space="preserve"> </w:t>
      </w:r>
      <w:r>
        <w:rPr>
          <w:rFonts w:hint="eastAsia"/>
          <w:sz w:val="24"/>
          <w:szCs w:val="24"/>
        </w:rPr>
        <w:t>，须为</w:t>
      </w:r>
      <w:r>
        <w:rPr>
          <w:rFonts w:hint="eastAsia"/>
          <w:bCs/>
          <w:sz w:val="24"/>
          <w:szCs w:val="24"/>
        </w:rPr>
        <w:t>本单位人员（若为联合体投标，须为联合体牵头</w:t>
      </w:r>
      <w:r>
        <w:rPr>
          <w:rFonts w:hint="eastAsia"/>
          <w:sz w:val="24"/>
          <w:szCs w:val="24"/>
        </w:rPr>
        <w:t>人人员）。</w:t>
      </w:r>
    </w:p>
    <w:p>
      <w:pPr>
        <w:spacing w:line="360" w:lineRule="auto"/>
        <w:rPr>
          <w:sz w:val="24"/>
          <w:szCs w:val="24"/>
        </w:rPr>
      </w:pPr>
      <w:r>
        <w:rPr>
          <w:sz w:val="24"/>
          <w:szCs w:val="24"/>
        </w:rPr>
        <w:t xml:space="preserve">   3.2</w:t>
      </w:r>
      <w:r>
        <w:rPr>
          <w:rFonts w:hint="eastAsia"/>
          <w:sz w:val="24"/>
          <w:szCs w:val="24"/>
        </w:rPr>
        <w:t>本次招标□接受</w:t>
      </w:r>
      <w:r>
        <w:rPr>
          <w:sz w:val="24"/>
          <w:szCs w:val="24"/>
        </w:rPr>
        <w:t xml:space="preserve"> </w:t>
      </w:r>
      <w:r>
        <w:rPr>
          <w:rFonts w:hint="eastAsia"/>
          <w:sz w:val="24"/>
          <w:szCs w:val="24"/>
        </w:rPr>
        <w:t>□不接受联合体投标。联合体投标的，应满足下列要求：</w:t>
      </w:r>
      <w:r>
        <w:rPr>
          <w:sz w:val="24"/>
          <w:szCs w:val="24"/>
          <w:u w:val="single"/>
        </w:rPr>
        <w:t xml:space="preserve">            </w:t>
      </w:r>
      <w:r>
        <w:rPr>
          <w:rFonts w:hint="eastAsia"/>
          <w:sz w:val="24"/>
          <w:szCs w:val="24"/>
        </w:rPr>
        <w:t>。</w:t>
      </w:r>
    </w:p>
    <w:p>
      <w:pPr>
        <w:spacing w:line="360" w:lineRule="auto"/>
        <w:rPr>
          <w:sz w:val="24"/>
          <w:szCs w:val="24"/>
        </w:rPr>
      </w:pPr>
      <w:r>
        <w:rPr>
          <w:sz w:val="24"/>
          <w:szCs w:val="24"/>
        </w:rPr>
        <w:t xml:space="preserve">   3.3</w:t>
      </w:r>
      <w:r>
        <w:rPr>
          <w:rFonts w:hint="eastAsia"/>
          <w:sz w:val="24"/>
          <w:szCs w:val="24"/>
        </w:rPr>
        <w:t>各投标人均可就上述</w:t>
      </w:r>
      <w:r>
        <w:rPr>
          <w:sz w:val="24"/>
          <w:szCs w:val="24"/>
          <w:u w:val="single"/>
        </w:rPr>
        <w:t xml:space="preserve">           </w:t>
      </w:r>
      <w:r>
        <w:rPr>
          <w:sz w:val="24"/>
          <w:szCs w:val="24"/>
        </w:rPr>
        <w:t>(</w:t>
      </w:r>
      <w:r>
        <w:rPr>
          <w:rFonts w:hint="eastAsia"/>
          <w:sz w:val="24"/>
          <w:szCs w:val="24"/>
        </w:rPr>
        <w:t>具体数量</w:t>
      </w:r>
      <w:r>
        <w:rPr>
          <w:sz w:val="24"/>
          <w:szCs w:val="24"/>
        </w:rPr>
        <w:t>)</w:t>
      </w:r>
      <w:r>
        <w:rPr>
          <w:rFonts w:hint="eastAsia"/>
          <w:sz w:val="24"/>
          <w:szCs w:val="24"/>
        </w:rPr>
        <w:t>标段投标</w:t>
      </w:r>
      <w:r>
        <w:rPr>
          <w:sz w:val="24"/>
          <w:szCs w:val="24"/>
        </w:rPr>
        <w:t xml:space="preserve"> </w:t>
      </w:r>
      <w:r>
        <w:rPr>
          <w:rFonts w:hint="eastAsia"/>
          <w:sz w:val="24"/>
          <w:szCs w:val="24"/>
        </w:rPr>
        <w:t>。</w:t>
      </w:r>
    </w:p>
    <w:p>
      <w:pPr>
        <w:tabs>
          <w:tab w:val="left" w:pos="1066"/>
          <w:tab w:val="left" w:pos="8362"/>
        </w:tabs>
        <w:spacing w:line="360" w:lineRule="auto"/>
        <w:rPr>
          <w:b/>
          <w:sz w:val="24"/>
          <w:szCs w:val="24"/>
        </w:rPr>
      </w:pPr>
      <w:r>
        <w:rPr>
          <w:b/>
          <w:sz w:val="24"/>
          <w:szCs w:val="24"/>
        </w:rPr>
        <w:t>4</w:t>
      </w:r>
      <w:r>
        <w:rPr>
          <w:rFonts w:hint="eastAsia"/>
          <w:b/>
          <w:sz w:val="24"/>
          <w:szCs w:val="24"/>
        </w:rPr>
        <w:t>、关注项目</w:t>
      </w:r>
    </w:p>
    <w:p>
      <w:pPr>
        <w:spacing w:line="360" w:lineRule="auto"/>
        <w:ind w:firstLine="480" w:firstLineChars="200"/>
        <w:rPr>
          <w:b/>
          <w:sz w:val="24"/>
          <w:szCs w:val="24"/>
        </w:rPr>
      </w:pPr>
      <w:r>
        <w:rPr>
          <w:rFonts w:hint="eastAsia"/>
          <w:sz w:val="24"/>
          <w:szCs w:val="24"/>
        </w:rPr>
        <w:t>凡有意参加投标者，请于</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分至</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分（北京时间，下同），在</w:t>
      </w:r>
      <w:r>
        <w:rPr>
          <w:rFonts w:hint="eastAsia"/>
          <w:sz w:val="24"/>
          <w:szCs w:val="24"/>
          <w:u w:val="single"/>
        </w:rPr>
        <w:t>西藏自治区公共资源交易平台（通过西藏自治区公共资源交易网登录，网址：</w:t>
      </w:r>
      <w:r>
        <w:rPr>
          <w:sz w:val="24"/>
          <w:szCs w:val="24"/>
          <w:u w:val="single"/>
        </w:rPr>
        <w:t xml:space="preserve"> ggzy.xizang.gov.cn</w:t>
      </w:r>
      <w:r>
        <w:rPr>
          <w:rFonts w:hint="eastAsia"/>
          <w:sz w:val="24"/>
          <w:szCs w:val="24"/>
          <w:u w:val="single"/>
        </w:rPr>
        <w:t>）</w:t>
      </w:r>
      <w:r>
        <w:rPr>
          <w:rFonts w:hint="eastAsia"/>
          <w:sz w:val="24"/>
          <w:szCs w:val="24"/>
        </w:rPr>
        <w:t>关注项目。</w:t>
      </w:r>
    </w:p>
    <w:p>
      <w:pPr>
        <w:spacing w:line="360" w:lineRule="auto"/>
        <w:rPr>
          <w:b/>
          <w:sz w:val="24"/>
          <w:szCs w:val="24"/>
        </w:rPr>
      </w:pPr>
      <w:r>
        <w:rPr>
          <w:b/>
          <w:sz w:val="24"/>
          <w:szCs w:val="24"/>
        </w:rPr>
        <w:t xml:space="preserve">5. </w:t>
      </w:r>
      <w:r>
        <w:rPr>
          <w:rFonts w:hint="eastAsia"/>
          <w:b/>
          <w:sz w:val="24"/>
          <w:szCs w:val="24"/>
        </w:rPr>
        <w:t>招标文件的获取</w:t>
      </w:r>
    </w:p>
    <w:p>
      <w:pPr>
        <w:spacing w:line="360" w:lineRule="auto"/>
        <w:rPr>
          <w:sz w:val="24"/>
          <w:szCs w:val="24"/>
        </w:rPr>
      </w:pPr>
      <w:r>
        <w:rPr>
          <w:sz w:val="24"/>
          <w:szCs w:val="24"/>
        </w:rPr>
        <w:t xml:space="preserve">   5.1</w:t>
      </w:r>
      <w:r>
        <w:rPr>
          <w:rFonts w:hint="eastAsia"/>
          <w:sz w:val="24"/>
          <w:szCs w:val="24"/>
        </w:rPr>
        <w:t>凡通过上述报名者，请于</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分至</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分（北京时间，下同），在</w:t>
      </w:r>
      <w:r>
        <w:rPr>
          <w:rFonts w:hint="eastAsia"/>
          <w:sz w:val="24"/>
          <w:szCs w:val="24"/>
          <w:u w:val="single"/>
        </w:rPr>
        <w:t>西藏自治区公共资源交易平台（</w:t>
      </w:r>
      <w:r>
        <w:rPr>
          <w:sz w:val="24"/>
          <w:szCs w:val="24"/>
          <w:u w:val="single"/>
        </w:rPr>
        <w:t xml:space="preserve">http://ggzy.xizang.gov.cn) </w:t>
      </w:r>
      <w:r>
        <w:rPr>
          <w:sz w:val="24"/>
          <w:szCs w:val="24"/>
        </w:rPr>
        <w:t>(</w:t>
      </w:r>
      <w:r>
        <w:rPr>
          <w:rFonts w:hint="eastAsia"/>
          <w:sz w:val="24"/>
          <w:szCs w:val="24"/>
        </w:rPr>
        <w:t>购买网址</w:t>
      </w:r>
      <w:r>
        <w:rPr>
          <w:sz w:val="24"/>
          <w:szCs w:val="24"/>
        </w:rPr>
        <w:t>)</w:t>
      </w:r>
      <w:r>
        <w:rPr>
          <w:rFonts w:hint="eastAsia"/>
          <w:sz w:val="24"/>
          <w:szCs w:val="24"/>
        </w:rPr>
        <w:t>下载招标文件、图纸及工程量清单。</w:t>
      </w:r>
    </w:p>
    <w:p>
      <w:pPr>
        <w:spacing w:line="360" w:lineRule="auto"/>
        <w:ind w:firstLine="364" w:firstLineChars="152"/>
        <w:rPr>
          <w:sz w:val="24"/>
          <w:szCs w:val="24"/>
        </w:rPr>
      </w:pPr>
      <w:r>
        <w:rPr>
          <w:sz w:val="24"/>
          <w:szCs w:val="24"/>
        </w:rPr>
        <w:t xml:space="preserve">5.2 </w:t>
      </w:r>
      <w:r>
        <w:rPr>
          <w:rFonts w:hint="eastAsia"/>
          <w:sz w:val="24"/>
          <w:szCs w:val="24"/>
        </w:rPr>
        <w:t>招标人不提供招标文件获取的其他方式。</w:t>
      </w:r>
    </w:p>
    <w:p>
      <w:pPr>
        <w:spacing w:line="360" w:lineRule="auto"/>
        <w:rPr>
          <w:b/>
          <w:sz w:val="24"/>
          <w:szCs w:val="24"/>
        </w:rPr>
      </w:pPr>
      <w:r>
        <w:rPr>
          <w:b/>
          <w:sz w:val="24"/>
          <w:szCs w:val="24"/>
        </w:rPr>
        <w:t xml:space="preserve">6. </w:t>
      </w:r>
      <w:r>
        <w:rPr>
          <w:rFonts w:hint="eastAsia"/>
          <w:b/>
          <w:sz w:val="24"/>
          <w:szCs w:val="24"/>
        </w:rPr>
        <w:t>投标文件的递交</w:t>
      </w:r>
    </w:p>
    <w:p>
      <w:pPr>
        <w:adjustRightInd w:val="0"/>
        <w:snapToGrid w:val="0"/>
        <w:spacing w:line="360" w:lineRule="auto"/>
        <w:ind w:firstLine="480"/>
        <w:rPr>
          <w:sz w:val="24"/>
          <w:szCs w:val="24"/>
        </w:rPr>
      </w:pPr>
      <w:r>
        <w:rPr>
          <w:sz w:val="24"/>
          <w:szCs w:val="24"/>
        </w:rPr>
        <w:t>6.1</w:t>
      </w:r>
      <w:r>
        <w:rPr>
          <w:rFonts w:hint="eastAsia"/>
          <w:sz w:val="24"/>
          <w:szCs w:val="24"/>
        </w:rPr>
        <w:t>投标文件递交的截止时间</w:t>
      </w:r>
      <w:r>
        <w:rPr>
          <w:sz w:val="24"/>
          <w:szCs w:val="24"/>
        </w:rPr>
        <w:t>(</w:t>
      </w:r>
      <w:r>
        <w:rPr>
          <w:rFonts w:hint="eastAsia"/>
          <w:sz w:val="24"/>
          <w:szCs w:val="24"/>
        </w:rPr>
        <w:t>投标截止时间，下同</w:t>
      </w:r>
      <w:r>
        <w:rPr>
          <w:sz w:val="24"/>
          <w:szCs w:val="24"/>
        </w:rPr>
        <w:t>)</w:t>
      </w:r>
      <w:r>
        <w:rPr>
          <w:rFonts w:hint="eastAsia"/>
          <w:sz w:val="24"/>
          <w:szCs w:val="24"/>
        </w:rPr>
        <w:t>为</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w:t>
      </w:r>
      <w:r>
        <w:rPr>
          <w:sz w:val="24"/>
          <w:szCs w:val="24"/>
        </w:rPr>
        <w:t xml:space="preserve"> </w:t>
      </w:r>
      <w:r>
        <w:rPr>
          <w:rFonts w:hint="eastAsia"/>
          <w:sz w:val="24"/>
          <w:szCs w:val="24"/>
        </w:rPr>
        <w:t>，地点为</w:t>
      </w:r>
      <w:r>
        <w:rPr>
          <w:rFonts w:hint="eastAsia"/>
          <w:sz w:val="24"/>
          <w:szCs w:val="24"/>
          <w:u w:val="single"/>
        </w:rPr>
        <w:t>西藏自治区公共资源交易平台（通过西藏自治区公共资源交易网登录，网址：</w:t>
      </w:r>
      <w:r>
        <w:rPr>
          <w:sz w:val="24"/>
          <w:szCs w:val="24"/>
          <w:u w:val="single"/>
        </w:rPr>
        <w:t>ggzy.xizang.gov.cn</w:t>
      </w:r>
      <w:r>
        <w:rPr>
          <w:rFonts w:hint="eastAsia"/>
          <w:sz w:val="24"/>
          <w:szCs w:val="24"/>
          <w:u w:val="single"/>
        </w:rPr>
        <w:t>）</w:t>
      </w:r>
      <w:r>
        <w:rPr>
          <w:rFonts w:hint="eastAsia"/>
          <w:sz w:val="24"/>
          <w:szCs w:val="24"/>
        </w:rPr>
        <w:t>。</w:t>
      </w:r>
    </w:p>
    <w:p>
      <w:pPr>
        <w:adjustRightInd w:val="0"/>
        <w:snapToGrid w:val="0"/>
        <w:spacing w:line="360" w:lineRule="auto"/>
        <w:ind w:firstLine="480"/>
        <w:rPr>
          <w:sz w:val="24"/>
        </w:rPr>
      </w:pPr>
      <w:r>
        <w:rPr>
          <w:sz w:val="24"/>
        </w:rPr>
        <w:t xml:space="preserve">6.2 </w:t>
      </w:r>
      <w:r>
        <w:rPr>
          <w:rFonts w:hint="eastAsia"/>
          <w:sz w:val="24"/>
        </w:rPr>
        <w:t>逾期送达的或者未送达指定地点的投标文件，招标人不予受理。</w:t>
      </w:r>
    </w:p>
    <w:p>
      <w:pPr>
        <w:spacing w:line="360" w:lineRule="auto"/>
        <w:rPr>
          <w:b/>
          <w:sz w:val="24"/>
          <w:szCs w:val="24"/>
        </w:rPr>
      </w:pPr>
      <w:r>
        <w:rPr>
          <w:b/>
          <w:sz w:val="24"/>
          <w:szCs w:val="24"/>
        </w:rPr>
        <w:t xml:space="preserve">7. </w:t>
      </w:r>
      <w:r>
        <w:rPr>
          <w:rFonts w:hint="eastAsia"/>
          <w:b/>
          <w:sz w:val="24"/>
          <w:szCs w:val="24"/>
        </w:rPr>
        <w:t>其他</w:t>
      </w:r>
    </w:p>
    <w:p>
      <w:pPr>
        <w:adjustRightInd w:val="0"/>
        <w:snapToGrid w:val="0"/>
        <w:spacing w:line="360" w:lineRule="auto"/>
        <w:ind w:firstLine="480"/>
        <w:rPr>
          <w:sz w:val="24"/>
          <w:szCs w:val="24"/>
        </w:rPr>
      </w:pPr>
      <w:r>
        <w:rPr>
          <w:sz w:val="24"/>
          <w:szCs w:val="24"/>
        </w:rPr>
        <w:t>7.1</w:t>
      </w:r>
      <w:r>
        <w:rPr>
          <w:rFonts w:hint="eastAsia"/>
          <w:sz w:val="24"/>
          <w:szCs w:val="24"/>
        </w:rPr>
        <w:t>投标企业在投标时需要上传电子投标文件至系统中、并在西藏自治区公共资源交易平台不见面开标大厅（即不见面开标大厅，可登录西藏自治区公共资源交易平台访问）用企业</w:t>
      </w:r>
      <w:r>
        <w:rPr>
          <w:sz w:val="24"/>
          <w:szCs w:val="24"/>
        </w:rPr>
        <w:t>CA</w:t>
      </w:r>
      <w:r>
        <w:rPr>
          <w:rFonts w:hint="eastAsia"/>
          <w:sz w:val="24"/>
          <w:szCs w:val="24"/>
        </w:rPr>
        <w:t>锁制作电子标书的锁，解密上传的电子标书。</w:t>
      </w:r>
      <w:r>
        <w:rPr>
          <w:sz w:val="24"/>
          <w:szCs w:val="24"/>
        </w:rPr>
        <w:t xml:space="preserve"> </w:t>
      </w:r>
    </w:p>
    <w:p>
      <w:pPr>
        <w:adjustRightInd w:val="0"/>
        <w:snapToGrid w:val="0"/>
        <w:spacing w:line="360" w:lineRule="auto"/>
        <w:ind w:firstLine="480"/>
        <w:rPr>
          <w:sz w:val="24"/>
          <w:szCs w:val="24"/>
        </w:rPr>
      </w:pPr>
      <w:r>
        <w:rPr>
          <w:rFonts w:hint="eastAsia"/>
          <w:b/>
          <w:bCs/>
          <w:sz w:val="24"/>
          <w:szCs w:val="24"/>
        </w:rPr>
        <w:t>备注</w:t>
      </w:r>
      <w:r>
        <w:rPr>
          <w:rFonts w:hint="eastAsia"/>
          <w:sz w:val="24"/>
          <w:szCs w:val="24"/>
        </w:rPr>
        <w:t>：请投标人将投标文件中需要签字的页面打印出来签字，并按照招标文件所要求的投标文件的格式</w:t>
      </w:r>
      <w:r>
        <w:rPr>
          <w:rFonts w:hint="eastAsia"/>
          <w:sz w:val="24"/>
          <w:szCs w:val="24"/>
          <w:lang w:val="en-US"/>
        </w:rPr>
        <w:t>依次</w:t>
      </w:r>
      <w:r>
        <w:rPr>
          <w:rFonts w:hint="eastAsia"/>
          <w:sz w:val="24"/>
          <w:szCs w:val="24"/>
        </w:rPr>
        <w:t>扫描</w:t>
      </w:r>
      <w:r>
        <w:rPr>
          <w:rFonts w:hint="eastAsia"/>
          <w:sz w:val="24"/>
          <w:szCs w:val="24"/>
          <w:lang w:val="en-US"/>
        </w:rPr>
        <w:t>放入</w:t>
      </w:r>
      <w:r>
        <w:rPr>
          <w:rFonts w:hint="eastAsia"/>
          <w:sz w:val="24"/>
          <w:szCs w:val="24"/>
        </w:rPr>
        <w:t>相应位置，</w:t>
      </w:r>
      <w:r>
        <w:rPr>
          <w:rFonts w:hint="eastAsia"/>
          <w:sz w:val="24"/>
          <w:szCs w:val="24"/>
          <w:lang w:val="en-US"/>
        </w:rPr>
        <w:t>然后</w:t>
      </w:r>
      <w:r>
        <w:rPr>
          <w:rFonts w:hint="eastAsia"/>
          <w:sz w:val="24"/>
          <w:szCs w:val="24"/>
        </w:rPr>
        <w:t>制作成电子文件上传至电子招投标系统中，否则投标文件无效。</w:t>
      </w:r>
    </w:p>
    <w:p>
      <w:pPr>
        <w:widowControl/>
        <w:adjustRightInd w:val="0"/>
        <w:snapToGrid w:val="0"/>
        <w:spacing w:line="360" w:lineRule="auto"/>
        <w:rPr>
          <w:b/>
          <w:sz w:val="24"/>
          <w:szCs w:val="24"/>
        </w:rPr>
      </w:pPr>
      <w:bookmarkStart w:id="3" w:name="_Toc11101_WPSOffice_Level1"/>
      <w:r>
        <w:rPr>
          <w:b/>
          <w:sz w:val="24"/>
          <w:szCs w:val="24"/>
        </w:rPr>
        <w:t>8.</w:t>
      </w:r>
      <w:r>
        <w:rPr>
          <w:rFonts w:hint="eastAsia"/>
          <w:b/>
          <w:sz w:val="24"/>
          <w:szCs w:val="24"/>
        </w:rPr>
        <w:t>确认</w:t>
      </w:r>
      <w:bookmarkEnd w:id="3"/>
    </w:p>
    <w:p>
      <w:pPr>
        <w:adjustRightInd w:val="0"/>
        <w:snapToGrid w:val="0"/>
        <w:spacing w:line="360" w:lineRule="auto"/>
        <w:rPr>
          <w:sz w:val="24"/>
          <w:szCs w:val="24"/>
        </w:rPr>
      </w:pPr>
      <w:r>
        <w:rPr>
          <w:sz w:val="24"/>
          <w:szCs w:val="24"/>
        </w:rPr>
        <w:t xml:space="preserve">    </w:t>
      </w:r>
      <w:r>
        <w:rPr>
          <w:rFonts w:hint="eastAsia"/>
          <w:sz w:val="24"/>
          <w:szCs w:val="24"/>
        </w:rPr>
        <w:t>你单位收到本邀请书后，请于</w:t>
      </w:r>
      <w:r>
        <w:rPr>
          <w:b/>
          <w:sz w:val="24"/>
          <w:szCs w:val="24"/>
          <w:u w:val="single"/>
        </w:rPr>
        <w:t xml:space="preserve">   </w:t>
      </w:r>
      <w:r>
        <w:rPr>
          <w:rFonts w:hint="eastAsia"/>
          <w:sz w:val="24"/>
          <w:szCs w:val="24"/>
        </w:rPr>
        <w:t>年</w:t>
      </w:r>
      <w:r>
        <w:rPr>
          <w:b/>
          <w:sz w:val="24"/>
          <w:szCs w:val="24"/>
          <w:u w:val="single"/>
        </w:rPr>
        <w:t xml:space="preserve">   </w:t>
      </w:r>
      <w:r>
        <w:rPr>
          <w:rFonts w:hint="eastAsia"/>
          <w:sz w:val="24"/>
          <w:szCs w:val="24"/>
        </w:rPr>
        <w:t>月</w:t>
      </w:r>
      <w:r>
        <w:rPr>
          <w:b/>
          <w:sz w:val="24"/>
          <w:szCs w:val="24"/>
          <w:u w:val="single"/>
        </w:rPr>
        <w:t xml:space="preserve">   </w:t>
      </w:r>
      <w:r>
        <w:rPr>
          <w:rFonts w:hint="eastAsia"/>
          <w:sz w:val="24"/>
          <w:szCs w:val="24"/>
        </w:rPr>
        <w:t>日</w:t>
      </w:r>
      <w:r>
        <w:rPr>
          <w:b/>
          <w:sz w:val="24"/>
          <w:szCs w:val="24"/>
          <w:u w:val="single"/>
        </w:rPr>
        <w:t xml:space="preserve">   </w:t>
      </w:r>
      <w:r>
        <w:rPr>
          <w:rFonts w:hint="eastAsia"/>
          <w:sz w:val="24"/>
          <w:szCs w:val="24"/>
        </w:rPr>
        <w:t>时前，以书面形式确认是否参加投标。在本邀请书规定的时间内未表示是否参加投标或明确表示不参加投标的，不得再参加投标。</w:t>
      </w:r>
    </w:p>
    <w:p>
      <w:pPr>
        <w:adjustRightInd w:val="0"/>
        <w:snapToGrid w:val="0"/>
        <w:spacing w:line="360" w:lineRule="auto"/>
        <w:rPr>
          <w:b/>
          <w:sz w:val="24"/>
          <w:szCs w:val="24"/>
        </w:rPr>
      </w:pPr>
      <w:bookmarkStart w:id="4" w:name="_Toc21710_WPSOffice_Level1"/>
      <w:r>
        <w:rPr>
          <w:b/>
          <w:sz w:val="24"/>
          <w:szCs w:val="24"/>
        </w:rPr>
        <w:t xml:space="preserve">9. </w:t>
      </w:r>
      <w:r>
        <w:rPr>
          <w:rFonts w:hint="eastAsia"/>
          <w:b/>
          <w:sz w:val="24"/>
          <w:szCs w:val="24"/>
        </w:rPr>
        <w:t>联系方式</w:t>
      </w:r>
      <w:bookmarkEnd w:id="4"/>
    </w:p>
    <w:p>
      <w:pPr>
        <w:adjustRightInd w:val="0"/>
        <w:snapToGrid w:val="0"/>
        <w:spacing w:line="360" w:lineRule="auto"/>
        <w:ind w:firstLine="240" w:firstLineChars="100"/>
        <w:rPr>
          <w:sz w:val="24"/>
          <w:szCs w:val="24"/>
        </w:rPr>
      </w:pPr>
      <w:r>
        <w:rPr>
          <w:rFonts w:hint="eastAsia"/>
          <w:sz w:val="24"/>
          <w:szCs w:val="24"/>
        </w:rPr>
        <w:t>招</w:t>
      </w:r>
      <w:r>
        <w:rPr>
          <w:sz w:val="24"/>
          <w:szCs w:val="24"/>
        </w:rPr>
        <w:t xml:space="preserve"> </w:t>
      </w:r>
      <w:r>
        <w:rPr>
          <w:rFonts w:hint="eastAsia"/>
          <w:sz w:val="24"/>
          <w:szCs w:val="24"/>
        </w:rPr>
        <w:t>标</w:t>
      </w:r>
      <w:r>
        <w:rPr>
          <w:sz w:val="24"/>
          <w:szCs w:val="24"/>
        </w:rPr>
        <w:t xml:space="preserve"> </w:t>
      </w:r>
      <w:r>
        <w:rPr>
          <w:rFonts w:hint="eastAsia"/>
          <w:sz w:val="24"/>
          <w:szCs w:val="24"/>
        </w:rPr>
        <w:t>人：</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地</w:t>
      </w:r>
      <w:r>
        <w:rPr>
          <w:sz w:val="24"/>
          <w:szCs w:val="24"/>
        </w:rPr>
        <w:t xml:space="preserve">    </w:t>
      </w:r>
      <w:r>
        <w:rPr>
          <w:rFonts w:hint="eastAsia"/>
          <w:sz w:val="24"/>
          <w:szCs w:val="24"/>
        </w:rPr>
        <w:t>址：</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邮</w:t>
      </w:r>
      <w:r>
        <w:rPr>
          <w:sz w:val="24"/>
          <w:szCs w:val="24"/>
        </w:rPr>
        <w:t xml:space="preserve">    </w:t>
      </w:r>
      <w:r>
        <w:rPr>
          <w:rFonts w:hint="eastAsia"/>
          <w:sz w:val="24"/>
          <w:szCs w:val="24"/>
        </w:rPr>
        <w:t>编：</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联</w:t>
      </w:r>
      <w:r>
        <w:rPr>
          <w:sz w:val="24"/>
          <w:szCs w:val="24"/>
        </w:rPr>
        <w:t xml:space="preserve"> </w:t>
      </w:r>
      <w:r>
        <w:rPr>
          <w:rFonts w:hint="eastAsia"/>
          <w:sz w:val="24"/>
          <w:szCs w:val="24"/>
        </w:rPr>
        <w:t>系</w:t>
      </w:r>
      <w:r>
        <w:rPr>
          <w:sz w:val="24"/>
          <w:szCs w:val="24"/>
        </w:rPr>
        <w:t xml:space="preserve"> </w:t>
      </w:r>
      <w:r>
        <w:rPr>
          <w:rFonts w:hint="eastAsia"/>
          <w:sz w:val="24"/>
          <w:szCs w:val="24"/>
        </w:rPr>
        <w:t>人：</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电</w:t>
      </w:r>
      <w:r>
        <w:rPr>
          <w:sz w:val="24"/>
          <w:szCs w:val="24"/>
        </w:rPr>
        <w:t xml:space="preserve">    </w:t>
      </w:r>
      <w:r>
        <w:rPr>
          <w:rFonts w:hint="eastAsia"/>
          <w:sz w:val="24"/>
          <w:szCs w:val="24"/>
        </w:rPr>
        <w:t>话：</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传</w:t>
      </w:r>
      <w:r>
        <w:rPr>
          <w:sz w:val="24"/>
          <w:szCs w:val="24"/>
        </w:rPr>
        <w:t xml:space="preserve">    </w:t>
      </w:r>
      <w:r>
        <w:rPr>
          <w:rFonts w:hint="eastAsia"/>
          <w:sz w:val="24"/>
          <w:szCs w:val="24"/>
        </w:rPr>
        <w:t>真：</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电子邮件：</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网</w:t>
      </w:r>
      <w:r>
        <w:rPr>
          <w:sz w:val="24"/>
          <w:szCs w:val="24"/>
        </w:rPr>
        <w:t xml:space="preserve">    </w:t>
      </w:r>
      <w:r>
        <w:rPr>
          <w:rFonts w:hint="eastAsia"/>
          <w:sz w:val="24"/>
          <w:szCs w:val="24"/>
        </w:rPr>
        <w:t>址：</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开户银行：</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账</w:t>
      </w:r>
      <w:r>
        <w:rPr>
          <w:sz w:val="24"/>
          <w:szCs w:val="24"/>
        </w:rPr>
        <w:t xml:space="preserve">    </w:t>
      </w:r>
      <w:r>
        <w:rPr>
          <w:rFonts w:hint="eastAsia"/>
          <w:sz w:val="24"/>
          <w:szCs w:val="24"/>
        </w:rPr>
        <w:t>号：</w:t>
      </w:r>
      <w:r>
        <w:rPr>
          <w:b/>
          <w:sz w:val="24"/>
          <w:szCs w:val="24"/>
          <w:u w:val="single"/>
        </w:rPr>
        <w:t xml:space="preserve">         </w:t>
      </w:r>
    </w:p>
    <w:p>
      <w:pPr>
        <w:adjustRightInd w:val="0"/>
        <w:snapToGrid w:val="0"/>
        <w:spacing w:line="360" w:lineRule="auto"/>
        <w:rPr>
          <w:sz w:val="24"/>
          <w:szCs w:val="24"/>
        </w:rPr>
      </w:pPr>
      <w:r>
        <w:rPr>
          <w:rFonts w:hint="eastAsia"/>
          <w:sz w:val="24"/>
          <w:szCs w:val="24"/>
        </w:rPr>
        <w:t>招标代理机构：</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地</w:t>
      </w:r>
      <w:r>
        <w:rPr>
          <w:sz w:val="24"/>
          <w:szCs w:val="24"/>
        </w:rPr>
        <w:t xml:space="preserve">    </w:t>
      </w:r>
      <w:r>
        <w:rPr>
          <w:rFonts w:hint="eastAsia"/>
          <w:sz w:val="24"/>
          <w:szCs w:val="24"/>
        </w:rPr>
        <w:t>址：</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邮</w:t>
      </w:r>
      <w:r>
        <w:rPr>
          <w:sz w:val="24"/>
          <w:szCs w:val="24"/>
        </w:rPr>
        <w:t xml:space="preserve">    </w:t>
      </w:r>
      <w:r>
        <w:rPr>
          <w:rFonts w:hint="eastAsia"/>
          <w:sz w:val="24"/>
          <w:szCs w:val="24"/>
        </w:rPr>
        <w:t>编：</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联</w:t>
      </w:r>
      <w:r>
        <w:rPr>
          <w:sz w:val="24"/>
          <w:szCs w:val="24"/>
        </w:rPr>
        <w:t xml:space="preserve"> </w:t>
      </w:r>
      <w:r>
        <w:rPr>
          <w:rFonts w:hint="eastAsia"/>
          <w:sz w:val="24"/>
          <w:szCs w:val="24"/>
        </w:rPr>
        <w:t>系</w:t>
      </w:r>
      <w:r>
        <w:rPr>
          <w:sz w:val="24"/>
          <w:szCs w:val="24"/>
        </w:rPr>
        <w:t xml:space="preserve"> </w:t>
      </w:r>
      <w:r>
        <w:rPr>
          <w:rFonts w:hint="eastAsia"/>
          <w:sz w:val="24"/>
          <w:szCs w:val="24"/>
        </w:rPr>
        <w:t>人：</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电</w:t>
      </w:r>
      <w:r>
        <w:rPr>
          <w:sz w:val="24"/>
          <w:szCs w:val="24"/>
        </w:rPr>
        <w:t xml:space="preserve">    </w:t>
      </w:r>
      <w:r>
        <w:rPr>
          <w:rFonts w:hint="eastAsia"/>
          <w:sz w:val="24"/>
          <w:szCs w:val="24"/>
        </w:rPr>
        <w:t>话：</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传</w:t>
      </w:r>
      <w:r>
        <w:rPr>
          <w:sz w:val="24"/>
          <w:szCs w:val="24"/>
        </w:rPr>
        <w:t xml:space="preserve">    </w:t>
      </w:r>
      <w:r>
        <w:rPr>
          <w:rFonts w:hint="eastAsia"/>
          <w:sz w:val="24"/>
          <w:szCs w:val="24"/>
        </w:rPr>
        <w:t>真：</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电子邮件：</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网</w:t>
      </w:r>
      <w:r>
        <w:rPr>
          <w:sz w:val="24"/>
          <w:szCs w:val="24"/>
        </w:rPr>
        <w:t xml:space="preserve">    </w:t>
      </w:r>
      <w:r>
        <w:rPr>
          <w:rFonts w:hint="eastAsia"/>
          <w:sz w:val="24"/>
          <w:szCs w:val="24"/>
        </w:rPr>
        <w:t>址：</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开户银行：</w:t>
      </w:r>
      <w:r>
        <w:rPr>
          <w:b/>
          <w:sz w:val="24"/>
          <w:szCs w:val="24"/>
          <w:u w:val="single"/>
        </w:rPr>
        <w:t xml:space="preserve">         </w:t>
      </w:r>
    </w:p>
    <w:p>
      <w:pPr>
        <w:adjustRightInd w:val="0"/>
        <w:snapToGrid w:val="0"/>
        <w:spacing w:line="360" w:lineRule="auto"/>
        <w:ind w:firstLine="240" w:firstLineChars="100"/>
        <w:rPr>
          <w:sz w:val="24"/>
          <w:szCs w:val="24"/>
        </w:rPr>
      </w:pPr>
      <w:r>
        <w:rPr>
          <w:rFonts w:hint="eastAsia"/>
          <w:sz w:val="24"/>
          <w:szCs w:val="24"/>
        </w:rPr>
        <w:t>账</w:t>
      </w:r>
      <w:r>
        <w:rPr>
          <w:sz w:val="24"/>
          <w:szCs w:val="24"/>
        </w:rPr>
        <w:t xml:space="preserve">    </w:t>
      </w:r>
      <w:r>
        <w:rPr>
          <w:rFonts w:hint="eastAsia"/>
          <w:sz w:val="24"/>
          <w:szCs w:val="24"/>
        </w:rPr>
        <w:t>号：</w:t>
      </w:r>
      <w:r>
        <w:rPr>
          <w:b/>
          <w:sz w:val="24"/>
          <w:szCs w:val="24"/>
          <w:u w:val="single"/>
        </w:rPr>
        <w:t xml:space="preserve">         </w:t>
      </w:r>
    </w:p>
    <w:p>
      <w:pPr>
        <w:adjustRightInd w:val="0"/>
        <w:snapToGrid w:val="0"/>
        <w:spacing w:line="360" w:lineRule="auto"/>
        <w:jc w:val="right"/>
        <w:rPr>
          <w:sz w:val="24"/>
          <w:szCs w:val="24"/>
        </w:rPr>
      </w:pPr>
      <w:r>
        <w:rPr>
          <w:b/>
          <w:sz w:val="24"/>
          <w:szCs w:val="24"/>
          <w:u w:val="single"/>
        </w:rPr>
        <w:t xml:space="preserve">     </w:t>
      </w:r>
      <w:r>
        <w:rPr>
          <w:rFonts w:hint="eastAsia"/>
          <w:sz w:val="24"/>
          <w:szCs w:val="24"/>
        </w:rPr>
        <w:t>年</w:t>
      </w:r>
      <w:r>
        <w:rPr>
          <w:b/>
          <w:sz w:val="24"/>
          <w:szCs w:val="24"/>
          <w:u w:val="single"/>
        </w:rPr>
        <w:t xml:space="preserve">    </w:t>
      </w:r>
      <w:r>
        <w:rPr>
          <w:rFonts w:hint="eastAsia"/>
          <w:sz w:val="24"/>
          <w:szCs w:val="24"/>
        </w:rPr>
        <w:t>月</w:t>
      </w:r>
      <w:r>
        <w:rPr>
          <w:b/>
          <w:sz w:val="24"/>
          <w:szCs w:val="24"/>
          <w:u w:val="single"/>
        </w:rPr>
        <w:t xml:space="preserve">    </w:t>
      </w:r>
      <w:r>
        <w:rPr>
          <w:rFonts w:hint="eastAsia"/>
          <w:sz w:val="24"/>
          <w:szCs w:val="24"/>
        </w:rPr>
        <w:t>日</w:t>
      </w:r>
    </w:p>
    <w:p>
      <w:pPr>
        <w:autoSpaceDE/>
        <w:autoSpaceDN/>
        <w:adjustRightInd w:val="0"/>
        <w:snapToGrid w:val="0"/>
        <w:spacing w:line="360" w:lineRule="auto"/>
        <w:rPr>
          <w:sz w:val="24"/>
          <w:szCs w:val="24"/>
        </w:rPr>
      </w:pPr>
      <w:r>
        <w:rPr>
          <w:rFonts w:hint="eastAsia"/>
          <w:sz w:val="24"/>
          <w:szCs w:val="24"/>
        </w:rPr>
        <w:t>注：</w:t>
      </w:r>
    </w:p>
    <w:p>
      <w:pPr>
        <w:autoSpaceDE/>
        <w:autoSpaceDN/>
        <w:adjustRightInd w:val="0"/>
        <w:snapToGrid w:val="0"/>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）若划分标段，则填写标段序号；若划分为两个及以上标段，应分别明确各标段的具体内容、划分情况。</w:t>
      </w:r>
    </w:p>
    <w:p>
      <w:pPr>
        <w:autoSpaceDE/>
        <w:autoSpaceDN/>
        <w:adjustRightInd w:val="0"/>
        <w:snapToGrid w:val="0"/>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）招标人对投标人的资质要求，应是国家对投标人资质的强制性规定。不是国家规定必须具备的资质，不得作为资质要求。</w:t>
      </w:r>
    </w:p>
    <w:p>
      <w:pPr>
        <w:autoSpaceDE/>
        <w:autoSpaceDN/>
        <w:adjustRightInd w:val="0"/>
        <w:snapToGrid w:val="0"/>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）招标人对投标人的类似项目业绩要求，设置的投资额、面积、长度等规模量化指标不得高于本次招标工程相应指标，类似项目业绩的定义应明确，用语准确无歧义。</w:t>
      </w:r>
    </w:p>
    <w:p>
      <w:pPr>
        <w:pStyle w:val="18"/>
        <w:spacing w:line="360" w:lineRule="auto"/>
        <w:ind w:firstLine="480" w:firstLineChars="200"/>
        <w:jc w:val="both"/>
      </w:pPr>
      <w:r>
        <w:rPr>
          <w:rFonts w:hint="eastAsia"/>
        </w:rPr>
        <w:t>（</w:t>
      </w:r>
      <w:r>
        <w:t>4</w:t>
      </w:r>
      <w:r>
        <w:rPr>
          <w:rFonts w:hint="eastAsia"/>
        </w:rPr>
        <w:t>）招标人要求投标人需具备的资质一个项目（标段）为一个，因特殊情况需要两个以上资质的，应当接受投标人组成联合体投标，且限定的联合体成员数量不得少于设定的资质个数。</w:t>
      </w:r>
    </w:p>
    <w:p>
      <w:pPr>
        <w:pStyle w:val="18"/>
        <w:spacing w:before="2" w:line="360" w:lineRule="auto"/>
        <w:ind w:left="104"/>
      </w:pPr>
    </w:p>
    <w:p>
      <w:pPr>
        <w:spacing w:line="360" w:lineRule="auto"/>
        <w:sectPr>
          <w:pgSz w:w="11910" w:h="16850"/>
          <w:pgMar w:top="1600" w:right="600" w:bottom="980" w:left="1540" w:header="0" w:footer="716" w:gutter="0"/>
          <w:cols w:space="720" w:num="1"/>
        </w:sectPr>
      </w:pPr>
    </w:p>
    <w:p>
      <w:pPr>
        <w:spacing w:line="360" w:lineRule="auto"/>
        <w:rPr>
          <w:b/>
          <w:bCs/>
          <w:sz w:val="32"/>
          <w:szCs w:val="32"/>
        </w:rPr>
      </w:pPr>
      <w:r>
        <w:rPr>
          <w:rFonts w:hint="eastAsia"/>
          <w:b/>
          <w:bCs/>
          <w:sz w:val="32"/>
          <w:szCs w:val="32"/>
        </w:rPr>
        <w:t>附件：确认通知</w:t>
      </w:r>
    </w:p>
    <w:p>
      <w:pPr>
        <w:spacing w:line="360" w:lineRule="auto"/>
        <w:jc w:val="center"/>
        <w:rPr>
          <w:b/>
          <w:bCs/>
          <w:sz w:val="24"/>
          <w:szCs w:val="24"/>
        </w:rPr>
      </w:pPr>
      <w:bookmarkStart w:id="5" w:name="_Toc27914_WPSOffice_Level1"/>
      <w:r>
        <w:rPr>
          <w:rFonts w:hint="eastAsia"/>
          <w:b/>
          <w:bCs/>
          <w:sz w:val="24"/>
          <w:szCs w:val="24"/>
        </w:rPr>
        <w:t>确认通知</w:t>
      </w:r>
      <w:bookmarkEnd w:id="5"/>
    </w:p>
    <w:p>
      <w:pPr>
        <w:spacing w:line="360" w:lineRule="auto"/>
        <w:jc w:val="center"/>
        <w:rPr>
          <w:b/>
          <w:bCs/>
          <w:sz w:val="24"/>
          <w:szCs w:val="24"/>
        </w:rPr>
      </w:pPr>
    </w:p>
    <w:p>
      <w:pPr>
        <w:autoSpaceDE/>
        <w:autoSpaceDN/>
        <w:spacing w:line="360" w:lineRule="auto"/>
        <w:rPr>
          <w:b/>
          <w:bCs/>
          <w:sz w:val="24"/>
          <w:szCs w:val="24"/>
        </w:rPr>
      </w:pPr>
      <w:r>
        <w:rPr>
          <w:b/>
          <w:sz w:val="24"/>
          <w:szCs w:val="24"/>
          <w:u w:val="single"/>
        </w:rPr>
        <w:t xml:space="preserve">                           </w:t>
      </w:r>
      <w:r>
        <w:rPr>
          <w:rFonts w:hint="eastAsia"/>
          <w:b/>
          <w:sz w:val="24"/>
          <w:szCs w:val="24"/>
        </w:rPr>
        <w:t>（招标人名称）：</w:t>
      </w:r>
    </w:p>
    <w:p>
      <w:pPr>
        <w:autoSpaceDE/>
        <w:autoSpaceDN/>
        <w:adjustRightInd w:val="0"/>
        <w:snapToGrid w:val="0"/>
        <w:spacing w:line="360" w:lineRule="auto"/>
        <w:ind w:firstLine="480" w:firstLineChars="200"/>
        <w:rPr>
          <w:sz w:val="24"/>
          <w:szCs w:val="24"/>
        </w:rPr>
      </w:pPr>
      <w:r>
        <w:rPr>
          <w:rFonts w:hint="eastAsia"/>
          <w:sz w:val="24"/>
          <w:szCs w:val="24"/>
        </w:rPr>
        <w:t>我方已于</w:t>
      </w:r>
      <w:r>
        <w:rPr>
          <w:b/>
          <w:sz w:val="24"/>
          <w:szCs w:val="24"/>
          <w:u w:val="single"/>
        </w:rPr>
        <w:t xml:space="preserve">   </w:t>
      </w:r>
      <w:r>
        <w:rPr>
          <w:rFonts w:hint="eastAsia"/>
          <w:sz w:val="24"/>
          <w:szCs w:val="24"/>
        </w:rPr>
        <w:t>年</w:t>
      </w:r>
      <w:r>
        <w:rPr>
          <w:b/>
          <w:sz w:val="24"/>
          <w:szCs w:val="24"/>
          <w:u w:val="single"/>
        </w:rPr>
        <w:t xml:space="preserve">  </w:t>
      </w:r>
      <w:r>
        <w:rPr>
          <w:rFonts w:hint="eastAsia"/>
          <w:sz w:val="24"/>
          <w:szCs w:val="24"/>
        </w:rPr>
        <w:t>月</w:t>
      </w:r>
      <w:r>
        <w:rPr>
          <w:b/>
          <w:sz w:val="24"/>
          <w:szCs w:val="24"/>
          <w:u w:val="single"/>
        </w:rPr>
        <w:t xml:space="preserve">  </w:t>
      </w:r>
      <w:r>
        <w:rPr>
          <w:rFonts w:hint="eastAsia"/>
          <w:sz w:val="24"/>
          <w:szCs w:val="24"/>
        </w:rPr>
        <w:t>日收到你方</w:t>
      </w:r>
      <w:r>
        <w:rPr>
          <w:b/>
          <w:sz w:val="24"/>
          <w:szCs w:val="24"/>
          <w:u w:val="single"/>
        </w:rPr>
        <w:t xml:space="preserve">  </w:t>
      </w:r>
      <w:r>
        <w:rPr>
          <w:rFonts w:hint="eastAsia"/>
          <w:sz w:val="24"/>
          <w:szCs w:val="24"/>
        </w:rPr>
        <w:t>年</w:t>
      </w:r>
      <w:r>
        <w:rPr>
          <w:b/>
          <w:sz w:val="24"/>
          <w:szCs w:val="24"/>
          <w:u w:val="single"/>
        </w:rPr>
        <w:t xml:space="preserve">  </w:t>
      </w:r>
      <w:r>
        <w:rPr>
          <w:rFonts w:hint="eastAsia"/>
          <w:sz w:val="24"/>
          <w:szCs w:val="24"/>
        </w:rPr>
        <w:t>月</w:t>
      </w:r>
      <w:r>
        <w:rPr>
          <w:b/>
          <w:sz w:val="24"/>
          <w:szCs w:val="24"/>
          <w:u w:val="single"/>
        </w:rPr>
        <w:t xml:space="preserve">  </w:t>
      </w:r>
      <w:r>
        <w:rPr>
          <w:rFonts w:hint="eastAsia"/>
          <w:sz w:val="24"/>
          <w:szCs w:val="24"/>
        </w:rPr>
        <w:t>日发出的</w:t>
      </w:r>
      <w:r>
        <w:rPr>
          <w:b/>
          <w:sz w:val="24"/>
          <w:szCs w:val="24"/>
          <w:u w:val="single"/>
        </w:rPr>
        <w:t xml:space="preserve">          </w:t>
      </w:r>
      <w:r>
        <w:rPr>
          <w:sz w:val="24"/>
          <w:szCs w:val="24"/>
        </w:rPr>
        <w:t>(</w:t>
      </w:r>
      <w:r>
        <w:rPr>
          <w:rFonts w:hint="eastAsia"/>
          <w:sz w:val="24"/>
          <w:szCs w:val="24"/>
        </w:rPr>
        <w:t>项目名称</w:t>
      </w:r>
      <w:r>
        <w:rPr>
          <w:sz w:val="24"/>
          <w:szCs w:val="24"/>
        </w:rPr>
        <w:t>)</w:t>
      </w:r>
      <w:r>
        <w:rPr>
          <w:rFonts w:hint="eastAsia"/>
          <w:sz w:val="24"/>
          <w:szCs w:val="24"/>
          <w:lang w:val="en-US"/>
        </w:rPr>
        <w:t>的投标</w:t>
      </w:r>
      <w:r>
        <w:rPr>
          <w:rFonts w:hint="eastAsia"/>
          <w:sz w:val="24"/>
          <w:szCs w:val="24"/>
        </w:rPr>
        <w:t>邀请书，并确认</w:t>
      </w:r>
      <w:r>
        <w:rPr>
          <w:b/>
          <w:sz w:val="24"/>
          <w:szCs w:val="24"/>
          <w:u w:val="single"/>
        </w:rPr>
        <w:t xml:space="preserve">          </w:t>
      </w:r>
      <w:r>
        <w:rPr>
          <w:rFonts w:hint="eastAsia"/>
          <w:bCs/>
          <w:sz w:val="24"/>
          <w:szCs w:val="24"/>
        </w:rPr>
        <w:t>（参加</w:t>
      </w:r>
      <w:r>
        <w:rPr>
          <w:bCs/>
          <w:sz w:val="24"/>
          <w:szCs w:val="24"/>
        </w:rPr>
        <w:t>/</w:t>
      </w:r>
      <w:r>
        <w:rPr>
          <w:rFonts w:hint="eastAsia"/>
          <w:bCs/>
          <w:sz w:val="24"/>
          <w:szCs w:val="24"/>
        </w:rPr>
        <w:t>不参加）投标</w:t>
      </w:r>
      <w:r>
        <w:rPr>
          <w:rFonts w:hint="eastAsia"/>
          <w:sz w:val="24"/>
          <w:szCs w:val="24"/>
        </w:rPr>
        <w:t>。</w:t>
      </w:r>
    </w:p>
    <w:p>
      <w:pPr>
        <w:autoSpaceDE/>
        <w:autoSpaceDN/>
        <w:spacing w:line="360" w:lineRule="auto"/>
        <w:ind w:firstLine="480" w:firstLineChars="200"/>
        <w:rPr>
          <w:sz w:val="24"/>
          <w:szCs w:val="24"/>
        </w:rPr>
      </w:pPr>
      <w:r>
        <w:rPr>
          <w:rFonts w:hint="eastAsia"/>
          <w:sz w:val="24"/>
          <w:szCs w:val="24"/>
        </w:rPr>
        <w:t>特此确认。</w:t>
      </w:r>
    </w:p>
    <w:p>
      <w:pPr>
        <w:autoSpaceDE/>
        <w:autoSpaceDN/>
        <w:spacing w:line="360" w:lineRule="auto"/>
        <w:ind w:firstLine="480" w:firstLineChars="200"/>
        <w:rPr>
          <w:sz w:val="24"/>
          <w:szCs w:val="24"/>
        </w:rPr>
      </w:pPr>
    </w:p>
    <w:p>
      <w:pPr>
        <w:autoSpaceDE/>
        <w:autoSpaceDN/>
        <w:spacing w:line="360" w:lineRule="auto"/>
        <w:ind w:firstLine="480" w:firstLineChars="200"/>
        <w:rPr>
          <w:sz w:val="24"/>
          <w:szCs w:val="24"/>
        </w:rPr>
      </w:pPr>
    </w:p>
    <w:p>
      <w:pPr>
        <w:autoSpaceDE/>
        <w:autoSpaceDN/>
        <w:spacing w:line="360" w:lineRule="auto"/>
        <w:ind w:firstLine="480" w:firstLineChars="200"/>
        <w:rPr>
          <w:sz w:val="24"/>
          <w:szCs w:val="24"/>
        </w:rPr>
      </w:pPr>
    </w:p>
    <w:p>
      <w:pPr>
        <w:autoSpaceDE/>
        <w:autoSpaceDN/>
        <w:adjustRightInd w:val="0"/>
        <w:snapToGrid w:val="0"/>
        <w:spacing w:line="360" w:lineRule="auto"/>
        <w:jc w:val="right"/>
        <w:rPr>
          <w:bCs/>
          <w:sz w:val="24"/>
          <w:szCs w:val="24"/>
        </w:rPr>
      </w:pPr>
      <w:r>
        <w:rPr>
          <w:rFonts w:hint="eastAsia"/>
          <w:bCs/>
          <w:sz w:val="24"/>
          <w:szCs w:val="24"/>
        </w:rPr>
        <w:t>被邀请单位名称：</w:t>
      </w:r>
      <w:r>
        <w:rPr>
          <w:bCs/>
          <w:sz w:val="24"/>
          <w:szCs w:val="24"/>
          <w:u w:val="single"/>
        </w:rPr>
        <w:t xml:space="preserve">                 </w:t>
      </w:r>
      <w:r>
        <w:rPr>
          <w:rFonts w:hint="eastAsia"/>
          <w:bCs/>
          <w:sz w:val="24"/>
          <w:szCs w:val="24"/>
        </w:rPr>
        <w:t>（盖</w:t>
      </w:r>
      <w:r>
        <w:rPr>
          <w:bCs/>
          <w:sz w:val="24"/>
          <w:szCs w:val="24"/>
        </w:rPr>
        <w:t xml:space="preserve"> </w:t>
      </w:r>
      <w:r>
        <w:rPr>
          <w:rFonts w:hint="eastAsia"/>
          <w:bCs/>
          <w:sz w:val="24"/>
          <w:szCs w:val="24"/>
        </w:rPr>
        <w:t>单</w:t>
      </w:r>
      <w:r>
        <w:rPr>
          <w:bCs/>
          <w:sz w:val="24"/>
          <w:szCs w:val="24"/>
        </w:rPr>
        <w:t xml:space="preserve"> </w:t>
      </w:r>
      <w:r>
        <w:rPr>
          <w:rFonts w:hint="eastAsia"/>
          <w:bCs/>
          <w:sz w:val="24"/>
          <w:szCs w:val="24"/>
        </w:rPr>
        <w:t>位章）</w:t>
      </w:r>
    </w:p>
    <w:p>
      <w:pPr>
        <w:autoSpaceDE/>
        <w:autoSpaceDN/>
        <w:adjustRightInd w:val="0"/>
        <w:snapToGrid w:val="0"/>
        <w:spacing w:line="360" w:lineRule="auto"/>
        <w:jc w:val="right"/>
        <w:rPr>
          <w:bCs/>
          <w:sz w:val="24"/>
          <w:szCs w:val="24"/>
        </w:rPr>
      </w:pPr>
      <w:r>
        <w:rPr>
          <w:rFonts w:hint="eastAsia"/>
          <w:bCs/>
          <w:sz w:val="24"/>
          <w:szCs w:val="24"/>
        </w:rPr>
        <w:t>法定代表人：</w:t>
      </w:r>
      <w:r>
        <w:rPr>
          <w:bCs/>
          <w:sz w:val="24"/>
          <w:szCs w:val="24"/>
          <w:u w:val="single"/>
        </w:rPr>
        <w:t xml:space="preserve">                 </w:t>
      </w:r>
      <w:r>
        <w:rPr>
          <w:rFonts w:hint="eastAsia"/>
          <w:bCs/>
          <w:sz w:val="24"/>
          <w:szCs w:val="24"/>
        </w:rPr>
        <w:t>（签</w:t>
      </w:r>
      <w:r>
        <w:rPr>
          <w:bCs/>
          <w:sz w:val="24"/>
          <w:szCs w:val="24"/>
        </w:rPr>
        <w:t xml:space="preserve">      </w:t>
      </w:r>
      <w:r>
        <w:rPr>
          <w:rFonts w:hint="eastAsia"/>
          <w:bCs/>
          <w:sz w:val="24"/>
          <w:szCs w:val="24"/>
        </w:rPr>
        <w:t>字）</w:t>
      </w:r>
    </w:p>
    <w:p>
      <w:pPr>
        <w:pStyle w:val="18"/>
        <w:spacing w:before="10" w:line="360" w:lineRule="auto"/>
        <w:rPr>
          <w:sz w:val="10"/>
        </w:rPr>
      </w:pPr>
      <w:r>
        <w:rPr>
          <w:b/>
        </w:rPr>
        <w:t xml:space="preserve">                                                  </w:t>
      </w:r>
      <w:r>
        <w:rPr>
          <w:b/>
          <w:u w:val="single"/>
        </w:rPr>
        <w:t xml:space="preserve">     </w:t>
      </w:r>
      <w:r>
        <w:rPr>
          <w:rFonts w:hint="eastAsia"/>
        </w:rPr>
        <w:t>年</w:t>
      </w:r>
      <w:r>
        <w:rPr>
          <w:b/>
          <w:u w:val="single"/>
        </w:rPr>
        <w:t xml:space="preserve">   </w:t>
      </w:r>
      <w:r>
        <w:rPr>
          <w:rFonts w:hint="eastAsia"/>
        </w:rPr>
        <w:t>月</w:t>
      </w:r>
      <w:r>
        <w:rPr>
          <w:b/>
          <w:u w:val="single"/>
        </w:rPr>
        <w:t xml:space="preserve">   </w:t>
      </w:r>
      <w:r>
        <w:rPr>
          <w:rFonts w:hint="eastAsia"/>
        </w:rPr>
        <w:t>日</w:t>
      </w:r>
    </w:p>
    <w:p>
      <w:pPr>
        <w:tabs>
          <w:tab w:val="left" w:pos="1687"/>
        </w:tabs>
        <w:spacing w:line="360" w:lineRule="auto"/>
        <w:ind w:right="501"/>
        <w:jc w:val="center"/>
        <w:rPr>
          <w:b/>
          <w:sz w:val="48"/>
        </w:rPr>
      </w:pPr>
    </w:p>
    <w:p>
      <w:pPr>
        <w:tabs>
          <w:tab w:val="left" w:pos="1687"/>
        </w:tabs>
        <w:spacing w:line="360" w:lineRule="auto"/>
        <w:ind w:right="501"/>
        <w:jc w:val="center"/>
        <w:rPr>
          <w:b/>
          <w:sz w:val="48"/>
        </w:rPr>
      </w:pPr>
    </w:p>
    <w:p>
      <w:pPr>
        <w:tabs>
          <w:tab w:val="left" w:pos="1687"/>
        </w:tabs>
        <w:spacing w:line="360" w:lineRule="auto"/>
        <w:ind w:right="501"/>
        <w:jc w:val="center"/>
        <w:rPr>
          <w:b/>
          <w:sz w:val="48"/>
        </w:rPr>
      </w:pPr>
    </w:p>
    <w:p>
      <w:pPr>
        <w:tabs>
          <w:tab w:val="left" w:pos="1687"/>
        </w:tabs>
        <w:spacing w:line="360" w:lineRule="auto"/>
        <w:ind w:right="501"/>
        <w:jc w:val="center"/>
        <w:rPr>
          <w:b/>
          <w:sz w:val="48"/>
        </w:rPr>
      </w:pPr>
    </w:p>
    <w:p>
      <w:pPr>
        <w:tabs>
          <w:tab w:val="left" w:pos="1687"/>
        </w:tabs>
        <w:spacing w:line="360" w:lineRule="auto"/>
        <w:ind w:right="501"/>
        <w:jc w:val="center"/>
        <w:rPr>
          <w:b/>
          <w:sz w:val="48"/>
        </w:rPr>
      </w:pPr>
    </w:p>
    <w:p>
      <w:pPr>
        <w:tabs>
          <w:tab w:val="left" w:pos="1687"/>
        </w:tabs>
        <w:spacing w:line="360" w:lineRule="auto"/>
        <w:ind w:right="501"/>
        <w:jc w:val="center"/>
        <w:rPr>
          <w:b/>
          <w:sz w:val="48"/>
        </w:rPr>
      </w:pPr>
    </w:p>
    <w:p>
      <w:pPr>
        <w:tabs>
          <w:tab w:val="left" w:pos="1687"/>
        </w:tabs>
        <w:spacing w:line="360" w:lineRule="auto"/>
        <w:ind w:right="501"/>
        <w:jc w:val="center"/>
        <w:rPr>
          <w:b/>
          <w:sz w:val="48"/>
        </w:rPr>
      </w:pPr>
    </w:p>
    <w:p>
      <w:pPr>
        <w:tabs>
          <w:tab w:val="left" w:pos="1687"/>
        </w:tabs>
        <w:spacing w:line="360" w:lineRule="auto"/>
        <w:ind w:right="501"/>
        <w:jc w:val="center"/>
        <w:rPr>
          <w:b/>
          <w:sz w:val="48"/>
        </w:rPr>
      </w:pPr>
    </w:p>
    <w:p>
      <w:pPr>
        <w:tabs>
          <w:tab w:val="left" w:pos="1687"/>
        </w:tabs>
        <w:spacing w:line="360" w:lineRule="auto"/>
        <w:ind w:right="501"/>
        <w:jc w:val="center"/>
        <w:rPr>
          <w:b/>
          <w:sz w:val="48"/>
        </w:rPr>
      </w:pPr>
    </w:p>
    <w:p>
      <w:pPr>
        <w:tabs>
          <w:tab w:val="left" w:pos="1687"/>
        </w:tabs>
        <w:spacing w:line="360" w:lineRule="auto"/>
        <w:ind w:right="501"/>
        <w:jc w:val="center"/>
        <w:rPr>
          <w:b/>
          <w:sz w:val="48"/>
        </w:rPr>
      </w:pPr>
    </w:p>
    <w:p>
      <w:pPr>
        <w:tabs>
          <w:tab w:val="left" w:pos="1687"/>
        </w:tabs>
        <w:spacing w:line="360" w:lineRule="auto"/>
        <w:ind w:right="501"/>
        <w:jc w:val="center"/>
        <w:rPr>
          <w:b/>
          <w:sz w:val="48"/>
        </w:rPr>
      </w:pPr>
    </w:p>
    <w:p>
      <w:pPr>
        <w:tabs>
          <w:tab w:val="left" w:pos="1687"/>
        </w:tabs>
        <w:spacing w:line="360" w:lineRule="auto"/>
        <w:ind w:right="501"/>
        <w:jc w:val="center"/>
        <w:rPr>
          <w:b/>
          <w:sz w:val="48"/>
        </w:rPr>
      </w:pPr>
    </w:p>
    <w:p>
      <w:pPr>
        <w:tabs>
          <w:tab w:val="left" w:pos="1687"/>
        </w:tabs>
        <w:spacing w:line="360" w:lineRule="auto"/>
        <w:ind w:right="501"/>
        <w:jc w:val="center"/>
        <w:rPr>
          <w:b/>
          <w:sz w:val="48"/>
        </w:rPr>
      </w:pPr>
    </w:p>
    <w:p>
      <w:pPr>
        <w:tabs>
          <w:tab w:val="left" w:pos="1687"/>
        </w:tabs>
        <w:spacing w:line="360" w:lineRule="auto"/>
        <w:ind w:right="501"/>
        <w:jc w:val="center"/>
        <w:rPr>
          <w:b/>
          <w:sz w:val="48"/>
        </w:rPr>
      </w:pPr>
      <w:r>
        <w:rPr>
          <w:rFonts w:hint="eastAsia"/>
          <w:b/>
          <w:sz w:val="48"/>
        </w:rPr>
        <w:t>第二章</w:t>
      </w:r>
      <w:r>
        <w:rPr>
          <w:b/>
          <w:sz w:val="48"/>
        </w:rPr>
        <w:tab/>
      </w:r>
      <w:r>
        <w:rPr>
          <w:rFonts w:hint="eastAsia"/>
          <w:b/>
          <w:sz w:val="48"/>
        </w:rPr>
        <w:t>投标人须知</w:t>
      </w:r>
    </w:p>
    <w:p>
      <w:pPr>
        <w:spacing w:line="360" w:lineRule="auto"/>
        <w:jc w:val="center"/>
        <w:rPr>
          <w:sz w:val="48"/>
        </w:rPr>
        <w:sectPr>
          <w:pgSz w:w="11910" w:h="16850"/>
          <w:pgMar w:top="1600" w:right="600" w:bottom="980" w:left="1540" w:header="0" w:footer="716" w:gutter="0"/>
          <w:cols w:space="720" w:num="1"/>
        </w:sectPr>
      </w:pPr>
    </w:p>
    <w:p>
      <w:pPr>
        <w:pStyle w:val="4"/>
        <w:spacing w:after="60" w:line="360" w:lineRule="auto"/>
        <w:ind w:left="0" w:right="936"/>
        <w:jc w:val="center"/>
        <w:rPr>
          <w:rFonts w:ascii="宋体" w:hAnsi="宋体" w:eastAsia="宋体" w:cs="宋体"/>
        </w:rPr>
      </w:pPr>
      <w:r>
        <w:rPr>
          <w:rFonts w:hint="eastAsia" w:ascii="宋体" w:hAnsi="宋体" w:eastAsia="宋体" w:cs="宋体"/>
          <w:lang w:val="en-US"/>
        </w:rPr>
        <w:t>第二章</w:t>
      </w:r>
      <w:r>
        <w:rPr>
          <w:rFonts w:ascii="宋体" w:hAnsi="宋体" w:eastAsia="宋体" w:cs="宋体"/>
          <w:lang w:val="en-US"/>
        </w:rPr>
        <w:t xml:space="preserve">  </w:t>
      </w:r>
      <w:r>
        <w:rPr>
          <w:rFonts w:hint="eastAsia" w:ascii="宋体" w:hAnsi="宋体" w:eastAsia="宋体" w:cs="宋体"/>
        </w:rPr>
        <w:t>投标人须知前附表</w:t>
      </w:r>
    </w:p>
    <w:p>
      <w:pPr>
        <w:spacing w:line="360" w:lineRule="auto"/>
      </w:pPr>
    </w:p>
    <w:tbl>
      <w:tblPr>
        <w:tblStyle w:val="3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50"/>
        <w:gridCol w:w="2069"/>
        <w:gridCol w:w="6027"/>
        <w:gridCol w:w="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Height w:val="740" w:hRule="atLeast"/>
        </w:trPr>
        <w:tc>
          <w:tcPr>
            <w:tcW w:w="1050" w:type="dxa"/>
            <w:vAlign w:val="center"/>
          </w:tcPr>
          <w:p>
            <w:pPr>
              <w:spacing w:line="360" w:lineRule="auto"/>
              <w:jc w:val="center"/>
              <w:rPr>
                <w:b/>
                <w:color w:val="000000" w:themeColor="text1"/>
                <w:sz w:val="24"/>
                <w:szCs w:val="24"/>
              </w:rPr>
            </w:pPr>
            <w:r>
              <w:rPr>
                <w:rFonts w:hint="eastAsia"/>
                <w:b/>
                <w:color w:val="000000" w:themeColor="text1"/>
                <w:sz w:val="24"/>
                <w:szCs w:val="24"/>
              </w:rPr>
              <w:t>条款号</w:t>
            </w:r>
          </w:p>
        </w:tc>
        <w:tc>
          <w:tcPr>
            <w:tcW w:w="2069" w:type="dxa"/>
            <w:vAlign w:val="center"/>
          </w:tcPr>
          <w:p>
            <w:pPr>
              <w:spacing w:line="360" w:lineRule="auto"/>
              <w:jc w:val="center"/>
              <w:rPr>
                <w:b/>
                <w:color w:val="000000" w:themeColor="text1"/>
                <w:sz w:val="24"/>
                <w:szCs w:val="24"/>
              </w:rPr>
            </w:pPr>
            <w:r>
              <w:rPr>
                <w:rFonts w:hint="eastAsia"/>
                <w:b/>
                <w:color w:val="000000" w:themeColor="text1"/>
                <w:sz w:val="24"/>
                <w:szCs w:val="24"/>
              </w:rPr>
              <w:t>条款名称</w:t>
            </w:r>
          </w:p>
        </w:tc>
        <w:tc>
          <w:tcPr>
            <w:tcW w:w="6027" w:type="dxa"/>
            <w:vAlign w:val="center"/>
          </w:tcPr>
          <w:p>
            <w:pPr>
              <w:spacing w:line="360" w:lineRule="auto"/>
              <w:jc w:val="center"/>
              <w:rPr>
                <w:b/>
                <w:color w:val="000000" w:themeColor="text1"/>
                <w:sz w:val="24"/>
                <w:szCs w:val="24"/>
              </w:rPr>
            </w:pPr>
            <w:r>
              <w:rPr>
                <w:rFonts w:hint="eastAsia"/>
                <w:b/>
                <w:color w:val="000000" w:themeColor="text1"/>
                <w:sz w:val="24"/>
                <w:szCs w:val="24"/>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1.1.2</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招标人</w:t>
            </w:r>
          </w:p>
        </w:tc>
        <w:tc>
          <w:tcPr>
            <w:tcW w:w="6027" w:type="dxa"/>
            <w:vAlign w:val="center"/>
          </w:tcPr>
          <w:p>
            <w:pPr>
              <w:adjustRightInd w:val="0"/>
              <w:snapToGrid w:val="0"/>
              <w:spacing w:line="360" w:lineRule="auto"/>
              <w:rPr>
                <w:color w:val="000000" w:themeColor="text1"/>
                <w:sz w:val="24"/>
                <w:szCs w:val="24"/>
              </w:rPr>
            </w:pPr>
            <w:r>
              <w:rPr>
                <w:rFonts w:hint="eastAsia"/>
                <w:color w:val="000000" w:themeColor="text1"/>
                <w:sz w:val="24"/>
                <w:szCs w:val="24"/>
              </w:rPr>
              <w:t>名</w:t>
            </w:r>
            <w:r>
              <w:rPr>
                <w:color w:val="000000" w:themeColor="text1"/>
                <w:sz w:val="24"/>
                <w:szCs w:val="24"/>
              </w:rPr>
              <w:t xml:space="preserve">  </w:t>
            </w:r>
            <w:r>
              <w:rPr>
                <w:rFonts w:hint="eastAsia"/>
                <w:color w:val="000000" w:themeColor="text1"/>
                <w:sz w:val="24"/>
                <w:szCs w:val="24"/>
              </w:rPr>
              <w:t>称：</w:t>
            </w:r>
            <w:r>
              <w:rPr>
                <w:bCs/>
                <w:color w:val="000000" w:themeColor="text1"/>
                <w:sz w:val="24"/>
                <w:szCs w:val="24"/>
                <w:u w:val="single"/>
              </w:rPr>
              <w:t xml:space="preserve">                   </w:t>
            </w:r>
          </w:p>
          <w:p>
            <w:pPr>
              <w:adjustRightInd w:val="0"/>
              <w:snapToGrid w:val="0"/>
              <w:spacing w:line="360" w:lineRule="auto"/>
              <w:rPr>
                <w:color w:val="000000" w:themeColor="text1"/>
                <w:sz w:val="24"/>
                <w:szCs w:val="24"/>
              </w:rPr>
            </w:pPr>
            <w:r>
              <w:rPr>
                <w:rFonts w:hint="eastAsia"/>
                <w:color w:val="000000" w:themeColor="text1"/>
                <w:sz w:val="24"/>
                <w:szCs w:val="24"/>
              </w:rPr>
              <w:t>地</w:t>
            </w:r>
            <w:r>
              <w:rPr>
                <w:color w:val="000000" w:themeColor="text1"/>
                <w:sz w:val="24"/>
                <w:szCs w:val="24"/>
              </w:rPr>
              <w:t xml:space="preserve">  </w:t>
            </w:r>
            <w:r>
              <w:rPr>
                <w:rFonts w:hint="eastAsia"/>
                <w:color w:val="000000" w:themeColor="text1"/>
                <w:sz w:val="24"/>
                <w:szCs w:val="24"/>
              </w:rPr>
              <w:t>址：</w:t>
            </w:r>
            <w:r>
              <w:rPr>
                <w:bCs/>
                <w:color w:val="000000" w:themeColor="text1"/>
                <w:sz w:val="24"/>
                <w:szCs w:val="24"/>
                <w:u w:val="single"/>
              </w:rPr>
              <w:t xml:space="preserve">                   </w:t>
            </w:r>
          </w:p>
          <w:p>
            <w:pPr>
              <w:adjustRightInd w:val="0"/>
              <w:snapToGrid w:val="0"/>
              <w:spacing w:line="360" w:lineRule="auto"/>
              <w:rPr>
                <w:color w:val="000000" w:themeColor="text1"/>
                <w:sz w:val="24"/>
                <w:szCs w:val="24"/>
              </w:rPr>
            </w:pPr>
            <w:r>
              <w:rPr>
                <w:rFonts w:hint="eastAsia"/>
                <w:color w:val="000000" w:themeColor="text1"/>
                <w:sz w:val="24"/>
                <w:szCs w:val="24"/>
              </w:rPr>
              <w:t>联系人：</w:t>
            </w:r>
            <w:r>
              <w:rPr>
                <w:bCs/>
                <w:color w:val="000000" w:themeColor="text1"/>
                <w:sz w:val="24"/>
                <w:szCs w:val="24"/>
                <w:u w:val="single"/>
              </w:rPr>
              <w:t xml:space="preserve">                   </w:t>
            </w:r>
          </w:p>
          <w:p>
            <w:pPr>
              <w:spacing w:line="360" w:lineRule="auto"/>
              <w:rPr>
                <w:color w:val="000000" w:themeColor="text1"/>
                <w:sz w:val="24"/>
                <w:szCs w:val="24"/>
              </w:rPr>
            </w:pPr>
            <w:r>
              <w:rPr>
                <w:rFonts w:hint="eastAsia"/>
                <w:color w:val="000000" w:themeColor="text1"/>
                <w:sz w:val="24"/>
                <w:szCs w:val="24"/>
              </w:rPr>
              <w:t>电</w:t>
            </w:r>
            <w:r>
              <w:rPr>
                <w:color w:val="000000" w:themeColor="text1"/>
                <w:sz w:val="24"/>
                <w:szCs w:val="24"/>
              </w:rPr>
              <w:t xml:space="preserve">  </w:t>
            </w:r>
            <w:r>
              <w:rPr>
                <w:rFonts w:hint="eastAsia"/>
                <w:color w:val="000000" w:themeColor="text1"/>
                <w:sz w:val="24"/>
                <w:szCs w:val="24"/>
              </w:rPr>
              <w:t>话：</w:t>
            </w:r>
            <w:r>
              <w:rPr>
                <w:bCs/>
                <w:color w:val="000000" w:themeColor="text1"/>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1.1.3</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招标代理机构</w:t>
            </w:r>
          </w:p>
        </w:tc>
        <w:tc>
          <w:tcPr>
            <w:tcW w:w="6027" w:type="dxa"/>
            <w:vAlign w:val="center"/>
          </w:tcPr>
          <w:p>
            <w:pPr>
              <w:adjustRightInd w:val="0"/>
              <w:snapToGrid w:val="0"/>
              <w:spacing w:line="360" w:lineRule="auto"/>
              <w:rPr>
                <w:color w:val="000000" w:themeColor="text1"/>
                <w:sz w:val="24"/>
                <w:szCs w:val="24"/>
              </w:rPr>
            </w:pPr>
            <w:r>
              <w:rPr>
                <w:rFonts w:hint="eastAsia"/>
                <w:color w:val="000000" w:themeColor="text1"/>
                <w:sz w:val="24"/>
                <w:szCs w:val="24"/>
              </w:rPr>
              <w:t>名</w:t>
            </w:r>
            <w:r>
              <w:rPr>
                <w:color w:val="000000" w:themeColor="text1"/>
                <w:sz w:val="24"/>
                <w:szCs w:val="24"/>
              </w:rPr>
              <w:t xml:space="preserve">  </w:t>
            </w:r>
            <w:r>
              <w:rPr>
                <w:rFonts w:hint="eastAsia"/>
                <w:color w:val="000000" w:themeColor="text1"/>
                <w:sz w:val="24"/>
                <w:szCs w:val="24"/>
              </w:rPr>
              <w:t>称：</w:t>
            </w:r>
            <w:r>
              <w:rPr>
                <w:bCs/>
                <w:color w:val="000000" w:themeColor="text1"/>
                <w:sz w:val="24"/>
                <w:szCs w:val="24"/>
                <w:u w:val="single"/>
              </w:rPr>
              <w:t xml:space="preserve">                   </w:t>
            </w:r>
          </w:p>
          <w:p>
            <w:pPr>
              <w:adjustRightInd w:val="0"/>
              <w:snapToGrid w:val="0"/>
              <w:spacing w:line="360" w:lineRule="auto"/>
              <w:rPr>
                <w:color w:val="000000" w:themeColor="text1"/>
                <w:sz w:val="24"/>
                <w:szCs w:val="24"/>
              </w:rPr>
            </w:pPr>
            <w:r>
              <w:rPr>
                <w:rFonts w:hint="eastAsia"/>
                <w:color w:val="000000" w:themeColor="text1"/>
                <w:sz w:val="24"/>
                <w:szCs w:val="24"/>
              </w:rPr>
              <w:t>地</w:t>
            </w:r>
            <w:r>
              <w:rPr>
                <w:color w:val="000000" w:themeColor="text1"/>
                <w:sz w:val="24"/>
                <w:szCs w:val="24"/>
              </w:rPr>
              <w:t xml:space="preserve">  </w:t>
            </w:r>
            <w:r>
              <w:rPr>
                <w:rFonts w:hint="eastAsia"/>
                <w:color w:val="000000" w:themeColor="text1"/>
                <w:sz w:val="24"/>
                <w:szCs w:val="24"/>
              </w:rPr>
              <w:t>址：</w:t>
            </w:r>
            <w:r>
              <w:rPr>
                <w:bCs/>
                <w:color w:val="000000" w:themeColor="text1"/>
                <w:sz w:val="24"/>
                <w:szCs w:val="24"/>
                <w:u w:val="single"/>
              </w:rPr>
              <w:t xml:space="preserve">                   </w:t>
            </w:r>
          </w:p>
          <w:p>
            <w:pPr>
              <w:adjustRightInd w:val="0"/>
              <w:snapToGrid w:val="0"/>
              <w:spacing w:line="360" w:lineRule="auto"/>
              <w:rPr>
                <w:color w:val="000000" w:themeColor="text1"/>
                <w:sz w:val="24"/>
                <w:szCs w:val="24"/>
              </w:rPr>
            </w:pPr>
            <w:r>
              <w:rPr>
                <w:rFonts w:hint="eastAsia"/>
                <w:color w:val="000000" w:themeColor="text1"/>
                <w:sz w:val="24"/>
                <w:szCs w:val="24"/>
              </w:rPr>
              <w:t>联系人：</w:t>
            </w:r>
            <w:r>
              <w:rPr>
                <w:bCs/>
                <w:color w:val="000000" w:themeColor="text1"/>
                <w:sz w:val="24"/>
                <w:szCs w:val="24"/>
                <w:u w:val="single"/>
              </w:rPr>
              <w:t xml:space="preserve">                   </w:t>
            </w:r>
          </w:p>
          <w:p>
            <w:pPr>
              <w:spacing w:line="360" w:lineRule="auto"/>
              <w:rPr>
                <w:color w:val="000000" w:themeColor="text1"/>
                <w:sz w:val="24"/>
                <w:szCs w:val="24"/>
              </w:rPr>
            </w:pPr>
            <w:r>
              <w:rPr>
                <w:rFonts w:hint="eastAsia"/>
                <w:color w:val="000000" w:themeColor="text1"/>
                <w:sz w:val="24"/>
                <w:szCs w:val="24"/>
              </w:rPr>
              <w:t>电</w:t>
            </w:r>
            <w:r>
              <w:rPr>
                <w:color w:val="000000" w:themeColor="text1"/>
                <w:sz w:val="24"/>
                <w:szCs w:val="24"/>
              </w:rPr>
              <w:t xml:space="preserve">  </w:t>
            </w:r>
            <w:r>
              <w:rPr>
                <w:rFonts w:hint="eastAsia"/>
                <w:color w:val="000000" w:themeColor="text1"/>
                <w:sz w:val="24"/>
                <w:szCs w:val="24"/>
              </w:rPr>
              <w:t>话：</w:t>
            </w:r>
            <w:r>
              <w:rPr>
                <w:bCs/>
                <w:color w:val="000000" w:themeColor="text1"/>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1.1.4</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项目名称</w:t>
            </w:r>
          </w:p>
        </w:tc>
        <w:tc>
          <w:tcPr>
            <w:tcW w:w="6027" w:type="dxa"/>
            <w:vAlign w:val="center"/>
          </w:tcPr>
          <w:p>
            <w:pPr>
              <w:spacing w:line="360" w:lineRule="auto"/>
              <w:rPr>
                <w:color w:val="000000" w:themeColor="text1"/>
                <w:sz w:val="24"/>
                <w:szCs w:val="24"/>
              </w:rPr>
            </w:pPr>
            <w:r>
              <w:rPr>
                <w:b/>
                <w:color w:val="000000" w:themeColor="text1"/>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1.1.5</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建设地点</w:t>
            </w:r>
          </w:p>
        </w:tc>
        <w:tc>
          <w:tcPr>
            <w:tcW w:w="6027" w:type="dxa"/>
            <w:vAlign w:val="center"/>
          </w:tcPr>
          <w:p>
            <w:pPr>
              <w:spacing w:line="360" w:lineRule="auto"/>
              <w:rPr>
                <w:color w:val="000000" w:themeColor="text1"/>
                <w:sz w:val="24"/>
                <w:szCs w:val="24"/>
              </w:rPr>
            </w:pPr>
            <w:r>
              <w:rPr>
                <w:b/>
                <w:color w:val="000000" w:themeColor="text1"/>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1.2.1</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资金来源</w:t>
            </w:r>
          </w:p>
        </w:tc>
        <w:tc>
          <w:tcPr>
            <w:tcW w:w="6027" w:type="dxa"/>
            <w:vAlign w:val="center"/>
          </w:tcPr>
          <w:p>
            <w:pPr>
              <w:spacing w:line="360" w:lineRule="auto"/>
              <w:rPr>
                <w:color w:val="000000" w:themeColor="text1"/>
                <w:sz w:val="24"/>
                <w:szCs w:val="24"/>
              </w:rPr>
            </w:pPr>
            <w:r>
              <w:rPr>
                <w:b/>
                <w:color w:val="000000" w:themeColor="text1"/>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1.2.2</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出资比例</w:t>
            </w:r>
          </w:p>
        </w:tc>
        <w:tc>
          <w:tcPr>
            <w:tcW w:w="6027" w:type="dxa"/>
            <w:vAlign w:val="center"/>
          </w:tcPr>
          <w:p>
            <w:pPr>
              <w:spacing w:line="360" w:lineRule="auto"/>
              <w:rPr>
                <w:color w:val="000000" w:themeColor="text1"/>
                <w:sz w:val="24"/>
                <w:szCs w:val="24"/>
                <w:u w:val="single"/>
              </w:rPr>
            </w:pPr>
            <w:r>
              <w:rPr>
                <w:color w:val="000000" w:themeColor="text1"/>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1.2.3</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资金落实情况</w:t>
            </w:r>
          </w:p>
        </w:tc>
        <w:tc>
          <w:tcPr>
            <w:tcW w:w="6027" w:type="dxa"/>
            <w:vAlign w:val="center"/>
          </w:tcPr>
          <w:p>
            <w:pPr>
              <w:spacing w:line="360" w:lineRule="auto"/>
              <w:rPr>
                <w:color w:val="000000" w:themeColor="text1"/>
                <w:sz w:val="24"/>
                <w:szCs w:val="24"/>
                <w:u w:val="single"/>
              </w:rPr>
            </w:pPr>
            <w:r>
              <w:rPr>
                <w:color w:val="000000" w:themeColor="text1"/>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1.3.1</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招标范围</w:t>
            </w:r>
          </w:p>
        </w:tc>
        <w:tc>
          <w:tcPr>
            <w:tcW w:w="6027" w:type="dxa"/>
            <w:vAlign w:val="center"/>
          </w:tcPr>
          <w:p>
            <w:pPr>
              <w:spacing w:line="360" w:lineRule="auto"/>
              <w:rPr>
                <w:color w:val="000000" w:themeColor="text1"/>
                <w:sz w:val="24"/>
                <w:szCs w:val="24"/>
              </w:rPr>
            </w:pPr>
            <w:r>
              <w:rPr>
                <w:color w:val="000000" w:themeColor="text1"/>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1.3.2</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计划工期</w:t>
            </w:r>
          </w:p>
        </w:tc>
        <w:tc>
          <w:tcPr>
            <w:tcW w:w="6027" w:type="dxa"/>
            <w:vAlign w:val="center"/>
          </w:tcPr>
          <w:p>
            <w:pPr>
              <w:spacing w:line="360" w:lineRule="auto"/>
              <w:rPr>
                <w:color w:val="000000" w:themeColor="text1"/>
                <w:sz w:val="24"/>
                <w:szCs w:val="24"/>
              </w:rPr>
            </w:pPr>
            <w:r>
              <w:rPr>
                <w:color w:val="000000" w:themeColor="text1"/>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1.3.3</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质量要求和施工现场安全生产标准化管理项目的等级要求</w:t>
            </w:r>
          </w:p>
        </w:tc>
        <w:tc>
          <w:tcPr>
            <w:tcW w:w="6027" w:type="dxa"/>
            <w:vAlign w:val="center"/>
          </w:tcPr>
          <w:p>
            <w:pPr>
              <w:spacing w:line="360" w:lineRule="auto"/>
              <w:rPr>
                <w:color w:val="000000" w:themeColor="text1"/>
                <w:sz w:val="24"/>
                <w:szCs w:val="24"/>
              </w:rPr>
            </w:pPr>
            <w:r>
              <w:rPr>
                <w:color w:val="000000" w:themeColor="text1"/>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1.4.1</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投标人资质条件、能力和信誉</w:t>
            </w:r>
          </w:p>
        </w:tc>
        <w:tc>
          <w:tcPr>
            <w:tcW w:w="6027" w:type="dxa"/>
            <w:vAlign w:val="center"/>
          </w:tcPr>
          <w:p>
            <w:pPr>
              <w:pStyle w:val="58"/>
              <w:spacing w:line="360" w:lineRule="auto"/>
              <w:ind w:firstLine="480"/>
              <w:rPr>
                <w:color w:val="000000" w:themeColor="text1"/>
                <w:sz w:val="24"/>
                <w:szCs w:val="24"/>
              </w:rPr>
            </w:pPr>
            <w:r>
              <w:rPr>
                <w:rFonts w:hint="eastAsia"/>
                <w:color w:val="000000" w:themeColor="text1"/>
                <w:sz w:val="24"/>
                <w:szCs w:val="24"/>
              </w:rPr>
              <w:t>资格条件：</w:t>
            </w:r>
          </w:p>
          <w:p>
            <w:pPr>
              <w:pStyle w:val="58"/>
              <w:spacing w:line="360" w:lineRule="auto"/>
              <w:ind w:firstLine="480"/>
              <w:rPr>
                <w:color w:val="000000" w:themeColor="text1"/>
                <w:sz w:val="24"/>
                <w:szCs w:val="24"/>
              </w:rPr>
            </w:pPr>
            <w:r>
              <w:rPr>
                <w:rFonts w:hint="eastAsia"/>
                <w:color w:val="000000" w:themeColor="text1"/>
                <w:sz w:val="24"/>
                <w:szCs w:val="24"/>
              </w:rPr>
              <w:t>（</w:t>
            </w:r>
            <w:r>
              <w:rPr>
                <w:color w:val="000000" w:themeColor="text1"/>
                <w:sz w:val="24"/>
                <w:szCs w:val="24"/>
                <w:lang w:val="en-US"/>
              </w:rPr>
              <w:t>1</w:t>
            </w:r>
            <w:r>
              <w:rPr>
                <w:rFonts w:hint="eastAsia"/>
                <w:color w:val="000000" w:themeColor="text1"/>
                <w:sz w:val="24"/>
                <w:szCs w:val="24"/>
              </w:rPr>
              <w:t>）资质条件：同招标公告或投标邀请书；</w:t>
            </w:r>
          </w:p>
          <w:p>
            <w:pPr>
              <w:pStyle w:val="58"/>
              <w:spacing w:line="360" w:lineRule="auto"/>
              <w:ind w:firstLine="480"/>
              <w:rPr>
                <w:color w:val="000000" w:themeColor="text1"/>
                <w:sz w:val="24"/>
                <w:szCs w:val="24"/>
              </w:rPr>
            </w:pPr>
            <w:r>
              <w:rPr>
                <w:rFonts w:hint="eastAsia"/>
                <w:color w:val="000000" w:themeColor="text1"/>
                <w:sz w:val="24"/>
                <w:szCs w:val="24"/>
              </w:rPr>
              <w:t>（</w:t>
            </w:r>
            <w:r>
              <w:rPr>
                <w:color w:val="000000" w:themeColor="text1"/>
                <w:sz w:val="24"/>
                <w:szCs w:val="24"/>
                <w:lang w:val="en-US"/>
              </w:rPr>
              <w:t>2</w:t>
            </w:r>
            <w:r>
              <w:rPr>
                <w:rFonts w:hint="eastAsia"/>
                <w:color w:val="000000" w:themeColor="text1"/>
                <w:sz w:val="24"/>
                <w:szCs w:val="24"/>
              </w:rPr>
              <w:t>）财务要求：</w:t>
            </w:r>
          </w:p>
          <w:p>
            <w:pPr>
              <w:pStyle w:val="58"/>
              <w:spacing w:line="360" w:lineRule="auto"/>
              <w:ind w:firstLine="480"/>
              <w:rPr>
                <w:color w:val="000000" w:themeColor="text1"/>
                <w:sz w:val="24"/>
                <w:szCs w:val="24"/>
              </w:rPr>
            </w:pPr>
            <w:r>
              <w:rPr>
                <w:rFonts w:hint="eastAsia"/>
                <w:color w:val="000000" w:themeColor="text1"/>
                <w:sz w:val="24"/>
                <w:szCs w:val="24"/>
              </w:rPr>
              <w:t>提供近三年由会计事务所审计的财务报告（新成立的企业，依据成立时间提供相应年度报表。）</w:t>
            </w:r>
          </w:p>
          <w:p>
            <w:pPr>
              <w:pStyle w:val="58"/>
              <w:spacing w:line="360" w:lineRule="auto"/>
              <w:ind w:firstLine="480"/>
              <w:rPr>
                <w:color w:val="000000" w:themeColor="text1"/>
                <w:sz w:val="24"/>
                <w:szCs w:val="24"/>
              </w:rPr>
            </w:pPr>
            <w:r>
              <w:rPr>
                <w:rFonts w:hint="eastAsia"/>
                <w:color w:val="000000" w:themeColor="text1"/>
                <w:sz w:val="24"/>
                <w:szCs w:val="24"/>
              </w:rPr>
              <w:t>（</w:t>
            </w:r>
            <w:r>
              <w:rPr>
                <w:color w:val="000000" w:themeColor="text1"/>
                <w:sz w:val="24"/>
                <w:szCs w:val="24"/>
                <w:lang w:val="en-US"/>
              </w:rPr>
              <w:t>3</w:t>
            </w:r>
            <w:r>
              <w:rPr>
                <w:rFonts w:hint="eastAsia"/>
                <w:color w:val="000000" w:themeColor="text1"/>
                <w:sz w:val="24"/>
                <w:szCs w:val="24"/>
              </w:rPr>
              <w:t>）业绩要求：同招标公告或投标邀请书；</w:t>
            </w:r>
          </w:p>
          <w:p>
            <w:pPr>
              <w:pStyle w:val="58"/>
              <w:spacing w:line="360" w:lineRule="auto"/>
              <w:ind w:firstLine="480"/>
              <w:rPr>
                <w:color w:val="000000" w:themeColor="text1"/>
                <w:sz w:val="24"/>
                <w:szCs w:val="24"/>
              </w:rPr>
            </w:pPr>
            <w:r>
              <w:rPr>
                <w:rFonts w:hint="eastAsia"/>
                <w:color w:val="000000" w:themeColor="text1"/>
                <w:sz w:val="24"/>
                <w:szCs w:val="24"/>
              </w:rPr>
              <w:t>（</w:t>
            </w:r>
            <w:r>
              <w:rPr>
                <w:color w:val="000000" w:themeColor="text1"/>
                <w:sz w:val="24"/>
                <w:szCs w:val="24"/>
                <w:lang w:val="en-US"/>
              </w:rPr>
              <w:t>4</w:t>
            </w:r>
            <w:r>
              <w:rPr>
                <w:rFonts w:hint="eastAsia"/>
                <w:color w:val="000000" w:themeColor="text1"/>
                <w:sz w:val="24"/>
                <w:szCs w:val="24"/>
              </w:rPr>
              <w:t>）信誉要求：不存在投标人须知</w:t>
            </w:r>
            <w:r>
              <w:rPr>
                <w:color w:val="000000" w:themeColor="text1"/>
                <w:sz w:val="24"/>
                <w:szCs w:val="24"/>
              </w:rPr>
              <w:t>1.4.3</w:t>
            </w:r>
            <w:r>
              <w:rPr>
                <w:rFonts w:hint="eastAsia"/>
                <w:color w:val="000000" w:themeColor="text1"/>
                <w:sz w:val="24"/>
                <w:szCs w:val="24"/>
              </w:rPr>
              <w:t>规定的限制投标的情形；</w:t>
            </w:r>
          </w:p>
          <w:p>
            <w:pPr>
              <w:pStyle w:val="58"/>
              <w:spacing w:line="360" w:lineRule="auto"/>
              <w:ind w:firstLine="480"/>
              <w:rPr>
                <w:color w:val="000000" w:themeColor="text1"/>
                <w:sz w:val="24"/>
                <w:szCs w:val="24"/>
              </w:rPr>
            </w:pPr>
            <w:r>
              <w:rPr>
                <w:rFonts w:hint="eastAsia"/>
                <w:color w:val="000000" w:themeColor="text1"/>
                <w:sz w:val="24"/>
                <w:szCs w:val="24"/>
              </w:rPr>
              <w:t>不存在投标人须知</w:t>
            </w:r>
            <w:r>
              <w:rPr>
                <w:color w:val="000000" w:themeColor="text1"/>
                <w:sz w:val="24"/>
                <w:szCs w:val="24"/>
              </w:rPr>
              <w:t>1.4.3</w:t>
            </w:r>
            <w:r>
              <w:rPr>
                <w:rFonts w:hint="eastAsia"/>
                <w:color w:val="000000" w:themeColor="text1"/>
                <w:sz w:val="24"/>
                <w:szCs w:val="24"/>
              </w:rPr>
              <w:t>规定的限制投标的情形；</w:t>
            </w:r>
          </w:p>
          <w:p>
            <w:pPr>
              <w:pStyle w:val="58"/>
              <w:spacing w:line="360" w:lineRule="auto"/>
              <w:ind w:firstLine="480"/>
              <w:rPr>
                <w:color w:val="000000" w:themeColor="text1"/>
                <w:sz w:val="24"/>
                <w:szCs w:val="24"/>
              </w:rPr>
            </w:pPr>
            <w:r>
              <w:rPr>
                <w:rFonts w:hint="eastAsia"/>
                <w:color w:val="000000" w:themeColor="text1"/>
                <w:sz w:val="24"/>
                <w:szCs w:val="24"/>
              </w:rPr>
              <w:t>（</w:t>
            </w:r>
            <w:r>
              <w:rPr>
                <w:color w:val="000000" w:themeColor="text1"/>
                <w:sz w:val="24"/>
                <w:szCs w:val="24"/>
                <w:lang w:val="en-US"/>
              </w:rPr>
              <w:t>5</w:t>
            </w:r>
            <w:r>
              <w:rPr>
                <w:rFonts w:hint="eastAsia"/>
                <w:color w:val="000000" w:themeColor="text1"/>
                <w:sz w:val="24"/>
                <w:szCs w:val="24"/>
              </w:rPr>
              <w:t>）项目经理的资格要求：同招标公告或投标邀请书；</w:t>
            </w:r>
          </w:p>
          <w:p>
            <w:pPr>
              <w:pStyle w:val="58"/>
              <w:spacing w:line="360" w:lineRule="auto"/>
              <w:ind w:firstLine="480"/>
              <w:rPr>
                <w:color w:val="000000" w:themeColor="text1"/>
                <w:sz w:val="24"/>
                <w:szCs w:val="24"/>
              </w:rPr>
            </w:pPr>
            <w:r>
              <w:rPr>
                <w:rFonts w:hint="eastAsia"/>
                <w:color w:val="000000" w:themeColor="text1"/>
                <w:sz w:val="24"/>
                <w:szCs w:val="24"/>
              </w:rPr>
              <w:t>（</w:t>
            </w:r>
            <w:r>
              <w:rPr>
                <w:color w:val="000000" w:themeColor="text1"/>
                <w:sz w:val="24"/>
                <w:szCs w:val="24"/>
                <w:lang w:val="en-US"/>
              </w:rPr>
              <w:t>6</w:t>
            </w:r>
            <w:r>
              <w:rPr>
                <w:rFonts w:hint="eastAsia"/>
                <w:color w:val="000000" w:themeColor="text1"/>
                <w:sz w:val="24"/>
                <w:szCs w:val="24"/>
              </w:rPr>
              <w:t>）技术负责人的资格要求：具有</w:t>
            </w:r>
            <w:r>
              <w:rPr>
                <w:color w:val="000000" w:themeColor="text1"/>
                <w:sz w:val="24"/>
                <w:szCs w:val="24"/>
              </w:rPr>
              <w:t xml:space="preserve">   </w:t>
            </w:r>
            <w:r>
              <w:rPr>
                <w:rFonts w:hint="eastAsia"/>
                <w:color w:val="000000" w:themeColor="text1"/>
                <w:sz w:val="24"/>
                <w:szCs w:val="24"/>
              </w:rPr>
              <w:t>专业</w:t>
            </w:r>
            <w:r>
              <w:rPr>
                <w:color w:val="000000" w:themeColor="text1"/>
                <w:sz w:val="24"/>
                <w:szCs w:val="24"/>
              </w:rPr>
              <w:t xml:space="preserve">    </w:t>
            </w:r>
            <w:r>
              <w:rPr>
                <w:rFonts w:hint="eastAsia"/>
                <w:color w:val="000000" w:themeColor="text1"/>
                <w:sz w:val="24"/>
                <w:szCs w:val="24"/>
              </w:rPr>
              <w:t>级及以上有效的专业技术职称证书或者具有</w:t>
            </w:r>
            <w:r>
              <w:rPr>
                <w:color w:val="000000" w:themeColor="text1"/>
                <w:sz w:val="24"/>
                <w:szCs w:val="24"/>
              </w:rPr>
              <w:t xml:space="preserve">    </w:t>
            </w:r>
            <w:r>
              <w:rPr>
                <w:rFonts w:hint="eastAsia"/>
                <w:color w:val="000000" w:themeColor="text1"/>
                <w:sz w:val="24"/>
                <w:szCs w:val="24"/>
              </w:rPr>
              <w:t>专业</w:t>
            </w:r>
            <w:r>
              <w:rPr>
                <w:color w:val="000000" w:themeColor="text1"/>
                <w:sz w:val="24"/>
                <w:szCs w:val="24"/>
              </w:rPr>
              <w:t xml:space="preserve">   </w:t>
            </w:r>
            <w:r>
              <w:rPr>
                <w:rFonts w:hint="eastAsia"/>
                <w:color w:val="000000" w:themeColor="text1"/>
                <w:sz w:val="24"/>
                <w:szCs w:val="24"/>
              </w:rPr>
              <w:t>级及以上有效的建造师证书；</w:t>
            </w:r>
          </w:p>
          <w:p>
            <w:pPr>
              <w:pStyle w:val="58"/>
              <w:spacing w:line="360" w:lineRule="auto"/>
              <w:ind w:firstLine="480"/>
              <w:rPr>
                <w:color w:val="000000" w:themeColor="text1"/>
                <w:sz w:val="24"/>
                <w:szCs w:val="24"/>
              </w:rPr>
            </w:pPr>
            <w:r>
              <w:rPr>
                <w:rFonts w:hint="eastAsia"/>
                <w:color w:val="000000" w:themeColor="text1"/>
                <w:sz w:val="24"/>
                <w:szCs w:val="24"/>
              </w:rPr>
              <w:t>（</w:t>
            </w:r>
            <w:r>
              <w:rPr>
                <w:color w:val="000000" w:themeColor="text1"/>
                <w:sz w:val="24"/>
                <w:szCs w:val="24"/>
                <w:lang w:val="en-US"/>
              </w:rPr>
              <w:t>7</w:t>
            </w:r>
            <w:r>
              <w:rPr>
                <w:rFonts w:hint="eastAsia"/>
                <w:color w:val="000000" w:themeColor="text1"/>
                <w:sz w:val="24"/>
                <w:szCs w:val="24"/>
              </w:rPr>
              <w:t>）具备有效的安全生产许可证；</w:t>
            </w:r>
          </w:p>
          <w:p>
            <w:pPr>
              <w:pStyle w:val="58"/>
              <w:spacing w:line="360" w:lineRule="auto"/>
              <w:ind w:firstLine="480"/>
              <w:rPr>
                <w:color w:val="000000" w:themeColor="text1"/>
                <w:sz w:val="24"/>
                <w:szCs w:val="24"/>
              </w:rPr>
            </w:pPr>
            <w:r>
              <w:rPr>
                <w:rFonts w:hint="eastAsia"/>
                <w:color w:val="000000" w:themeColor="text1"/>
                <w:sz w:val="24"/>
                <w:szCs w:val="24"/>
              </w:rPr>
              <w:t>（</w:t>
            </w:r>
            <w:r>
              <w:rPr>
                <w:color w:val="000000" w:themeColor="text1"/>
                <w:sz w:val="24"/>
                <w:szCs w:val="24"/>
                <w:lang w:val="en-US"/>
              </w:rPr>
              <w:t>8</w:t>
            </w:r>
            <w:r>
              <w:rPr>
                <w:rFonts w:hint="eastAsia"/>
                <w:color w:val="000000" w:themeColor="text1"/>
                <w:sz w:val="24"/>
                <w:szCs w:val="24"/>
              </w:rPr>
              <w:t>）房屋市政工程施工项目部、现场监理部关键岗位人员数量不得低于《西藏自治区房屋市政工程施工现场关键岗位人员配备管理办法（试行）》规定（施工项目部关键岗位人员配备标准见附件</w:t>
            </w:r>
            <w:r>
              <w:rPr>
                <w:color w:val="000000" w:themeColor="text1"/>
                <w:sz w:val="24"/>
                <w:szCs w:val="24"/>
              </w:rPr>
              <w:t>1</w:t>
            </w:r>
            <w:r>
              <w:rPr>
                <w:rFonts w:hint="eastAsia"/>
                <w:color w:val="000000" w:themeColor="text1"/>
                <w:sz w:val="24"/>
                <w:szCs w:val="24"/>
              </w:rPr>
              <w:t>，现场监理部关键岗位人员配备标准见附件</w:t>
            </w:r>
            <w:r>
              <w:rPr>
                <w:color w:val="000000" w:themeColor="text1"/>
                <w:sz w:val="24"/>
                <w:szCs w:val="24"/>
              </w:rPr>
              <w:t>2</w:t>
            </w:r>
            <w:r>
              <w:rPr>
                <w:rFonts w:hint="eastAsia"/>
                <w:color w:val="000000" w:themeColor="text1"/>
                <w:sz w:val="24"/>
                <w:szCs w:val="24"/>
              </w:rPr>
              <w:t>），且必须按规定认真履行岗位职责（施工项目部关键岗位人员职责详见附件</w:t>
            </w:r>
            <w:r>
              <w:rPr>
                <w:color w:val="000000" w:themeColor="text1"/>
                <w:sz w:val="24"/>
                <w:szCs w:val="24"/>
              </w:rPr>
              <w:t>3</w:t>
            </w:r>
            <w:r>
              <w:rPr>
                <w:rFonts w:hint="eastAsia"/>
                <w:color w:val="000000" w:themeColor="text1"/>
                <w:sz w:val="24"/>
                <w:szCs w:val="24"/>
              </w:rPr>
              <w:t>）；</w:t>
            </w:r>
          </w:p>
          <w:p>
            <w:pPr>
              <w:pStyle w:val="58"/>
              <w:spacing w:line="360" w:lineRule="auto"/>
              <w:ind w:firstLine="480"/>
              <w:rPr>
                <w:color w:val="000000" w:themeColor="text1"/>
                <w:sz w:val="24"/>
                <w:szCs w:val="24"/>
              </w:rPr>
            </w:pPr>
            <w:r>
              <w:rPr>
                <w:rFonts w:hint="eastAsia"/>
                <w:color w:val="000000" w:themeColor="text1"/>
                <w:sz w:val="24"/>
                <w:szCs w:val="24"/>
                <w:lang w:val="en-US"/>
              </w:rPr>
              <w:t>（</w:t>
            </w:r>
            <w:r>
              <w:rPr>
                <w:color w:val="000000" w:themeColor="text1"/>
                <w:sz w:val="24"/>
                <w:szCs w:val="24"/>
                <w:lang w:val="en-US"/>
              </w:rPr>
              <w:t>9</w:t>
            </w:r>
            <w:r>
              <w:rPr>
                <w:rFonts w:hint="eastAsia"/>
                <w:color w:val="000000" w:themeColor="text1"/>
                <w:sz w:val="24"/>
                <w:szCs w:val="24"/>
                <w:lang w:val="en-US"/>
              </w:rPr>
              <w:t>）根据《西藏自治区建筑市场管理条例》规定：区外勘察、设计、施工、监理、招标代理、工程质量检测、造价咨询等单位，在我区从事建筑活动前，应当向自治区政府住房和城乡建设主管部门报送企业基本信息。政府投资项目建设单位应当选择已报送基本信息的企业进行建筑活动。</w:t>
            </w:r>
          </w:p>
          <w:p>
            <w:pPr>
              <w:pStyle w:val="58"/>
              <w:spacing w:line="360" w:lineRule="auto"/>
              <w:ind w:firstLine="480"/>
              <w:rPr>
                <w:color w:val="000000" w:themeColor="text1"/>
                <w:sz w:val="24"/>
                <w:szCs w:val="24"/>
              </w:rPr>
            </w:pPr>
            <w:r>
              <w:rPr>
                <w:rFonts w:hint="eastAsia"/>
                <w:b/>
                <w:bCs/>
                <w:color w:val="000000" w:themeColor="text1"/>
                <w:sz w:val="24"/>
                <w:szCs w:val="24"/>
              </w:rPr>
              <w:t>注</w:t>
            </w: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）招标人在“投标人资质条件、能力和信誉”要求中，除</w:t>
            </w:r>
            <w:r>
              <w:rPr>
                <w:color w:val="000000" w:themeColor="text1"/>
                <w:sz w:val="24"/>
                <w:szCs w:val="24"/>
              </w:rPr>
              <w:t xml:space="preserve"> 1.4.1 </w:t>
            </w:r>
            <w:r>
              <w:rPr>
                <w:rFonts w:hint="eastAsia"/>
                <w:color w:val="000000" w:themeColor="text1"/>
                <w:sz w:val="24"/>
                <w:szCs w:val="24"/>
              </w:rPr>
              <w:t>已列入的外，招标人不得脱离招标项目的具体特点和实际需要，随意和盲目地设定投标人要求，不得设定与招标项目具体特点和实际需要不相适应的资质资格、技术、商务条件或者业绩、奖项要求，不得设定企业股东背景、年平均承接项目数量或者金额、从业人员、纳税额、营业场所面积等规模条件，不得设定超过项目实际需要的企业注册资本、资产总额、净资产规模、营业收入、利润、授信额度等财务指标，不得设定与招标项目实际需要不相适应或者与合同履行无关的资质、人员资格等，不得设定特定行政区域或者特定行业的业绩、奖项，不得设定投标人在本地注册设立子公司、分公司、分支机构，在本地拥有一定办公面积，在本地缴纳社会保险等，不得限定或者指定特定的专利、商标、品牌、原产地或者供应商，不得限定潜在投标人或者投标人所有制形式或者组织形式，不得设定国家已经明令取消的资质资格、非国家法定的资格，不得设定政府部门、行业协会商会或者其他机构对投标人作出的荣誉奖励和慈善公益证明等，不得设定未列入国家公布的职业资格目录和国家未发布职业标准的人员资格，不得设定要求投标人提供材料供应商授权书等，不得将施工员、质量员、安全员等现场专业管理人员配备情况列入招标文件中投标人响应承诺事项，否则属于以不合理条件限制、排斥潜在投标人或者投标人。</w:t>
            </w:r>
          </w:p>
          <w:p>
            <w:pPr>
              <w:pStyle w:val="58"/>
              <w:spacing w:line="360" w:lineRule="auto"/>
              <w:ind w:firstLine="480"/>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w:t>
            </w:r>
            <w:r>
              <w:rPr>
                <w:rFonts w:hint="eastAsia"/>
                <w:color w:val="000000" w:themeColor="text1"/>
                <w:sz w:val="24"/>
                <w:szCs w:val="24"/>
                <w:lang w:val="en-US"/>
              </w:rPr>
              <w:t>招标人应该按照住房和城乡建设部</w:t>
            </w:r>
            <w:r>
              <w:rPr>
                <w:color w:val="000000" w:themeColor="text1"/>
                <w:sz w:val="24"/>
                <w:szCs w:val="24"/>
                <w:lang w:val="en-US"/>
              </w:rPr>
              <w:t>2022</w:t>
            </w:r>
            <w:r>
              <w:rPr>
                <w:rFonts w:hint="eastAsia"/>
                <w:color w:val="000000" w:themeColor="text1"/>
                <w:sz w:val="24"/>
                <w:szCs w:val="24"/>
                <w:lang w:val="en-US"/>
              </w:rPr>
              <w:t>年</w:t>
            </w:r>
            <w:r>
              <w:rPr>
                <w:color w:val="000000" w:themeColor="text1"/>
                <w:sz w:val="24"/>
                <w:szCs w:val="24"/>
                <w:lang w:val="en-US"/>
              </w:rPr>
              <w:t>1</w:t>
            </w:r>
            <w:r>
              <w:rPr>
                <w:rFonts w:hint="eastAsia"/>
                <w:color w:val="000000" w:themeColor="text1"/>
                <w:sz w:val="24"/>
                <w:szCs w:val="24"/>
                <w:lang w:val="en-US"/>
              </w:rPr>
              <w:t>月</w:t>
            </w:r>
            <w:r>
              <w:rPr>
                <w:color w:val="000000" w:themeColor="text1"/>
                <w:sz w:val="24"/>
                <w:szCs w:val="24"/>
                <w:lang w:val="en-US"/>
              </w:rPr>
              <w:t>26</w:t>
            </w:r>
            <w:r>
              <w:rPr>
                <w:rFonts w:hint="eastAsia"/>
                <w:color w:val="000000" w:themeColor="text1"/>
                <w:sz w:val="24"/>
                <w:szCs w:val="24"/>
                <w:lang w:val="en-US"/>
              </w:rPr>
              <w:t>日发布的</w:t>
            </w:r>
            <w:r>
              <w:rPr>
                <w:rFonts w:hint="eastAsia"/>
                <w:color w:val="000000" w:themeColor="text1"/>
                <w:sz w:val="24"/>
                <w:szCs w:val="24"/>
              </w:rPr>
              <w:t>《</w:t>
            </w:r>
            <w:r>
              <w:rPr>
                <w:rFonts w:hint="eastAsia"/>
                <w:color w:val="000000" w:themeColor="text1"/>
                <w:sz w:val="24"/>
                <w:szCs w:val="24"/>
                <w:lang w:val="en-US"/>
              </w:rPr>
              <w:t>住房和城乡建设部关于修改</w:t>
            </w:r>
            <w:r>
              <w:rPr>
                <w:color w:val="000000" w:themeColor="text1"/>
                <w:sz w:val="24"/>
                <w:szCs w:val="24"/>
                <w:lang w:val="en-US"/>
              </w:rPr>
              <w:t>&lt;</w:t>
            </w:r>
            <w:r>
              <w:rPr>
                <w:rFonts w:hint="eastAsia"/>
                <w:color w:val="000000" w:themeColor="text1"/>
                <w:sz w:val="24"/>
                <w:szCs w:val="24"/>
                <w:lang w:val="en-US"/>
              </w:rPr>
              <w:t>建筑业企业资质管理规定</w:t>
            </w:r>
            <w:r>
              <w:rPr>
                <w:color w:val="000000" w:themeColor="text1"/>
                <w:sz w:val="24"/>
                <w:szCs w:val="24"/>
                <w:lang w:val="en-US"/>
              </w:rPr>
              <w:t>&gt;</w:t>
            </w:r>
            <w:r>
              <w:rPr>
                <w:rFonts w:hint="eastAsia"/>
                <w:color w:val="000000" w:themeColor="text1"/>
                <w:sz w:val="24"/>
                <w:szCs w:val="24"/>
                <w:lang w:val="en-US"/>
              </w:rPr>
              <w:t>等三部规章的决定（征求意见稿）</w:t>
            </w:r>
            <w:r>
              <w:rPr>
                <w:rFonts w:hint="eastAsia"/>
                <w:color w:val="000000" w:themeColor="text1"/>
                <w:sz w:val="24"/>
                <w:szCs w:val="24"/>
              </w:rPr>
              <w:t>》及其配套规定确定对投标人的资质等级要求。</w:t>
            </w:r>
          </w:p>
          <w:p>
            <w:pPr>
              <w:pStyle w:val="58"/>
              <w:spacing w:line="360" w:lineRule="auto"/>
              <w:ind w:firstLine="480"/>
              <w:rPr>
                <w:color w:val="000000" w:themeColor="text1"/>
                <w:sz w:val="24"/>
                <w:szCs w:val="24"/>
              </w:rPr>
            </w:pP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）资质类别：</w:t>
            </w:r>
            <w:r>
              <w:rPr>
                <w:rFonts w:hint="eastAsia"/>
                <w:color w:val="000000" w:themeColor="text1"/>
                <w:sz w:val="24"/>
                <w:szCs w:val="24"/>
                <w:lang w:val="en-US"/>
              </w:rPr>
              <w:t>招标人应该按照住房和城乡建设部</w:t>
            </w:r>
            <w:r>
              <w:rPr>
                <w:color w:val="000000" w:themeColor="text1"/>
                <w:sz w:val="24"/>
                <w:szCs w:val="24"/>
                <w:lang w:val="en-US"/>
              </w:rPr>
              <w:t>2022</w:t>
            </w:r>
            <w:r>
              <w:rPr>
                <w:rFonts w:hint="eastAsia"/>
                <w:color w:val="000000" w:themeColor="text1"/>
                <w:sz w:val="24"/>
                <w:szCs w:val="24"/>
                <w:lang w:val="en-US"/>
              </w:rPr>
              <w:t>年</w:t>
            </w:r>
            <w:r>
              <w:rPr>
                <w:color w:val="000000" w:themeColor="text1"/>
                <w:sz w:val="24"/>
                <w:szCs w:val="24"/>
                <w:lang w:val="en-US"/>
              </w:rPr>
              <w:t>1</w:t>
            </w:r>
            <w:r>
              <w:rPr>
                <w:rFonts w:hint="eastAsia"/>
                <w:color w:val="000000" w:themeColor="text1"/>
                <w:sz w:val="24"/>
                <w:szCs w:val="24"/>
                <w:lang w:val="en-US"/>
              </w:rPr>
              <w:t>月</w:t>
            </w:r>
            <w:r>
              <w:rPr>
                <w:color w:val="000000" w:themeColor="text1"/>
                <w:sz w:val="24"/>
                <w:szCs w:val="24"/>
                <w:lang w:val="en-US"/>
              </w:rPr>
              <w:t>26</w:t>
            </w:r>
            <w:r>
              <w:rPr>
                <w:rFonts w:hint="eastAsia"/>
                <w:color w:val="000000" w:themeColor="text1"/>
                <w:sz w:val="24"/>
                <w:szCs w:val="24"/>
                <w:lang w:val="en-US"/>
              </w:rPr>
              <w:t>日发布的</w:t>
            </w:r>
            <w:r>
              <w:rPr>
                <w:rFonts w:hint="eastAsia"/>
                <w:color w:val="000000" w:themeColor="text1"/>
                <w:sz w:val="24"/>
                <w:szCs w:val="24"/>
              </w:rPr>
              <w:t>《</w:t>
            </w:r>
            <w:r>
              <w:rPr>
                <w:rFonts w:hint="eastAsia"/>
                <w:color w:val="000000" w:themeColor="text1"/>
                <w:sz w:val="24"/>
                <w:szCs w:val="24"/>
                <w:lang w:val="en-US"/>
              </w:rPr>
              <w:t>住房和城乡建设部关于修改</w:t>
            </w:r>
            <w:r>
              <w:rPr>
                <w:color w:val="000000" w:themeColor="text1"/>
                <w:sz w:val="24"/>
                <w:szCs w:val="24"/>
                <w:lang w:val="en-US"/>
              </w:rPr>
              <w:t>&lt;</w:t>
            </w:r>
            <w:r>
              <w:rPr>
                <w:rFonts w:hint="eastAsia"/>
                <w:color w:val="000000" w:themeColor="text1"/>
                <w:sz w:val="24"/>
                <w:szCs w:val="24"/>
                <w:lang w:val="en-US"/>
              </w:rPr>
              <w:t>建筑业企业资质管理规定</w:t>
            </w:r>
            <w:r>
              <w:rPr>
                <w:color w:val="000000" w:themeColor="text1"/>
                <w:sz w:val="24"/>
                <w:szCs w:val="24"/>
                <w:lang w:val="en-US"/>
              </w:rPr>
              <w:t>&gt;</w:t>
            </w:r>
            <w:r>
              <w:rPr>
                <w:rFonts w:hint="eastAsia"/>
                <w:color w:val="000000" w:themeColor="text1"/>
                <w:sz w:val="24"/>
                <w:szCs w:val="24"/>
                <w:lang w:val="en-US"/>
              </w:rPr>
              <w:t>等三部规章的决定（征求意见稿）</w:t>
            </w:r>
            <w:r>
              <w:rPr>
                <w:rFonts w:hint="eastAsia"/>
                <w:color w:val="000000" w:themeColor="text1"/>
                <w:sz w:val="24"/>
                <w:szCs w:val="24"/>
              </w:rPr>
              <w:t>》</w:t>
            </w:r>
            <w:r>
              <w:rPr>
                <w:rFonts w:hint="eastAsia"/>
                <w:color w:val="000000" w:themeColor="text1"/>
                <w:sz w:val="24"/>
                <w:szCs w:val="24"/>
                <w:lang w:val="en-US"/>
              </w:rPr>
              <w:t>来划分资质类别，</w:t>
            </w:r>
            <w:r>
              <w:rPr>
                <w:rFonts w:hint="eastAsia"/>
                <w:color w:val="000000" w:themeColor="text1"/>
                <w:sz w:val="24"/>
                <w:szCs w:val="24"/>
              </w:rPr>
              <w:t>资质类别应与招标工程内容相对应，当招标工程内容涉及多个资质时，应合理划分标段发包或通过总承包后专业分包的方式发包；确需整体发包要求投标人具备相应多个资质的，应接受投标人组成联合体投标，且</w:t>
            </w:r>
            <w:r>
              <w:rPr>
                <w:rFonts w:hint="eastAsia"/>
                <w:color w:val="000000" w:themeColor="text1"/>
                <w:sz w:val="24"/>
                <w:szCs w:val="24"/>
                <w:lang w:val="en-US"/>
              </w:rPr>
              <w:t>限定的</w:t>
            </w:r>
            <w:r>
              <w:rPr>
                <w:rFonts w:hint="eastAsia"/>
                <w:color w:val="000000" w:themeColor="text1"/>
                <w:sz w:val="24"/>
                <w:szCs w:val="24"/>
              </w:rPr>
              <w:t>联合体成员的数量</w:t>
            </w:r>
            <w:r>
              <w:rPr>
                <w:rFonts w:hint="eastAsia"/>
                <w:color w:val="000000" w:themeColor="text1"/>
                <w:sz w:val="24"/>
                <w:szCs w:val="24"/>
                <w:lang w:val="en-US"/>
              </w:rPr>
              <w:t>的不得少于设定的资质个数</w:t>
            </w:r>
            <w:r>
              <w:rPr>
                <w:rFonts w:hint="eastAsia"/>
                <w:color w:val="000000" w:themeColor="text1"/>
                <w:sz w:val="24"/>
                <w:szCs w:val="24"/>
              </w:rPr>
              <w:t>。</w:t>
            </w:r>
          </w:p>
          <w:p>
            <w:pPr>
              <w:pStyle w:val="58"/>
              <w:spacing w:line="360" w:lineRule="auto"/>
              <w:ind w:firstLine="480"/>
              <w:rPr>
                <w:color w:val="000000" w:themeColor="text1"/>
                <w:sz w:val="24"/>
                <w:szCs w:val="24"/>
              </w:rPr>
            </w:pPr>
            <w:r>
              <w:rPr>
                <w:rFonts w:hint="eastAsia"/>
                <w:color w:val="000000" w:themeColor="text1"/>
                <w:sz w:val="24"/>
                <w:szCs w:val="24"/>
              </w:rPr>
              <w:t>施工总承包</w:t>
            </w:r>
            <w:r>
              <w:rPr>
                <w:rFonts w:hint="eastAsia"/>
                <w:color w:val="000000" w:themeColor="text1"/>
                <w:sz w:val="24"/>
                <w:szCs w:val="24"/>
                <w:lang w:val="en-US"/>
              </w:rPr>
              <w:t>项目</w:t>
            </w:r>
            <w:r>
              <w:rPr>
                <w:rFonts w:hint="eastAsia"/>
                <w:color w:val="000000" w:themeColor="text1"/>
                <w:sz w:val="24"/>
                <w:szCs w:val="24"/>
              </w:rPr>
              <w:t>应由取得相应施工总承包资质的企业承担。设有专业承包资质的专业工程单独发包时，应由取得相应专业承包资质</w:t>
            </w:r>
            <w:r>
              <w:rPr>
                <w:rFonts w:hint="eastAsia"/>
                <w:color w:val="000000" w:themeColor="text1"/>
                <w:sz w:val="24"/>
                <w:szCs w:val="24"/>
                <w:lang w:val="en-US"/>
              </w:rPr>
              <w:t>或相应施工总承包资质</w:t>
            </w:r>
            <w:r>
              <w:rPr>
                <w:rFonts w:hint="eastAsia"/>
                <w:color w:val="000000" w:themeColor="text1"/>
                <w:sz w:val="24"/>
                <w:szCs w:val="24"/>
              </w:rPr>
              <w:t>的企业承担。</w:t>
            </w:r>
          </w:p>
          <w:p>
            <w:pPr>
              <w:pStyle w:val="58"/>
              <w:spacing w:line="360" w:lineRule="auto"/>
              <w:ind w:firstLine="480"/>
              <w:rPr>
                <w:color w:val="000000" w:themeColor="text1"/>
                <w:sz w:val="24"/>
                <w:szCs w:val="24"/>
              </w:rPr>
            </w:pP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）不具备相应资质或超越资质等级取得的业绩，不作为有效业绩认定。</w:t>
            </w:r>
          </w:p>
          <w:p>
            <w:pPr>
              <w:pStyle w:val="58"/>
              <w:spacing w:line="360" w:lineRule="auto"/>
              <w:ind w:firstLine="480"/>
              <w:rPr>
                <w:color w:val="000000" w:themeColor="text1"/>
                <w:sz w:val="24"/>
                <w:szCs w:val="24"/>
              </w:rPr>
            </w:pPr>
            <w:r>
              <w:rPr>
                <w:rFonts w:hint="eastAsia"/>
                <w:color w:val="000000" w:themeColor="text1"/>
                <w:sz w:val="24"/>
                <w:szCs w:val="24"/>
              </w:rPr>
              <w:t>（</w:t>
            </w:r>
            <w:r>
              <w:rPr>
                <w:color w:val="000000" w:themeColor="text1"/>
                <w:sz w:val="24"/>
                <w:szCs w:val="24"/>
              </w:rPr>
              <w:t>5</w:t>
            </w:r>
            <w:r>
              <w:rPr>
                <w:rFonts w:hint="eastAsia"/>
                <w:color w:val="000000" w:themeColor="text1"/>
                <w:sz w:val="24"/>
                <w:szCs w:val="24"/>
              </w:rPr>
              <w:t>）重组、分立后的企业，其重组、分立前承接的工程项目不作为有效业绩认定；合并后的新企业，原企业在合并前承接的工程项目，提供了企业合并相关证明材料的，作为有效业绩认定。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1.4.2</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是否接受</w:t>
            </w:r>
          </w:p>
          <w:p>
            <w:pPr>
              <w:spacing w:line="360" w:lineRule="auto"/>
              <w:jc w:val="center"/>
              <w:rPr>
                <w:color w:val="000000" w:themeColor="text1"/>
                <w:sz w:val="24"/>
                <w:szCs w:val="24"/>
              </w:rPr>
            </w:pPr>
            <w:r>
              <w:rPr>
                <w:rFonts w:hint="eastAsia"/>
                <w:color w:val="000000" w:themeColor="text1"/>
                <w:sz w:val="24"/>
                <w:szCs w:val="24"/>
              </w:rPr>
              <w:t>联合体投标</w:t>
            </w:r>
          </w:p>
        </w:tc>
        <w:tc>
          <w:tcPr>
            <w:tcW w:w="6027" w:type="dxa"/>
            <w:vAlign w:val="center"/>
          </w:tcPr>
          <w:p>
            <w:pPr>
              <w:spacing w:line="360" w:lineRule="auto"/>
              <w:rPr>
                <w:color w:val="000000" w:themeColor="text1"/>
                <w:kern w:val="2"/>
                <w:sz w:val="24"/>
                <w:szCs w:val="24"/>
                <w:lang w:val="en-US"/>
              </w:rPr>
            </w:pPr>
            <w:r>
              <w:rPr>
                <w:rFonts w:hint="eastAsia"/>
                <w:color w:val="000000" w:themeColor="text1"/>
                <w:kern w:val="2"/>
                <w:sz w:val="24"/>
                <w:szCs w:val="24"/>
                <w:lang w:val="en-US"/>
              </w:rPr>
              <w:t>□不接受</w:t>
            </w:r>
          </w:p>
          <w:p>
            <w:pPr>
              <w:spacing w:line="360" w:lineRule="auto"/>
              <w:rPr>
                <w:color w:val="000000" w:themeColor="text1"/>
                <w:kern w:val="2"/>
                <w:sz w:val="24"/>
                <w:szCs w:val="24"/>
                <w:lang w:val="en-US"/>
              </w:rPr>
            </w:pPr>
            <w:r>
              <w:rPr>
                <w:rFonts w:hint="eastAsia"/>
                <w:color w:val="000000" w:themeColor="text1"/>
                <w:kern w:val="2"/>
                <w:sz w:val="24"/>
                <w:szCs w:val="24"/>
                <w:lang w:val="en-US"/>
              </w:rPr>
              <w:t>□接受，应满足下列要求：</w:t>
            </w:r>
            <w:r>
              <w:rPr>
                <w:color w:val="000000" w:themeColor="text1"/>
                <w:kern w:val="2"/>
                <w:sz w:val="24"/>
                <w:szCs w:val="24"/>
                <w:lang w:val="en-US"/>
              </w:rPr>
              <w:t xml:space="preserve">                  </w:t>
            </w:r>
            <w:r>
              <w:rPr>
                <w:rFonts w:hint="eastAsia"/>
                <w:color w:val="000000" w:themeColor="text1"/>
                <w:kern w:val="2"/>
                <w:sz w:val="24"/>
                <w:szCs w:val="24"/>
                <w:lang w:val="en-US"/>
              </w:rPr>
              <w:t>。</w:t>
            </w:r>
          </w:p>
          <w:p>
            <w:pPr>
              <w:spacing w:line="360" w:lineRule="auto"/>
              <w:rPr>
                <w:color w:val="000000" w:themeColor="text1"/>
                <w:kern w:val="2"/>
                <w:sz w:val="24"/>
                <w:szCs w:val="24"/>
                <w:lang w:val="en-US"/>
              </w:rPr>
            </w:pPr>
            <w:r>
              <w:rPr>
                <w:rFonts w:hint="eastAsia"/>
                <w:color w:val="000000" w:themeColor="text1"/>
                <w:kern w:val="2"/>
                <w:sz w:val="24"/>
                <w:szCs w:val="24"/>
                <w:lang w:val="en-US"/>
              </w:rPr>
              <w:t>（</w:t>
            </w:r>
            <w:r>
              <w:rPr>
                <w:color w:val="000000" w:themeColor="text1"/>
                <w:kern w:val="2"/>
                <w:sz w:val="24"/>
                <w:szCs w:val="24"/>
                <w:lang w:val="en-US"/>
              </w:rPr>
              <w:t>1</w:t>
            </w:r>
            <w:r>
              <w:rPr>
                <w:rFonts w:hint="eastAsia"/>
                <w:color w:val="000000" w:themeColor="text1"/>
                <w:kern w:val="2"/>
                <w:sz w:val="24"/>
                <w:szCs w:val="24"/>
                <w:lang w:val="en-US"/>
              </w:rPr>
              <w:t>）联合体资质应符合法律法规的规定，并按照联合体协议约定的职责分工予以认定。</w:t>
            </w:r>
          </w:p>
          <w:p>
            <w:pPr>
              <w:spacing w:line="360" w:lineRule="auto"/>
              <w:rPr>
                <w:color w:val="000000" w:themeColor="text1"/>
                <w:kern w:val="2"/>
                <w:sz w:val="24"/>
                <w:szCs w:val="24"/>
                <w:lang w:val="en-US"/>
              </w:rPr>
            </w:pPr>
            <w:r>
              <w:rPr>
                <w:rFonts w:hint="eastAsia"/>
                <w:color w:val="000000" w:themeColor="text1"/>
                <w:kern w:val="2"/>
                <w:sz w:val="24"/>
                <w:szCs w:val="24"/>
                <w:lang w:val="en-US"/>
              </w:rPr>
              <w:t>（</w:t>
            </w:r>
            <w:r>
              <w:rPr>
                <w:color w:val="000000" w:themeColor="text1"/>
                <w:kern w:val="2"/>
                <w:sz w:val="24"/>
                <w:szCs w:val="24"/>
                <w:lang w:val="en-US"/>
              </w:rPr>
              <w:t>2</w:t>
            </w:r>
            <w:r>
              <w:rPr>
                <w:rFonts w:hint="eastAsia"/>
                <w:color w:val="000000" w:themeColor="text1"/>
                <w:kern w:val="2"/>
                <w:sz w:val="24"/>
                <w:szCs w:val="24"/>
                <w:lang w:val="en-US"/>
              </w:rPr>
              <w:t>）联合体投标，应由联合体牵头人获取招标文件和提交投标保证金，在制作数据电文形式投标文件时，投标人名称应填写联合体牵头人名称。如未按要求进行投标，导致投标文件无法读取，由投标人自行负责。</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1.4.3</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限制投标的情形</w:t>
            </w:r>
          </w:p>
        </w:tc>
        <w:tc>
          <w:tcPr>
            <w:tcW w:w="6027" w:type="dxa"/>
            <w:vAlign w:val="center"/>
          </w:tcPr>
          <w:p>
            <w:pPr>
              <w:spacing w:line="360" w:lineRule="auto"/>
              <w:rPr>
                <w:color w:val="000000" w:themeColor="text1"/>
                <w:kern w:val="2"/>
                <w:sz w:val="24"/>
                <w:szCs w:val="24"/>
                <w:lang w:val="en-US"/>
              </w:rPr>
            </w:pPr>
            <w:r>
              <w:rPr>
                <w:rFonts w:hint="eastAsia"/>
                <w:color w:val="000000" w:themeColor="text1"/>
                <w:kern w:val="2"/>
                <w:sz w:val="24"/>
                <w:szCs w:val="24"/>
                <w:lang w:val="en-US"/>
              </w:rPr>
              <w:t>按照投标人须知正文部分</w:t>
            </w:r>
            <w:r>
              <w:rPr>
                <w:color w:val="000000" w:themeColor="text1"/>
                <w:kern w:val="2"/>
                <w:sz w:val="24"/>
                <w:szCs w:val="24"/>
                <w:lang w:val="en-US"/>
              </w:rPr>
              <w:t>1.4.3</w:t>
            </w:r>
            <w:r>
              <w:rPr>
                <w:rFonts w:hint="eastAsia"/>
                <w:color w:val="000000" w:themeColor="text1"/>
                <w:kern w:val="2"/>
                <w:sz w:val="24"/>
                <w:szCs w:val="24"/>
                <w:lang w:val="en-US"/>
              </w:rPr>
              <w:t>条执行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1.</w:t>
            </w:r>
            <w:r>
              <w:rPr>
                <w:color w:val="000000" w:themeColor="text1"/>
                <w:sz w:val="24"/>
                <w:szCs w:val="24"/>
                <w:lang w:val="en-US"/>
              </w:rPr>
              <w:t>5</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踏勘现场</w:t>
            </w:r>
          </w:p>
        </w:tc>
        <w:tc>
          <w:tcPr>
            <w:tcW w:w="6027" w:type="dxa"/>
            <w:vAlign w:val="center"/>
          </w:tcPr>
          <w:p>
            <w:pPr>
              <w:tabs>
                <w:tab w:val="left" w:pos="1430"/>
              </w:tabs>
              <w:adjustRightInd w:val="0"/>
              <w:snapToGrid w:val="0"/>
              <w:spacing w:line="360" w:lineRule="auto"/>
              <w:rPr>
                <w:color w:val="000000" w:themeColor="text1"/>
                <w:sz w:val="24"/>
                <w:szCs w:val="24"/>
                <w:u w:val="single"/>
              </w:rPr>
            </w:pPr>
            <w:r>
              <w:rPr>
                <w:rFonts w:hint="eastAsia"/>
                <w:color w:val="000000" w:themeColor="text1"/>
                <w:sz w:val="24"/>
                <w:szCs w:val="24"/>
              </w:rPr>
              <w:t>□组织，时间</w:t>
            </w:r>
            <w:r>
              <w:rPr>
                <w:color w:val="000000" w:themeColor="text1"/>
                <w:sz w:val="24"/>
                <w:szCs w:val="24"/>
                <w:u w:val="single"/>
              </w:rPr>
              <w:t xml:space="preserve">          </w:t>
            </w:r>
            <w:r>
              <w:rPr>
                <w:rFonts w:hint="eastAsia"/>
                <w:color w:val="000000" w:themeColor="text1"/>
                <w:sz w:val="24"/>
                <w:szCs w:val="24"/>
              </w:rPr>
              <w:t>地点</w:t>
            </w:r>
            <w:r>
              <w:rPr>
                <w:color w:val="000000" w:themeColor="text1"/>
                <w:sz w:val="24"/>
                <w:szCs w:val="24"/>
                <w:u w:val="single"/>
              </w:rPr>
              <w:t xml:space="preserve">           </w:t>
            </w:r>
          </w:p>
          <w:p>
            <w:pPr>
              <w:tabs>
                <w:tab w:val="left" w:pos="1430"/>
              </w:tabs>
              <w:adjustRightInd w:val="0"/>
              <w:snapToGrid w:val="0"/>
              <w:spacing w:line="360" w:lineRule="auto"/>
              <w:ind w:firstLine="960" w:firstLineChars="400"/>
              <w:rPr>
                <w:color w:val="000000" w:themeColor="text1"/>
                <w:sz w:val="24"/>
                <w:szCs w:val="24"/>
                <w:u w:val="single"/>
              </w:rPr>
            </w:pPr>
            <w:r>
              <w:rPr>
                <w:rFonts w:hint="eastAsia"/>
                <w:color w:val="000000" w:themeColor="text1"/>
                <w:sz w:val="24"/>
                <w:szCs w:val="24"/>
              </w:rPr>
              <w:t>联系人</w:t>
            </w:r>
            <w:r>
              <w:rPr>
                <w:color w:val="000000" w:themeColor="text1"/>
                <w:sz w:val="24"/>
                <w:szCs w:val="24"/>
                <w:u w:val="single"/>
              </w:rPr>
              <w:t xml:space="preserve">        </w:t>
            </w:r>
            <w:r>
              <w:rPr>
                <w:rFonts w:hint="eastAsia"/>
                <w:color w:val="000000" w:themeColor="text1"/>
                <w:sz w:val="24"/>
                <w:szCs w:val="24"/>
              </w:rPr>
              <w:t>联系电话</w:t>
            </w:r>
            <w:r>
              <w:rPr>
                <w:color w:val="000000" w:themeColor="text1"/>
                <w:sz w:val="24"/>
                <w:szCs w:val="24"/>
                <w:u w:val="single"/>
              </w:rPr>
              <w:t xml:space="preserve">         </w:t>
            </w:r>
          </w:p>
          <w:p>
            <w:pPr>
              <w:tabs>
                <w:tab w:val="left" w:pos="1430"/>
              </w:tabs>
              <w:adjustRightInd w:val="0"/>
              <w:snapToGrid w:val="0"/>
              <w:spacing w:line="360" w:lineRule="auto"/>
              <w:rPr>
                <w:color w:val="000000" w:themeColor="text1"/>
                <w:sz w:val="24"/>
                <w:szCs w:val="24"/>
              </w:rPr>
            </w:pPr>
            <w:r>
              <w:rPr>
                <w:rFonts w:hint="eastAsia"/>
                <w:color w:val="000000" w:themeColor="text1"/>
                <w:sz w:val="24"/>
                <w:szCs w:val="24"/>
              </w:rPr>
              <w:t>招标人不组织潜在投标人签到、点名，不出具回执。</w:t>
            </w:r>
          </w:p>
          <w:p>
            <w:pPr>
              <w:tabs>
                <w:tab w:val="left" w:pos="1430"/>
              </w:tabs>
              <w:adjustRightInd w:val="0"/>
              <w:snapToGrid w:val="0"/>
              <w:spacing w:line="360" w:lineRule="auto"/>
              <w:rPr>
                <w:color w:val="000000" w:themeColor="text1"/>
                <w:sz w:val="24"/>
                <w:szCs w:val="24"/>
              </w:rPr>
            </w:pPr>
            <w:r>
              <w:rPr>
                <w:rFonts w:hint="eastAsia"/>
                <w:color w:val="000000" w:themeColor="text1"/>
                <w:sz w:val="24"/>
                <w:szCs w:val="24"/>
              </w:rPr>
              <w:t>□不组织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1.</w:t>
            </w:r>
            <w:r>
              <w:rPr>
                <w:color w:val="000000" w:themeColor="text1"/>
                <w:sz w:val="24"/>
                <w:szCs w:val="24"/>
                <w:lang w:val="en-US"/>
              </w:rPr>
              <w:t>6</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投标预备会</w:t>
            </w:r>
          </w:p>
        </w:tc>
        <w:tc>
          <w:tcPr>
            <w:tcW w:w="6027" w:type="dxa"/>
            <w:vAlign w:val="center"/>
          </w:tcPr>
          <w:p>
            <w:pPr>
              <w:spacing w:line="360" w:lineRule="auto"/>
              <w:rPr>
                <w:color w:val="000000" w:themeColor="text1"/>
                <w:sz w:val="24"/>
                <w:szCs w:val="24"/>
              </w:rPr>
            </w:pPr>
            <w:r>
              <w:rPr>
                <w:rFonts w:hint="eastAsia"/>
                <w:color w:val="000000" w:themeColor="text1"/>
                <w:sz w:val="24"/>
                <w:szCs w:val="24"/>
              </w:rPr>
              <w:t>□不召开</w:t>
            </w:r>
          </w:p>
          <w:p>
            <w:pPr>
              <w:spacing w:line="360" w:lineRule="auto"/>
              <w:rPr>
                <w:color w:val="000000" w:themeColor="text1"/>
                <w:sz w:val="24"/>
                <w:szCs w:val="24"/>
              </w:rPr>
            </w:pPr>
            <w:r>
              <w:rPr>
                <w:rFonts w:hint="eastAsia"/>
                <w:color w:val="000000" w:themeColor="text1"/>
                <w:sz w:val="24"/>
                <w:szCs w:val="24"/>
              </w:rPr>
              <w:t>□召开，召开时间：</w:t>
            </w:r>
          </w:p>
          <w:p>
            <w:pPr>
              <w:spacing w:line="360" w:lineRule="auto"/>
              <w:ind w:firstLine="960" w:firstLineChars="400"/>
              <w:rPr>
                <w:color w:val="000000" w:themeColor="text1"/>
                <w:sz w:val="24"/>
                <w:szCs w:val="24"/>
              </w:rPr>
            </w:pPr>
            <w:r>
              <w:rPr>
                <w:rFonts w:hint="eastAsia"/>
                <w:color w:val="000000" w:themeColor="text1"/>
                <w:sz w:val="24"/>
                <w:szCs w:val="24"/>
              </w:rPr>
              <w:t>召开地点：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1.</w:t>
            </w:r>
            <w:r>
              <w:rPr>
                <w:color w:val="000000" w:themeColor="text1"/>
                <w:sz w:val="24"/>
                <w:szCs w:val="24"/>
                <w:lang w:val="en-US"/>
              </w:rPr>
              <w:t>7</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分包</w:t>
            </w:r>
          </w:p>
        </w:tc>
        <w:tc>
          <w:tcPr>
            <w:tcW w:w="6027" w:type="dxa"/>
            <w:vAlign w:val="center"/>
          </w:tcPr>
          <w:p>
            <w:pPr>
              <w:spacing w:line="360" w:lineRule="auto"/>
              <w:rPr>
                <w:color w:val="000000" w:themeColor="text1"/>
                <w:sz w:val="24"/>
                <w:szCs w:val="24"/>
              </w:rPr>
            </w:pPr>
            <w:r>
              <w:rPr>
                <w:rFonts w:hint="eastAsia"/>
                <w:color w:val="000000" w:themeColor="text1"/>
                <w:sz w:val="24"/>
                <w:szCs w:val="24"/>
              </w:rPr>
              <w:t>□不允许</w:t>
            </w:r>
          </w:p>
          <w:p>
            <w:pPr>
              <w:spacing w:line="360" w:lineRule="auto"/>
              <w:rPr>
                <w:color w:val="000000" w:themeColor="text1"/>
                <w:sz w:val="24"/>
                <w:szCs w:val="24"/>
                <w:u w:val="single"/>
              </w:rPr>
            </w:pPr>
            <w:r>
              <w:rPr>
                <w:rFonts w:hint="eastAsia"/>
                <w:color w:val="000000" w:themeColor="text1"/>
                <w:sz w:val="24"/>
                <w:szCs w:val="24"/>
              </w:rPr>
              <w:t>□允许</w:t>
            </w:r>
            <w:r>
              <w:rPr>
                <w:color w:val="000000" w:themeColor="text1"/>
                <w:sz w:val="24"/>
                <w:szCs w:val="24"/>
              </w:rPr>
              <w:t>,</w:t>
            </w:r>
            <w:r>
              <w:rPr>
                <w:rFonts w:hint="eastAsia"/>
                <w:color w:val="000000" w:themeColor="text1"/>
                <w:sz w:val="24"/>
                <w:szCs w:val="24"/>
              </w:rPr>
              <w:t>分包内容要求：</w:t>
            </w:r>
            <w:r>
              <w:rPr>
                <w:color w:val="000000" w:themeColor="text1"/>
                <w:sz w:val="24"/>
                <w:szCs w:val="24"/>
                <w:u w:val="single"/>
              </w:rPr>
              <w:t xml:space="preserve">                 </w:t>
            </w:r>
            <w:r>
              <w:rPr>
                <w:rFonts w:hint="eastAsia"/>
                <w:color w:val="000000" w:themeColor="text1"/>
                <w:sz w:val="24"/>
                <w:szCs w:val="24"/>
              </w:rPr>
              <w:t>。</w:t>
            </w:r>
          </w:p>
          <w:p>
            <w:pPr>
              <w:spacing w:line="360" w:lineRule="auto"/>
              <w:ind w:firstLine="840" w:firstLineChars="350"/>
              <w:rPr>
                <w:color w:val="000000" w:themeColor="text1"/>
                <w:sz w:val="24"/>
                <w:szCs w:val="24"/>
              </w:rPr>
            </w:pPr>
            <w:r>
              <w:rPr>
                <w:rFonts w:hint="eastAsia"/>
                <w:color w:val="000000" w:themeColor="text1"/>
                <w:sz w:val="24"/>
                <w:szCs w:val="24"/>
              </w:rPr>
              <w:t>接受分包的第三人资质要求：</w:t>
            </w:r>
            <w:r>
              <w:rPr>
                <w:color w:val="000000" w:themeColor="text1"/>
                <w:sz w:val="24"/>
                <w:szCs w:val="24"/>
                <w:u w:val="single"/>
              </w:rPr>
              <w:t xml:space="preserve">              </w:t>
            </w:r>
            <w:r>
              <w:rPr>
                <w:rFonts w:hint="eastAsia"/>
                <w:color w:val="000000" w:themeColor="text1"/>
                <w:sz w:val="24"/>
                <w:szCs w:val="24"/>
              </w:rPr>
              <w:t>。</w:t>
            </w:r>
          </w:p>
          <w:p>
            <w:pPr>
              <w:spacing w:line="360" w:lineRule="auto"/>
              <w:rPr>
                <w:color w:val="000000" w:themeColor="text1"/>
                <w:sz w:val="24"/>
                <w:szCs w:val="24"/>
              </w:rPr>
            </w:pPr>
            <w:r>
              <w:rPr>
                <w:rFonts w:hint="eastAsia"/>
                <w:color w:val="000000" w:themeColor="text1"/>
                <w:sz w:val="24"/>
                <w:szCs w:val="24"/>
              </w:rPr>
              <w:t>注：不得要求投标人在投标文件中提供拟分包人的营业执照、资质证书、分包协议等证明文件。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1.</w:t>
            </w:r>
            <w:r>
              <w:rPr>
                <w:color w:val="000000" w:themeColor="text1"/>
                <w:sz w:val="24"/>
                <w:szCs w:val="24"/>
                <w:lang w:val="en-US"/>
              </w:rPr>
              <w:t>8</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偏离</w:t>
            </w:r>
          </w:p>
        </w:tc>
        <w:tc>
          <w:tcPr>
            <w:tcW w:w="6027" w:type="dxa"/>
            <w:vAlign w:val="center"/>
          </w:tcPr>
          <w:p>
            <w:pPr>
              <w:spacing w:line="360" w:lineRule="auto"/>
              <w:rPr>
                <w:color w:val="000000" w:themeColor="text1"/>
                <w:sz w:val="24"/>
                <w:szCs w:val="24"/>
              </w:rPr>
            </w:pPr>
            <w:r>
              <w:rPr>
                <w:rFonts w:hint="eastAsia"/>
                <w:color w:val="000000" w:themeColor="text1"/>
                <w:sz w:val="24"/>
                <w:szCs w:val="24"/>
              </w:rPr>
              <w:t>□不允许</w:t>
            </w:r>
          </w:p>
          <w:p>
            <w:pPr>
              <w:spacing w:line="360" w:lineRule="auto"/>
              <w:rPr>
                <w:color w:val="000000" w:themeColor="text1"/>
                <w:sz w:val="24"/>
                <w:szCs w:val="24"/>
              </w:rPr>
            </w:pPr>
            <w:r>
              <w:rPr>
                <w:rFonts w:hint="eastAsia"/>
                <w:color w:val="000000" w:themeColor="text1"/>
                <w:sz w:val="24"/>
                <w:szCs w:val="24"/>
              </w:rPr>
              <w:t>□允许</w:t>
            </w:r>
            <w:r>
              <w:rPr>
                <w:color w:val="000000" w:themeColor="text1"/>
                <w:sz w:val="24"/>
                <w:szCs w:val="24"/>
              </w:rPr>
              <w:t>,</w:t>
            </w:r>
            <w:r>
              <w:rPr>
                <w:rFonts w:hint="eastAsia"/>
                <w:color w:val="000000" w:themeColor="text1"/>
                <w:sz w:val="24"/>
                <w:szCs w:val="24"/>
              </w:rPr>
              <w:t>可偏离的项目和范围见第七章“技术标准和要求”。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2.1</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构成招标文件的其他材料</w:t>
            </w:r>
          </w:p>
        </w:tc>
        <w:tc>
          <w:tcPr>
            <w:tcW w:w="6027" w:type="dxa"/>
            <w:vAlign w:val="center"/>
          </w:tcPr>
          <w:p>
            <w:pPr>
              <w:spacing w:line="360" w:lineRule="auto"/>
              <w:jc w:val="center"/>
              <w:rPr>
                <w:color w:val="000000" w:themeColor="text1"/>
                <w:sz w:val="24"/>
                <w:szCs w:val="24"/>
              </w:rPr>
            </w:pPr>
            <w:r>
              <w:rPr>
                <w:rFonts w:hint="eastAsia"/>
                <w:color w:val="000000" w:themeColor="text1"/>
                <w:sz w:val="24"/>
                <w:szCs w:val="24"/>
              </w:rPr>
              <w:t>招标补遗、澄清文件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Height w:val="2894" w:hRule="atLeast"/>
        </w:trPr>
        <w:tc>
          <w:tcPr>
            <w:tcW w:w="1050" w:type="dxa"/>
            <w:vAlign w:val="center"/>
          </w:tcPr>
          <w:p>
            <w:pPr>
              <w:spacing w:line="360" w:lineRule="auto"/>
              <w:jc w:val="center"/>
              <w:rPr>
                <w:color w:val="000000" w:themeColor="text1"/>
                <w:sz w:val="24"/>
                <w:szCs w:val="24"/>
              </w:rPr>
            </w:pPr>
            <w:r>
              <w:rPr>
                <w:color w:val="000000" w:themeColor="text1"/>
                <w:sz w:val="24"/>
                <w:szCs w:val="24"/>
              </w:rPr>
              <w:t>2.2.1</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投标人要求澄清招标文件的截止时间</w:t>
            </w:r>
          </w:p>
        </w:tc>
        <w:tc>
          <w:tcPr>
            <w:tcW w:w="6027" w:type="dxa"/>
            <w:vAlign w:val="center"/>
          </w:tcPr>
          <w:p>
            <w:pPr>
              <w:adjustRightInd w:val="0"/>
              <w:snapToGrid w:val="0"/>
              <w:spacing w:line="360" w:lineRule="auto"/>
              <w:rPr>
                <w:color w:val="000000" w:themeColor="text1"/>
                <w:sz w:val="24"/>
                <w:szCs w:val="24"/>
              </w:rPr>
            </w:pPr>
            <w:r>
              <w:rPr>
                <w:rFonts w:hint="eastAsia"/>
                <w:color w:val="000000" w:themeColor="text1"/>
                <w:sz w:val="24"/>
                <w:szCs w:val="24"/>
              </w:rPr>
              <w:t>时间：投标截止时间</w:t>
            </w:r>
            <w:r>
              <w:rPr>
                <w:color w:val="000000" w:themeColor="text1"/>
                <w:sz w:val="24"/>
                <w:szCs w:val="24"/>
              </w:rPr>
              <w:t>10</w:t>
            </w:r>
            <w:r>
              <w:rPr>
                <w:rFonts w:hint="eastAsia"/>
                <w:color w:val="000000" w:themeColor="text1"/>
                <w:sz w:val="24"/>
                <w:szCs w:val="24"/>
              </w:rPr>
              <w:t>日前。</w:t>
            </w:r>
          </w:p>
          <w:p>
            <w:pPr>
              <w:spacing w:line="360" w:lineRule="auto"/>
              <w:rPr>
                <w:color w:val="000000" w:themeColor="text1"/>
                <w:sz w:val="24"/>
                <w:szCs w:val="24"/>
              </w:rPr>
            </w:pPr>
            <w:r>
              <w:rPr>
                <w:rFonts w:hint="eastAsia"/>
                <w:color w:val="000000" w:themeColor="text1"/>
                <w:sz w:val="24"/>
                <w:szCs w:val="24"/>
              </w:rPr>
              <w:t>形式：通过《西藏自治区公共资源交易平台》（</w:t>
            </w:r>
            <w:r>
              <w:rPr>
                <w:color w:val="000000" w:themeColor="text1"/>
                <w:sz w:val="24"/>
                <w:szCs w:val="24"/>
              </w:rPr>
              <w:t>http://ggzy.xizang.gov.cn)</w:t>
            </w:r>
            <w:r>
              <w:rPr>
                <w:rFonts w:hint="eastAsia"/>
                <w:color w:val="000000" w:themeColor="text1"/>
                <w:sz w:val="24"/>
                <w:szCs w:val="24"/>
              </w:rPr>
              <w:t>向招标人提出。如有疑问，应在规定的时间前通过《西藏自治区公共资源交易平台》（</w:t>
            </w:r>
            <w:r>
              <w:rPr>
                <w:color w:val="000000" w:themeColor="text1"/>
                <w:sz w:val="24"/>
                <w:szCs w:val="24"/>
              </w:rPr>
              <w:t>http://ggzy.xizang.gov.cn)</w:t>
            </w:r>
            <w:r>
              <w:rPr>
                <w:rFonts w:hint="eastAsia"/>
                <w:color w:val="000000" w:themeColor="text1"/>
                <w:sz w:val="24"/>
                <w:szCs w:val="24"/>
              </w:rPr>
              <w:t>向招标人提出需澄清的问题，要求招标人对招标文件予以澄清。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2.2.2</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招标文件的澄清</w:t>
            </w:r>
          </w:p>
        </w:tc>
        <w:tc>
          <w:tcPr>
            <w:tcW w:w="6027" w:type="dxa"/>
            <w:vAlign w:val="center"/>
          </w:tcPr>
          <w:p>
            <w:pPr>
              <w:spacing w:line="360" w:lineRule="auto"/>
              <w:rPr>
                <w:color w:val="000000" w:themeColor="text1"/>
                <w:sz w:val="24"/>
                <w:szCs w:val="24"/>
              </w:rPr>
            </w:pPr>
            <w:r>
              <w:rPr>
                <w:rFonts w:hint="eastAsia"/>
                <w:color w:val="000000" w:themeColor="text1"/>
                <w:sz w:val="24"/>
                <w:szCs w:val="24"/>
              </w:rPr>
              <w:t>投标截止时间：</w:t>
            </w:r>
            <w:r>
              <w:rPr>
                <w:color w:val="000000" w:themeColor="text1"/>
                <w:sz w:val="24"/>
                <w:szCs w:val="24"/>
                <w:u w:val="single"/>
              </w:rPr>
              <w:t xml:space="preserve">     </w:t>
            </w:r>
            <w:r>
              <w:rPr>
                <w:rFonts w:hint="eastAsia"/>
                <w:color w:val="000000" w:themeColor="text1"/>
                <w:sz w:val="24"/>
                <w:szCs w:val="24"/>
              </w:rPr>
              <w:t>年</w:t>
            </w:r>
            <w:r>
              <w:rPr>
                <w:color w:val="000000" w:themeColor="text1"/>
                <w:sz w:val="24"/>
                <w:szCs w:val="24"/>
                <w:u w:val="single"/>
              </w:rPr>
              <w:t xml:space="preserve">   </w:t>
            </w:r>
            <w:r>
              <w:rPr>
                <w:rFonts w:hint="eastAsia"/>
                <w:color w:val="000000" w:themeColor="text1"/>
                <w:sz w:val="24"/>
                <w:szCs w:val="24"/>
              </w:rPr>
              <w:t>月</w:t>
            </w:r>
            <w:r>
              <w:rPr>
                <w:color w:val="000000" w:themeColor="text1"/>
                <w:sz w:val="24"/>
                <w:szCs w:val="24"/>
              </w:rPr>
              <w:t xml:space="preserve"> </w:t>
            </w:r>
            <w:r>
              <w:rPr>
                <w:color w:val="000000" w:themeColor="text1"/>
                <w:sz w:val="24"/>
                <w:szCs w:val="24"/>
                <w:u w:val="single"/>
              </w:rPr>
              <w:t xml:space="preserve">   </w:t>
            </w:r>
            <w:r>
              <w:rPr>
                <w:rFonts w:hint="eastAsia"/>
                <w:color w:val="000000" w:themeColor="text1"/>
                <w:sz w:val="24"/>
                <w:szCs w:val="24"/>
              </w:rPr>
              <w:t>日</w:t>
            </w:r>
            <w:r>
              <w:rPr>
                <w:color w:val="000000" w:themeColor="text1"/>
                <w:sz w:val="24"/>
                <w:szCs w:val="24"/>
                <w:u w:val="single"/>
              </w:rPr>
              <w:t xml:space="preserve">   </w:t>
            </w:r>
            <w:r>
              <w:rPr>
                <w:rFonts w:hint="eastAsia"/>
                <w:color w:val="000000" w:themeColor="text1"/>
                <w:sz w:val="24"/>
                <w:szCs w:val="24"/>
              </w:rPr>
              <w:t>时</w:t>
            </w:r>
            <w:r>
              <w:rPr>
                <w:color w:val="000000" w:themeColor="text1"/>
                <w:sz w:val="24"/>
                <w:szCs w:val="24"/>
                <w:u w:val="single"/>
              </w:rPr>
              <w:t xml:space="preserve">   </w:t>
            </w:r>
            <w:r>
              <w:rPr>
                <w:rFonts w:hint="eastAsia"/>
                <w:color w:val="000000" w:themeColor="text1"/>
                <w:sz w:val="24"/>
                <w:szCs w:val="24"/>
              </w:rPr>
              <w:t>分</w:t>
            </w:r>
          </w:p>
          <w:p>
            <w:pPr>
              <w:spacing w:line="360" w:lineRule="auto"/>
              <w:rPr>
                <w:color w:val="000000" w:themeColor="text1"/>
                <w:sz w:val="24"/>
                <w:szCs w:val="24"/>
              </w:rPr>
            </w:pPr>
            <w:r>
              <w:rPr>
                <w:rFonts w:hint="eastAsia"/>
                <w:color w:val="000000" w:themeColor="text1"/>
                <w:sz w:val="24"/>
                <w:szCs w:val="24"/>
              </w:rPr>
              <w:t>招标文件的澄清应于投标截止时间</w:t>
            </w:r>
            <w:r>
              <w:rPr>
                <w:color w:val="000000" w:themeColor="text1"/>
                <w:sz w:val="24"/>
                <w:szCs w:val="24"/>
              </w:rPr>
              <w:t>15</w:t>
            </w:r>
            <w:r>
              <w:rPr>
                <w:rFonts w:hint="eastAsia"/>
                <w:color w:val="000000" w:themeColor="text1"/>
                <w:sz w:val="24"/>
                <w:szCs w:val="24"/>
              </w:rPr>
              <w:t>日前，</w:t>
            </w:r>
            <w:r>
              <w:rPr>
                <w:rFonts w:hint="eastAsia"/>
                <w:color w:val="000000" w:themeColor="text1"/>
                <w:sz w:val="24"/>
                <w:szCs w:val="24"/>
                <w:lang w:val="en-US"/>
              </w:rPr>
              <w:t>在</w:t>
            </w:r>
            <w:r>
              <w:rPr>
                <w:rFonts w:hint="eastAsia"/>
                <w:color w:val="000000" w:themeColor="text1"/>
                <w:sz w:val="24"/>
                <w:szCs w:val="24"/>
              </w:rPr>
              <w:t>《西藏自治区公共资源交易平台》（</w:t>
            </w:r>
            <w:r>
              <w:rPr>
                <w:color w:val="000000" w:themeColor="text1"/>
              </w:rPr>
              <w:fldChar w:fldCharType="begin"/>
            </w:r>
            <w:r>
              <w:rPr>
                <w:color w:val="000000" w:themeColor="text1"/>
              </w:rPr>
              <w:instrText xml:space="preserve"> HYPERLINK "http://ggzy.xizang.gov.cn" </w:instrText>
            </w:r>
            <w:r>
              <w:rPr>
                <w:color w:val="000000" w:themeColor="text1"/>
              </w:rPr>
              <w:fldChar w:fldCharType="separate"/>
            </w:r>
            <w:r>
              <w:rPr>
                <w:rStyle w:val="42"/>
                <w:rFonts w:cs="宋体"/>
                <w:color w:val="000000" w:themeColor="text1"/>
                <w:sz w:val="24"/>
                <w:szCs w:val="24"/>
              </w:rPr>
              <w:t>http://ggzy.xizang.gov.cn</w:t>
            </w:r>
            <w:r>
              <w:rPr>
                <w:rStyle w:val="42"/>
                <w:rFonts w:cs="宋体"/>
                <w:color w:val="000000" w:themeColor="text1"/>
                <w:sz w:val="24"/>
                <w:szCs w:val="24"/>
              </w:rPr>
              <w:fldChar w:fldCharType="end"/>
            </w:r>
            <w:r>
              <w:rPr>
                <w:color w:val="000000" w:themeColor="text1"/>
                <w:sz w:val="24"/>
                <w:szCs w:val="24"/>
              </w:rPr>
              <w:t>)</w:t>
            </w:r>
            <w:r>
              <w:rPr>
                <w:rFonts w:hint="eastAsia"/>
                <w:color w:val="000000" w:themeColor="text1"/>
                <w:sz w:val="24"/>
                <w:szCs w:val="24"/>
              </w:rPr>
              <w:t>上发布，涉及到工程量清单、招标控制价和评标办法修改的，应将修改后的招标文件作为附件上传，对招标文件的所有修改内容应在澄清文件正文中全部列出，新上传的招标文件中修改内容与澄清文件正文不一致的，以澄清文件正文为准。若澄清文件发出的时间距投标截止时间不足</w:t>
            </w:r>
            <w:r>
              <w:rPr>
                <w:color w:val="000000" w:themeColor="text1"/>
                <w:sz w:val="24"/>
                <w:szCs w:val="24"/>
              </w:rPr>
              <w:t>15</w:t>
            </w:r>
            <w:r>
              <w:rPr>
                <w:rFonts w:hint="eastAsia"/>
                <w:color w:val="000000" w:themeColor="text1"/>
                <w:sz w:val="24"/>
                <w:szCs w:val="24"/>
              </w:rPr>
              <w:t>日，则应延长投标截止时间（不影响投标文件编制的情形除外）。投标人应及时</w:t>
            </w:r>
            <w:r>
              <w:rPr>
                <w:rFonts w:hint="eastAsia"/>
                <w:color w:val="000000" w:themeColor="text1"/>
                <w:sz w:val="24"/>
                <w:szCs w:val="24"/>
                <w:lang w:val="en-US"/>
              </w:rPr>
              <w:t>在</w:t>
            </w:r>
            <w:r>
              <w:rPr>
                <w:rFonts w:hint="eastAsia"/>
                <w:color w:val="000000" w:themeColor="text1"/>
                <w:sz w:val="24"/>
                <w:szCs w:val="24"/>
              </w:rPr>
              <w:t>《西藏自治区公共资源交易平台》（</w:t>
            </w:r>
            <w:r>
              <w:rPr>
                <w:color w:val="000000" w:themeColor="text1"/>
                <w:sz w:val="24"/>
                <w:szCs w:val="24"/>
              </w:rPr>
              <w:t>http://ggzy.xizang.gov.cn)</w:t>
            </w:r>
            <w:r>
              <w:rPr>
                <w:rFonts w:hint="eastAsia"/>
                <w:color w:val="000000" w:themeColor="text1"/>
                <w:sz w:val="24"/>
                <w:szCs w:val="24"/>
              </w:rPr>
              <w:t>上查询澄清文件，投标人未下载澄清文件的，其后果由投标人承担。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2.2.3</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投标人确认收到招标文件澄清</w:t>
            </w:r>
          </w:p>
        </w:tc>
        <w:tc>
          <w:tcPr>
            <w:tcW w:w="6027" w:type="dxa"/>
            <w:vAlign w:val="center"/>
          </w:tcPr>
          <w:p>
            <w:pPr>
              <w:spacing w:line="360" w:lineRule="auto"/>
              <w:rPr>
                <w:color w:val="000000" w:themeColor="text1"/>
                <w:sz w:val="24"/>
                <w:szCs w:val="24"/>
              </w:rPr>
            </w:pPr>
            <w:r>
              <w:rPr>
                <w:rFonts w:hint="eastAsia"/>
                <w:color w:val="000000" w:themeColor="text1"/>
                <w:sz w:val="24"/>
                <w:szCs w:val="24"/>
              </w:rPr>
              <w:t>自行查询，无需确认。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2.3.1</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招标文件的修改</w:t>
            </w:r>
          </w:p>
        </w:tc>
        <w:tc>
          <w:tcPr>
            <w:tcW w:w="6027" w:type="dxa"/>
            <w:vAlign w:val="center"/>
          </w:tcPr>
          <w:p>
            <w:pPr>
              <w:spacing w:line="360" w:lineRule="auto"/>
              <w:rPr>
                <w:color w:val="000000" w:themeColor="text1"/>
                <w:sz w:val="24"/>
                <w:szCs w:val="24"/>
              </w:rPr>
            </w:pPr>
            <w:r>
              <w:rPr>
                <w:rFonts w:hint="eastAsia"/>
                <w:color w:val="000000" w:themeColor="text1"/>
                <w:sz w:val="24"/>
                <w:szCs w:val="24"/>
              </w:rPr>
              <w:t>招标文件的修改应于投标截止时间</w:t>
            </w:r>
            <w:r>
              <w:rPr>
                <w:color w:val="000000" w:themeColor="text1"/>
                <w:sz w:val="24"/>
                <w:szCs w:val="24"/>
              </w:rPr>
              <w:t>15</w:t>
            </w:r>
            <w:r>
              <w:rPr>
                <w:rFonts w:hint="eastAsia"/>
                <w:color w:val="000000" w:themeColor="text1"/>
                <w:sz w:val="24"/>
                <w:szCs w:val="24"/>
              </w:rPr>
              <w:t>日前</w:t>
            </w:r>
            <w:r>
              <w:rPr>
                <w:rFonts w:hint="eastAsia"/>
                <w:color w:val="000000" w:themeColor="text1"/>
                <w:sz w:val="24"/>
                <w:szCs w:val="24"/>
                <w:lang w:val="en-US"/>
              </w:rPr>
              <w:t>在</w:t>
            </w:r>
            <w:r>
              <w:rPr>
                <w:rFonts w:hint="eastAsia"/>
                <w:color w:val="000000" w:themeColor="text1"/>
                <w:sz w:val="24"/>
                <w:szCs w:val="24"/>
              </w:rPr>
              <w:t>《西藏自治区公共资源交易平台》（</w:t>
            </w:r>
            <w:r>
              <w:rPr>
                <w:color w:val="000000" w:themeColor="text1"/>
              </w:rPr>
              <w:fldChar w:fldCharType="begin"/>
            </w:r>
            <w:r>
              <w:rPr>
                <w:color w:val="000000" w:themeColor="text1"/>
              </w:rPr>
              <w:instrText xml:space="preserve"> HYPERLINK "http://ggzy.xizang.gov.cn" </w:instrText>
            </w:r>
            <w:r>
              <w:rPr>
                <w:color w:val="000000" w:themeColor="text1"/>
              </w:rPr>
              <w:fldChar w:fldCharType="separate"/>
            </w:r>
            <w:r>
              <w:rPr>
                <w:rStyle w:val="42"/>
                <w:rFonts w:cs="宋体"/>
                <w:color w:val="000000" w:themeColor="text1"/>
                <w:sz w:val="24"/>
                <w:szCs w:val="24"/>
              </w:rPr>
              <w:t>http://ggzy.xizang.gov.cn</w:t>
            </w:r>
            <w:r>
              <w:rPr>
                <w:rStyle w:val="42"/>
                <w:rFonts w:cs="宋体"/>
                <w:color w:val="000000" w:themeColor="text1"/>
                <w:sz w:val="24"/>
                <w:szCs w:val="24"/>
              </w:rPr>
              <w:fldChar w:fldCharType="end"/>
            </w:r>
            <w:r>
              <w:rPr>
                <w:color w:val="000000" w:themeColor="text1"/>
                <w:sz w:val="24"/>
                <w:szCs w:val="24"/>
              </w:rPr>
              <w:t>)</w:t>
            </w:r>
            <w:r>
              <w:rPr>
                <w:rFonts w:hint="eastAsia"/>
                <w:color w:val="000000" w:themeColor="text1"/>
                <w:sz w:val="24"/>
                <w:szCs w:val="24"/>
              </w:rPr>
              <w:t>上发布，涉及到工程量清单、招标控制价和评标办法修改的，应将修改后的招标文件作为附件上传，对招标文件的所有修改内容应在修改文件正文中全部列出，新上传的招标文件中修改内容与修改文件正文不一致的，以修改文件正文为准。若修改文件发出的时间距投标截止时间不足</w:t>
            </w:r>
            <w:r>
              <w:rPr>
                <w:color w:val="000000" w:themeColor="text1"/>
                <w:sz w:val="24"/>
                <w:szCs w:val="24"/>
              </w:rPr>
              <w:t>15</w:t>
            </w:r>
            <w:r>
              <w:rPr>
                <w:rFonts w:hint="eastAsia"/>
                <w:color w:val="000000" w:themeColor="text1"/>
                <w:sz w:val="24"/>
                <w:szCs w:val="24"/>
              </w:rPr>
              <w:t>日，则应延长投标截止时间（不影响投标文件编制的情形除外）。投标人应及时在《西藏自治区公共资源交易平台》（</w:t>
            </w:r>
            <w:r>
              <w:rPr>
                <w:color w:val="000000" w:themeColor="text1"/>
                <w:sz w:val="24"/>
                <w:szCs w:val="24"/>
              </w:rPr>
              <w:t>http://ggzy.xizang.gov.cn)</w:t>
            </w:r>
            <w:r>
              <w:rPr>
                <w:rFonts w:hint="eastAsia"/>
                <w:color w:val="000000" w:themeColor="text1"/>
                <w:sz w:val="24"/>
                <w:szCs w:val="24"/>
              </w:rPr>
              <w:t>上查询修改文件，投标人未下载修改文件的，其后果由投标人承担。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2.3.2</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投标人确认收到招标文件修改</w:t>
            </w:r>
          </w:p>
        </w:tc>
        <w:tc>
          <w:tcPr>
            <w:tcW w:w="6027" w:type="dxa"/>
            <w:vAlign w:val="center"/>
          </w:tcPr>
          <w:p>
            <w:pPr>
              <w:spacing w:line="360" w:lineRule="auto"/>
              <w:rPr>
                <w:color w:val="000000" w:themeColor="text1"/>
                <w:sz w:val="24"/>
                <w:szCs w:val="24"/>
              </w:rPr>
            </w:pPr>
            <w:r>
              <w:rPr>
                <w:rFonts w:hint="eastAsia"/>
                <w:color w:val="000000" w:themeColor="text1"/>
                <w:sz w:val="24"/>
                <w:szCs w:val="24"/>
              </w:rPr>
              <w:t>自行查询，无需确认。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3.1.1</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构成投标文件的其他材料</w:t>
            </w:r>
          </w:p>
        </w:tc>
        <w:tc>
          <w:tcPr>
            <w:tcW w:w="6027" w:type="dxa"/>
            <w:vAlign w:val="center"/>
          </w:tcPr>
          <w:p>
            <w:pPr>
              <w:spacing w:line="360" w:lineRule="auto"/>
              <w:rPr>
                <w:color w:val="000000" w:themeColor="text1"/>
                <w:sz w:val="24"/>
                <w:szCs w:val="24"/>
              </w:rPr>
            </w:pPr>
            <w:r>
              <w:rPr>
                <w:rFonts w:hint="eastAsia"/>
                <w:color w:val="000000" w:themeColor="text1"/>
                <w:sz w:val="24"/>
                <w:szCs w:val="24"/>
                <w:lang w:val="en-US"/>
              </w:rPr>
              <w:t>招标文件的补遗、澄清</w:t>
            </w:r>
            <w:r>
              <w:rPr>
                <w:rFonts w:hint="eastAsia"/>
                <w:color w:val="000000" w:themeColor="text1"/>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3.3.1</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投标有效期</w:t>
            </w:r>
          </w:p>
        </w:tc>
        <w:tc>
          <w:tcPr>
            <w:tcW w:w="6027" w:type="dxa"/>
            <w:vAlign w:val="center"/>
          </w:tcPr>
          <w:p>
            <w:pPr>
              <w:adjustRightInd w:val="0"/>
              <w:snapToGrid w:val="0"/>
              <w:spacing w:line="360" w:lineRule="auto"/>
              <w:rPr>
                <w:color w:val="000000" w:themeColor="text1"/>
                <w:sz w:val="24"/>
                <w:szCs w:val="24"/>
              </w:rPr>
            </w:pPr>
            <w:r>
              <w:rPr>
                <w:color w:val="000000" w:themeColor="text1"/>
                <w:sz w:val="24"/>
                <w:szCs w:val="24"/>
                <w:u w:val="single"/>
              </w:rPr>
              <w:t xml:space="preserve">       </w:t>
            </w:r>
            <w:r>
              <w:rPr>
                <w:rFonts w:hint="eastAsia"/>
                <w:color w:val="000000" w:themeColor="text1"/>
                <w:sz w:val="24"/>
                <w:szCs w:val="24"/>
              </w:rPr>
              <w:t>日历天（从投标截止之日起计算）</w:t>
            </w:r>
          </w:p>
          <w:p>
            <w:pPr>
              <w:spacing w:line="360" w:lineRule="auto"/>
              <w:rPr>
                <w:color w:val="000000" w:themeColor="text1"/>
                <w:sz w:val="24"/>
                <w:szCs w:val="24"/>
              </w:rPr>
            </w:pPr>
            <w:r>
              <w:rPr>
                <w:rFonts w:hint="eastAsia"/>
                <w:color w:val="000000" w:themeColor="text1"/>
                <w:sz w:val="24"/>
                <w:szCs w:val="24"/>
              </w:rPr>
              <w:t>注</w:t>
            </w:r>
            <w:r>
              <w:rPr>
                <w:color w:val="000000" w:themeColor="text1"/>
                <w:sz w:val="24"/>
                <w:szCs w:val="24"/>
              </w:rPr>
              <w:t>:</w:t>
            </w:r>
            <w:r>
              <w:rPr>
                <w:color w:val="000000" w:themeColor="text1"/>
              </w:rPr>
              <w:t xml:space="preserve"> </w:t>
            </w:r>
            <w:r>
              <w:rPr>
                <w:rFonts w:hint="eastAsia"/>
                <w:color w:val="000000" w:themeColor="text1"/>
                <w:sz w:val="24"/>
                <w:szCs w:val="24"/>
              </w:rPr>
              <w:t>在原投标有效期内未完成评标和签订合同的</w:t>
            </w:r>
            <w:r>
              <w:rPr>
                <w:color w:val="000000" w:themeColor="text1"/>
                <w:sz w:val="24"/>
                <w:szCs w:val="24"/>
              </w:rPr>
              <w:t>,</w:t>
            </w:r>
            <w:r>
              <w:rPr>
                <w:rFonts w:hint="eastAsia"/>
                <w:color w:val="000000" w:themeColor="text1"/>
                <w:sz w:val="24"/>
                <w:szCs w:val="24"/>
              </w:rPr>
              <w:t>招标人应当通知所有投标人延长投标有效期；拒绝延长投标有效期的投标人有权收回投标保证金；没有拒绝延长投标有效期的投标人自动延长其投标担保的有效期</w:t>
            </w:r>
            <w:r>
              <w:rPr>
                <w:color w:val="000000" w:themeColor="text1"/>
                <w:sz w:val="24"/>
                <w:szCs w:val="24"/>
              </w:rPr>
              <w:t>,</w:t>
            </w:r>
            <w:r>
              <w:rPr>
                <w:rFonts w:hint="eastAsia"/>
                <w:color w:val="000000" w:themeColor="text1"/>
                <w:sz w:val="24"/>
                <w:szCs w:val="24"/>
              </w:rPr>
              <w:t>但不得修改投标文件的实质性内容。因延长投标有效期造成投标人损失的</w:t>
            </w:r>
            <w:r>
              <w:rPr>
                <w:color w:val="000000" w:themeColor="text1"/>
                <w:sz w:val="24"/>
                <w:szCs w:val="24"/>
              </w:rPr>
              <w:t>,</w:t>
            </w:r>
            <w:r>
              <w:rPr>
                <w:rFonts w:hint="eastAsia"/>
                <w:color w:val="000000" w:themeColor="text1"/>
                <w:sz w:val="24"/>
                <w:szCs w:val="24"/>
              </w:rPr>
              <w:t>招标人应当给予补偿</w:t>
            </w:r>
            <w:r>
              <w:rPr>
                <w:color w:val="000000" w:themeColor="text1"/>
                <w:sz w:val="24"/>
                <w:szCs w:val="24"/>
              </w:rPr>
              <w:t>,</w:t>
            </w:r>
            <w:r>
              <w:rPr>
                <w:rFonts w:hint="eastAsia"/>
                <w:color w:val="000000" w:themeColor="text1"/>
                <w:sz w:val="24"/>
                <w:szCs w:val="24"/>
              </w:rPr>
              <w:t>但因不可抗力需延长投标有效期的除外。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3.4.1</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投标保证金</w:t>
            </w:r>
          </w:p>
        </w:tc>
        <w:tc>
          <w:tcPr>
            <w:tcW w:w="6027" w:type="dxa"/>
            <w:vAlign w:val="center"/>
          </w:tcPr>
          <w:p>
            <w:pPr>
              <w:adjustRightInd w:val="0"/>
              <w:snapToGrid w:val="0"/>
              <w:spacing w:line="360" w:lineRule="auto"/>
              <w:rPr>
                <w:color w:val="000000" w:themeColor="text1"/>
                <w:sz w:val="24"/>
                <w:szCs w:val="24"/>
                <w:lang w:val="en-US"/>
              </w:rPr>
            </w:pPr>
            <w:r>
              <w:rPr>
                <w:rFonts w:hint="eastAsia"/>
                <w:color w:val="000000" w:themeColor="text1"/>
                <w:sz w:val="24"/>
                <w:szCs w:val="24"/>
                <w:lang w:val="en-US"/>
              </w:rPr>
              <w:t>投标保证金的金额：</w:t>
            </w:r>
            <w:r>
              <w:rPr>
                <w:color w:val="000000" w:themeColor="text1"/>
                <w:sz w:val="24"/>
                <w:szCs w:val="24"/>
                <w:u w:val="single"/>
                <w:lang w:val="en-US"/>
              </w:rPr>
              <w:t xml:space="preserve">     </w:t>
            </w:r>
            <w:r>
              <w:rPr>
                <w:rFonts w:hint="eastAsia"/>
                <w:color w:val="000000" w:themeColor="text1"/>
                <w:sz w:val="24"/>
                <w:szCs w:val="24"/>
                <w:lang w:val="en-US"/>
              </w:rPr>
              <w:t>人民币（大写）</w:t>
            </w:r>
            <w:r>
              <w:rPr>
                <w:color w:val="000000" w:themeColor="text1"/>
                <w:sz w:val="24"/>
                <w:szCs w:val="24"/>
                <w:u w:val="single"/>
                <w:lang w:val="en-US"/>
              </w:rPr>
              <w:t xml:space="preserve">      </w:t>
            </w:r>
            <w:r>
              <w:rPr>
                <w:rFonts w:hint="eastAsia"/>
                <w:color w:val="000000" w:themeColor="text1"/>
                <w:sz w:val="24"/>
                <w:szCs w:val="24"/>
                <w:lang w:val="en-US"/>
              </w:rPr>
              <w:t>（</w:t>
            </w:r>
            <w:r>
              <w:rPr>
                <w:color w:val="000000" w:themeColor="text1"/>
                <w:sz w:val="24"/>
                <w:szCs w:val="24"/>
                <w:lang w:val="en-US"/>
              </w:rPr>
              <w:t>¥</w:t>
            </w:r>
            <w:r>
              <w:rPr>
                <w:b/>
                <w:color w:val="000000" w:themeColor="text1"/>
                <w:sz w:val="24"/>
                <w:szCs w:val="24"/>
                <w:u w:val="single"/>
                <w:lang w:val="en-US"/>
              </w:rPr>
              <w:t xml:space="preserve">         </w:t>
            </w:r>
            <w:r>
              <w:rPr>
                <w:rFonts w:hint="eastAsia"/>
                <w:b/>
                <w:color w:val="000000" w:themeColor="text1"/>
                <w:sz w:val="24"/>
                <w:szCs w:val="24"/>
                <w:lang w:val="en-US"/>
              </w:rPr>
              <w:t>元</w:t>
            </w:r>
            <w:r>
              <w:rPr>
                <w:rFonts w:hint="eastAsia"/>
                <w:color w:val="000000" w:themeColor="text1"/>
                <w:sz w:val="24"/>
                <w:szCs w:val="24"/>
                <w:lang w:val="en-US"/>
              </w:rPr>
              <w:t>）。</w:t>
            </w:r>
          </w:p>
          <w:p>
            <w:pPr>
              <w:adjustRightInd w:val="0"/>
              <w:snapToGrid w:val="0"/>
              <w:spacing w:line="360" w:lineRule="auto"/>
              <w:rPr>
                <w:b/>
                <w:color w:val="000000" w:themeColor="text1"/>
                <w:sz w:val="24"/>
                <w:szCs w:val="24"/>
                <w:lang w:val="en-US"/>
              </w:rPr>
            </w:pPr>
            <w:r>
              <w:rPr>
                <w:rFonts w:hint="eastAsia"/>
                <w:b/>
                <w:color w:val="000000" w:themeColor="text1"/>
                <w:sz w:val="24"/>
                <w:szCs w:val="24"/>
                <w:lang w:val="en-US"/>
              </w:rPr>
              <w:t>递交方式：</w:t>
            </w:r>
          </w:p>
          <w:p>
            <w:pPr>
              <w:numPr>
                <w:ilvl w:val="0"/>
                <w:numId w:val="3"/>
              </w:numPr>
              <w:adjustRightInd w:val="0"/>
              <w:snapToGrid w:val="0"/>
              <w:spacing w:line="360" w:lineRule="auto"/>
              <w:ind w:firstLine="480" w:firstLineChars="200"/>
              <w:rPr>
                <w:color w:val="000000" w:themeColor="text1"/>
                <w:sz w:val="24"/>
                <w:szCs w:val="24"/>
                <w:lang w:val="en-US"/>
              </w:rPr>
            </w:pPr>
            <w:r>
              <w:rPr>
                <w:rFonts w:hint="eastAsia"/>
                <w:color w:val="000000" w:themeColor="text1"/>
                <w:sz w:val="24"/>
                <w:szCs w:val="24"/>
                <w:lang w:val="en-US"/>
              </w:rPr>
              <w:t>投标人必须选择向金融机构申请保函或保单进行投标保证，并按照招标文件要求，将申请获得的保函或保单编入电子招标文件中；出具的投标保函格式严格按照住建部印发的投标保函示范文本执行。</w:t>
            </w:r>
          </w:p>
          <w:p>
            <w:pPr>
              <w:adjustRightInd w:val="0"/>
              <w:snapToGrid w:val="0"/>
              <w:spacing w:line="360" w:lineRule="auto"/>
              <w:rPr>
                <w:color w:val="000000" w:themeColor="text1"/>
                <w:sz w:val="24"/>
                <w:szCs w:val="24"/>
                <w:lang w:val="en-US"/>
              </w:rPr>
            </w:pPr>
            <w:r>
              <w:rPr>
                <w:rFonts w:hint="eastAsia"/>
                <w:color w:val="000000" w:themeColor="text1"/>
                <w:sz w:val="24"/>
                <w:szCs w:val="24"/>
                <w:lang w:val="en-US"/>
              </w:rPr>
              <w:t>二、线下采取账户转账提交投标保证金的方式在开标现场不予认可。</w:t>
            </w:r>
          </w:p>
          <w:p>
            <w:pPr>
              <w:adjustRightInd w:val="0"/>
              <w:snapToGrid w:val="0"/>
              <w:spacing w:line="360" w:lineRule="auto"/>
              <w:rPr>
                <w:color w:val="000000" w:themeColor="text1"/>
                <w:sz w:val="24"/>
                <w:szCs w:val="24"/>
                <w:lang w:val="en-US"/>
              </w:rPr>
            </w:pPr>
            <w:r>
              <w:rPr>
                <w:rFonts w:hint="eastAsia"/>
                <w:color w:val="000000" w:themeColor="text1"/>
                <w:sz w:val="24"/>
                <w:szCs w:val="24"/>
                <w:lang w:val="en-US"/>
              </w:rPr>
              <w:t>三、投标人应安排充裕的时间开具保函或保单。</w:t>
            </w:r>
          </w:p>
          <w:p>
            <w:pPr>
              <w:spacing w:line="360" w:lineRule="auto"/>
              <w:ind w:firstLine="480" w:firstLineChars="200"/>
              <w:rPr>
                <w:color w:val="000000" w:themeColor="text1"/>
                <w:sz w:val="24"/>
                <w:szCs w:val="24"/>
              </w:rPr>
            </w:pPr>
            <w:r>
              <w:rPr>
                <w:rFonts w:hint="eastAsia"/>
                <w:color w:val="000000" w:themeColor="text1"/>
                <w:sz w:val="24"/>
                <w:szCs w:val="24"/>
                <w:lang w:val="en-US"/>
              </w:rPr>
              <w:t>四、申请获得的保函或保单的生效时间最迟不晚于投标截止时间，在投标有效期内（包括时间长于投标有效期）保持有效。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3.4.</w:t>
            </w:r>
            <w:r>
              <w:rPr>
                <w:color w:val="000000" w:themeColor="text1"/>
                <w:sz w:val="24"/>
                <w:szCs w:val="24"/>
                <w:lang w:val="en-US"/>
              </w:rPr>
              <w:t>2</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投标保证金的</w:t>
            </w:r>
          </w:p>
          <w:p>
            <w:pPr>
              <w:spacing w:line="360" w:lineRule="auto"/>
              <w:jc w:val="center"/>
              <w:rPr>
                <w:color w:val="000000" w:themeColor="text1"/>
                <w:sz w:val="24"/>
                <w:szCs w:val="24"/>
              </w:rPr>
            </w:pPr>
            <w:r>
              <w:rPr>
                <w:rFonts w:hint="eastAsia"/>
                <w:color w:val="000000" w:themeColor="text1"/>
                <w:sz w:val="24"/>
                <w:szCs w:val="24"/>
              </w:rPr>
              <w:t>退还</w:t>
            </w:r>
          </w:p>
        </w:tc>
        <w:tc>
          <w:tcPr>
            <w:tcW w:w="6027" w:type="dxa"/>
            <w:vAlign w:val="center"/>
          </w:tcPr>
          <w:p>
            <w:pPr>
              <w:adjustRightInd w:val="0"/>
              <w:snapToGrid w:val="0"/>
              <w:spacing w:line="360" w:lineRule="auto"/>
              <w:rPr>
                <w:color w:val="000000" w:themeColor="text1"/>
                <w:sz w:val="24"/>
                <w:szCs w:val="24"/>
                <w:lang w:val="en-US"/>
              </w:rPr>
            </w:pPr>
            <w:r>
              <w:rPr>
                <w:rFonts w:hint="eastAsia"/>
                <w:color w:val="000000" w:themeColor="text1"/>
                <w:sz w:val="24"/>
                <w:szCs w:val="24"/>
              </w:rPr>
              <w:t>□不适用（不要求投标人提交投标保证金的）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3.4.</w:t>
            </w:r>
            <w:r>
              <w:rPr>
                <w:color w:val="000000" w:themeColor="text1"/>
                <w:sz w:val="24"/>
                <w:szCs w:val="24"/>
                <w:lang w:val="en-US"/>
              </w:rPr>
              <w:t>3</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投标保证金不予退还的情形</w:t>
            </w:r>
          </w:p>
        </w:tc>
        <w:tc>
          <w:tcPr>
            <w:tcW w:w="6027" w:type="dxa"/>
            <w:vAlign w:val="center"/>
          </w:tcPr>
          <w:p>
            <w:pPr>
              <w:adjustRightInd w:val="0"/>
              <w:snapToGrid w:val="0"/>
              <w:spacing w:line="360" w:lineRule="auto"/>
              <w:rPr>
                <w:color w:val="000000" w:themeColor="text1"/>
                <w:sz w:val="24"/>
                <w:szCs w:val="24"/>
              </w:rPr>
            </w:pPr>
            <w:r>
              <w:rPr>
                <w:rFonts w:hint="eastAsia"/>
                <w:color w:val="000000" w:themeColor="text1"/>
                <w:sz w:val="24"/>
                <w:szCs w:val="24"/>
              </w:rPr>
              <w:t>在投标活动中，投标人串通投标、弄虚作假的或中标人在收到中标通知书后，无正当理由拒签合同协议书的，投标保证金也不予退还。</w:t>
            </w:r>
          </w:p>
          <w:p>
            <w:pPr>
              <w:spacing w:line="360" w:lineRule="auto"/>
              <w:rPr>
                <w:color w:val="000000" w:themeColor="text1"/>
                <w:sz w:val="24"/>
                <w:szCs w:val="24"/>
              </w:rPr>
            </w:pPr>
            <w:r>
              <w:rPr>
                <w:rFonts w:hint="eastAsia"/>
                <w:color w:val="000000" w:themeColor="text1"/>
                <w:sz w:val="24"/>
                <w:szCs w:val="24"/>
              </w:rPr>
              <w:t>其他情形：</w:t>
            </w:r>
            <w:r>
              <w:rPr>
                <w:color w:val="000000" w:themeColor="text1"/>
                <w:sz w:val="24"/>
                <w:szCs w:val="24"/>
                <w:u w:val="single"/>
              </w:rPr>
              <w:t xml:space="preserve">                </w:t>
            </w:r>
            <w:r>
              <w:rPr>
                <w:rFonts w:hint="eastAsia"/>
                <w:color w:val="000000" w:themeColor="text1"/>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3.5.</w:t>
            </w:r>
            <w:r>
              <w:rPr>
                <w:color w:val="000000" w:themeColor="text1"/>
                <w:sz w:val="24"/>
                <w:szCs w:val="24"/>
                <w:lang w:val="en-US"/>
              </w:rPr>
              <w:t>1</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近年财务状况的年份要求</w:t>
            </w:r>
          </w:p>
        </w:tc>
        <w:tc>
          <w:tcPr>
            <w:tcW w:w="6027" w:type="dxa"/>
            <w:vAlign w:val="center"/>
          </w:tcPr>
          <w:p>
            <w:pPr>
              <w:adjustRightInd w:val="0"/>
              <w:snapToGrid w:val="0"/>
              <w:spacing w:line="360" w:lineRule="auto"/>
              <w:rPr>
                <w:color w:val="000000" w:themeColor="text1"/>
                <w:sz w:val="24"/>
                <w:szCs w:val="24"/>
              </w:rPr>
            </w:pPr>
            <w:r>
              <w:rPr>
                <w:rFonts w:hint="eastAsia"/>
                <w:color w:val="000000" w:themeColor="text1"/>
                <w:sz w:val="28"/>
                <w:szCs w:val="28"/>
              </w:rPr>
              <w:t>□</w:t>
            </w:r>
            <w:r>
              <w:rPr>
                <w:rFonts w:hint="eastAsia"/>
                <w:color w:val="000000" w:themeColor="text1"/>
                <w:sz w:val="24"/>
                <w:szCs w:val="24"/>
              </w:rPr>
              <w:t>无</w:t>
            </w:r>
          </w:p>
          <w:p>
            <w:pPr>
              <w:adjustRightInd w:val="0"/>
              <w:snapToGrid w:val="0"/>
              <w:spacing w:line="360" w:lineRule="auto"/>
              <w:rPr>
                <w:color w:val="000000" w:themeColor="text1"/>
                <w:sz w:val="24"/>
                <w:szCs w:val="24"/>
              </w:rPr>
            </w:pPr>
            <w:r>
              <w:rPr>
                <w:rFonts w:hint="eastAsia"/>
                <w:color w:val="000000" w:themeColor="text1"/>
                <w:sz w:val="28"/>
                <w:szCs w:val="28"/>
              </w:rPr>
              <w:t>□</w:t>
            </w:r>
            <w:r>
              <w:rPr>
                <w:rFonts w:hint="eastAsia"/>
                <w:color w:val="000000" w:themeColor="text1"/>
                <w:sz w:val="24"/>
                <w:szCs w:val="24"/>
              </w:rPr>
              <w:t>有，具体要求：近</w:t>
            </w:r>
            <w:r>
              <w:rPr>
                <w:color w:val="000000" w:themeColor="text1"/>
                <w:sz w:val="24"/>
                <w:szCs w:val="24"/>
                <w:u w:val="single"/>
              </w:rPr>
              <w:t xml:space="preserve">      </w:t>
            </w:r>
            <w:r>
              <w:rPr>
                <w:rFonts w:hint="eastAsia"/>
                <w:color w:val="000000" w:themeColor="text1"/>
                <w:sz w:val="24"/>
                <w:szCs w:val="24"/>
              </w:rPr>
              <w:t>年（指</w:t>
            </w:r>
            <w:r>
              <w:rPr>
                <w:color w:val="000000" w:themeColor="text1"/>
                <w:sz w:val="24"/>
                <w:szCs w:val="24"/>
              </w:rPr>
              <w:t xml:space="preserve">  </w:t>
            </w:r>
            <w:r>
              <w:rPr>
                <w:rFonts w:hint="eastAsia"/>
                <w:color w:val="000000" w:themeColor="text1"/>
                <w:sz w:val="24"/>
                <w:szCs w:val="24"/>
              </w:rPr>
              <w:t>年</w:t>
            </w:r>
            <w:r>
              <w:rPr>
                <w:color w:val="000000" w:themeColor="text1"/>
                <w:sz w:val="24"/>
                <w:szCs w:val="24"/>
                <w:lang w:val="en-US"/>
              </w:rPr>
              <w:t>--</w:t>
            </w:r>
            <w:r>
              <w:rPr>
                <w:color w:val="000000" w:themeColor="text1"/>
                <w:sz w:val="24"/>
                <w:szCs w:val="24"/>
              </w:rPr>
              <w:t xml:space="preserve">  </w:t>
            </w:r>
            <w:r>
              <w:rPr>
                <w:rFonts w:hint="eastAsia"/>
                <w:color w:val="000000" w:themeColor="text1"/>
                <w:sz w:val="24"/>
                <w:szCs w:val="24"/>
              </w:rPr>
              <w:t>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lang w:val="en-US"/>
              </w:rPr>
            </w:pPr>
            <w:r>
              <w:rPr>
                <w:color w:val="000000" w:themeColor="text1"/>
                <w:sz w:val="24"/>
                <w:szCs w:val="24"/>
              </w:rPr>
              <w:t>3.5.</w:t>
            </w:r>
            <w:r>
              <w:rPr>
                <w:color w:val="000000" w:themeColor="text1"/>
                <w:sz w:val="24"/>
                <w:szCs w:val="24"/>
                <w:lang w:val="en-US"/>
              </w:rPr>
              <w:t>2</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近年完成的类似项目的年份要求</w:t>
            </w:r>
          </w:p>
        </w:tc>
        <w:tc>
          <w:tcPr>
            <w:tcW w:w="6027" w:type="dxa"/>
            <w:vAlign w:val="center"/>
          </w:tcPr>
          <w:p>
            <w:pPr>
              <w:widowControl/>
              <w:adjustRightInd w:val="0"/>
              <w:snapToGrid w:val="0"/>
              <w:spacing w:line="360" w:lineRule="auto"/>
              <w:rPr>
                <w:color w:val="000000" w:themeColor="text1"/>
                <w:sz w:val="24"/>
                <w:szCs w:val="24"/>
              </w:rPr>
            </w:pPr>
            <w:r>
              <w:rPr>
                <w:rFonts w:hint="eastAsia"/>
                <w:color w:val="000000" w:themeColor="text1"/>
                <w:sz w:val="28"/>
                <w:szCs w:val="28"/>
              </w:rPr>
              <w:t>□</w:t>
            </w:r>
            <w:r>
              <w:rPr>
                <w:rFonts w:hint="eastAsia"/>
                <w:color w:val="000000" w:themeColor="text1"/>
                <w:sz w:val="24"/>
                <w:szCs w:val="24"/>
              </w:rPr>
              <w:t>无</w:t>
            </w:r>
          </w:p>
          <w:p>
            <w:pPr>
              <w:spacing w:line="360" w:lineRule="auto"/>
              <w:rPr>
                <w:color w:val="000000" w:themeColor="text1"/>
                <w:sz w:val="24"/>
                <w:szCs w:val="24"/>
              </w:rPr>
            </w:pPr>
            <w:r>
              <w:rPr>
                <w:rFonts w:hint="eastAsia"/>
                <w:color w:val="000000" w:themeColor="text1"/>
                <w:sz w:val="28"/>
                <w:szCs w:val="28"/>
              </w:rPr>
              <w:t>□</w:t>
            </w:r>
            <w:r>
              <w:rPr>
                <w:rFonts w:hint="eastAsia"/>
                <w:color w:val="000000" w:themeColor="text1"/>
                <w:sz w:val="24"/>
                <w:szCs w:val="24"/>
              </w:rPr>
              <w:t>有，具体要求：</w:t>
            </w:r>
            <w:r>
              <w:rPr>
                <w:color w:val="000000" w:themeColor="text1"/>
                <w:sz w:val="24"/>
                <w:szCs w:val="24"/>
                <w:u w:val="single"/>
              </w:rPr>
              <w:t xml:space="preserve">   </w:t>
            </w:r>
            <w:r>
              <w:rPr>
                <w:rFonts w:hint="eastAsia"/>
                <w:color w:val="000000" w:themeColor="text1"/>
                <w:sz w:val="24"/>
                <w:szCs w:val="24"/>
              </w:rPr>
              <w:t>年</w:t>
            </w:r>
            <w:r>
              <w:rPr>
                <w:color w:val="000000" w:themeColor="text1"/>
                <w:sz w:val="24"/>
                <w:szCs w:val="24"/>
                <w:u w:val="single"/>
              </w:rPr>
              <w:t xml:space="preserve">  </w:t>
            </w:r>
            <w:r>
              <w:rPr>
                <w:rFonts w:hint="eastAsia"/>
                <w:color w:val="000000" w:themeColor="text1"/>
                <w:sz w:val="24"/>
                <w:szCs w:val="24"/>
              </w:rPr>
              <w:t>月</w:t>
            </w:r>
            <w:r>
              <w:rPr>
                <w:color w:val="000000" w:themeColor="text1"/>
                <w:sz w:val="24"/>
                <w:szCs w:val="24"/>
                <w:u w:val="single"/>
              </w:rPr>
              <w:t xml:space="preserve">  </w:t>
            </w:r>
            <w:r>
              <w:rPr>
                <w:rFonts w:hint="eastAsia"/>
                <w:color w:val="000000" w:themeColor="text1"/>
                <w:sz w:val="24"/>
                <w:szCs w:val="24"/>
              </w:rPr>
              <w:t>日至投标截止时间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3.5.</w:t>
            </w:r>
            <w:r>
              <w:rPr>
                <w:color w:val="000000" w:themeColor="text1"/>
                <w:sz w:val="24"/>
                <w:szCs w:val="24"/>
                <w:lang w:val="en-US"/>
              </w:rPr>
              <w:t>3</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近年发生的诉讼及仲裁情况的年份要求</w:t>
            </w:r>
          </w:p>
        </w:tc>
        <w:tc>
          <w:tcPr>
            <w:tcW w:w="6027" w:type="dxa"/>
            <w:vAlign w:val="center"/>
          </w:tcPr>
          <w:p>
            <w:pPr>
              <w:spacing w:line="360" w:lineRule="auto"/>
              <w:rPr>
                <w:color w:val="000000" w:themeColor="text1"/>
                <w:sz w:val="28"/>
                <w:szCs w:val="28"/>
              </w:rPr>
            </w:pPr>
            <w:r>
              <w:rPr>
                <w:rFonts w:hint="eastAsia"/>
                <w:color w:val="000000" w:themeColor="text1"/>
                <w:sz w:val="28"/>
                <w:szCs w:val="28"/>
              </w:rPr>
              <w:t>□</w:t>
            </w:r>
            <w:r>
              <w:rPr>
                <w:rFonts w:hint="eastAsia"/>
                <w:color w:val="000000" w:themeColor="text1"/>
                <w:sz w:val="24"/>
                <w:szCs w:val="24"/>
              </w:rPr>
              <w:t>本次投标不提供</w:t>
            </w:r>
          </w:p>
          <w:p>
            <w:pPr>
              <w:spacing w:line="360" w:lineRule="auto"/>
              <w:rPr>
                <w:color w:val="000000" w:themeColor="text1"/>
                <w:sz w:val="24"/>
                <w:szCs w:val="24"/>
              </w:rPr>
            </w:pPr>
            <w:r>
              <w:rPr>
                <w:rFonts w:hint="eastAsia"/>
                <w:color w:val="000000" w:themeColor="text1"/>
                <w:sz w:val="28"/>
                <w:szCs w:val="28"/>
              </w:rPr>
              <w:t>□</w:t>
            </w:r>
            <w:r>
              <w:rPr>
                <w:rFonts w:hint="eastAsia"/>
                <w:color w:val="000000" w:themeColor="text1"/>
                <w:sz w:val="24"/>
                <w:szCs w:val="24"/>
              </w:rPr>
              <w:t>具体要求：</w:t>
            </w:r>
            <w:r>
              <w:rPr>
                <w:color w:val="000000" w:themeColor="text1"/>
                <w:sz w:val="24"/>
                <w:szCs w:val="24"/>
                <w:u w:val="single"/>
              </w:rPr>
              <w:t xml:space="preserve">   </w:t>
            </w:r>
            <w:r>
              <w:rPr>
                <w:rFonts w:hint="eastAsia"/>
                <w:color w:val="000000" w:themeColor="text1"/>
                <w:sz w:val="24"/>
                <w:szCs w:val="24"/>
              </w:rPr>
              <w:t>年</w:t>
            </w:r>
            <w:r>
              <w:rPr>
                <w:color w:val="000000" w:themeColor="text1"/>
                <w:sz w:val="24"/>
                <w:szCs w:val="24"/>
                <w:u w:val="single"/>
              </w:rPr>
              <w:t xml:space="preserve">  </w:t>
            </w:r>
            <w:r>
              <w:rPr>
                <w:rFonts w:hint="eastAsia"/>
                <w:color w:val="000000" w:themeColor="text1"/>
                <w:sz w:val="24"/>
                <w:szCs w:val="24"/>
              </w:rPr>
              <w:t>月</w:t>
            </w:r>
            <w:r>
              <w:rPr>
                <w:color w:val="000000" w:themeColor="text1"/>
                <w:sz w:val="24"/>
                <w:szCs w:val="24"/>
                <w:u w:val="single"/>
              </w:rPr>
              <w:t xml:space="preserve">  </w:t>
            </w:r>
            <w:r>
              <w:rPr>
                <w:rFonts w:hint="eastAsia"/>
                <w:color w:val="000000" w:themeColor="text1"/>
                <w:sz w:val="24"/>
                <w:szCs w:val="24"/>
              </w:rPr>
              <w:t>日至投标截止时间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Height w:val="914" w:hRule="atLeast"/>
        </w:trPr>
        <w:tc>
          <w:tcPr>
            <w:tcW w:w="1050" w:type="dxa"/>
            <w:vAlign w:val="center"/>
          </w:tcPr>
          <w:p>
            <w:pPr>
              <w:spacing w:line="360" w:lineRule="auto"/>
              <w:jc w:val="center"/>
              <w:rPr>
                <w:color w:val="000000" w:themeColor="text1"/>
                <w:sz w:val="24"/>
                <w:szCs w:val="24"/>
              </w:rPr>
            </w:pPr>
            <w:r>
              <w:rPr>
                <w:color w:val="000000" w:themeColor="text1"/>
                <w:sz w:val="24"/>
                <w:szCs w:val="24"/>
              </w:rPr>
              <w:t>3.6</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是否允许递交备选投标方案</w:t>
            </w:r>
          </w:p>
        </w:tc>
        <w:tc>
          <w:tcPr>
            <w:tcW w:w="6027" w:type="dxa"/>
            <w:vAlign w:val="center"/>
          </w:tcPr>
          <w:p>
            <w:pPr>
              <w:spacing w:line="360" w:lineRule="auto"/>
              <w:rPr>
                <w:color w:val="000000" w:themeColor="text1"/>
                <w:sz w:val="24"/>
                <w:szCs w:val="24"/>
              </w:rPr>
            </w:pPr>
            <w:r>
              <w:rPr>
                <w:rFonts w:hint="eastAsia"/>
                <w:color w:val="000000" w:themeColor="text1"/>
                <w:sz w:val="24"/>
                <w:szCs w:val="24"/>
              </w:rPr>
              <w:t>□不允许</w:t>
            </w:r>
          </w:p>
          <w:p>
            <w:pPr>
              <w:spacing w:line="360" w:lineRule="auto"/>
              <w:rPr>
                <w:color w:val="000000" w:themeColor="text1"/>
                <w:sz w:val="24"/>
                <w:szCs w:val="24"/>
              </w:rPr>
            </w:pPr>
            <w:r>
              <w:rPr>
                <w:rFonts w:hint="eastAsia"/>
                <w:color w:val="000000" w:themeColor="text1"/>
                <w:sz w:val="28"/>
                <w:szCs w:val="28"/>
              </w:rPr>
              <w:t>□</w:t>
            </w:r>
            <w:r>
              <w:rPr>
                <w:rFonts w:hint="eastAsia"/>
                <w:color w:val="000000" w:themeColor="text1"/>
                <w:sz w:val="24"/>
                <w:szCs w:val="24"/>
              </w:rPr>
              <w:t>允许</w:t>
            </w:r>
          </w:p>
          <w:p>
            <w:pPr>
              <w:spacing w:line="360" w:lineRule="auto"/>
              <w:rPr>
                <w:color w:val="000000" w:themeColor="text1"/>
                <w:sz w:val="24"/>
                <w:szCs w:val="24"/>
              </w:rPr>
            </w:pPr>
            <w:r>
              <w:rPr>
                <w:rFonts w:hint="eastAsia"/>
                <w:color w:val="000000" w:themeColor="text1"/>
                <w:sz w:val="24"/>
                <w:szCs w:val="24"/>
              </w:rPr>
              <w:t>备选投标方案的编制要求见附表七“备选投标方案编制要求”，评审和比较办法见第三章“评标办法”。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3.7.1</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投标文件格式</w:t>
            </w:r>
          </w:p>
        </w:tc>
        <w:tc>
          <w:tcPr>
            <w:tcW w:w="6027" w:type="dxa"/>
            <w:vAlign w:val="center"/>
          </w:tcPr>
          <w:p>
            <w:pPr>
              <w:adjustRightInd w:val="0"/>
              <w:snapToGrid w:val="0"/>
              <w:spacing w:line="360" w:lineRule="auto"/>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）不得对招标文件规定的投标文件格式的内容进行改变原意或影响投标实质性的删减或修改。</w:t>
            </w:r>
          </w:p>
          <w:p>
            <w:pPr>
              <w:adjustRightInd w:val="0"/>
              <w:snapToGrid w:val="0"/>
              <w:spacing w:line="360" w:lineRule="auto"/>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投标人可以在投标文件格式内容之外另行说明和增加相关内容，作为投标文件的组成部分。另行说明或自行增加的内容、以及按投标文件格式在空格（下划线）由投标人填写的内容，不得与招标文件的强制性审查标准和禁止性规定相抵触。</w:t>
            </w:r>
          </w:p>
          <w:p>
            <w:pPr>
              <w:adjustRightInd w:val="0"/>
              <w:snapToGrid w:val="0"/>
              <w:spacing w:line="360" w:lineRule="auto"/>
              <w:rPr>
                <w:color w:val="000000" w:themeColor="text1"/>
                <w:sz w:val="24"/>
                <w:szCs w:val="24"/>
              </w:rPr>
            </w:pP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）按投标文件格式在空格（下划线）由投标人填写的内容，不需要填写的，可以在空格中用“</w:t>
            </w:r>
            <w:r>
              <w:rPr>
                <w:color w:val="000000" w:themeColor="text1"/>
                <w:sz w:val="24"/>
                <w:szCs w:val="24"/>
              </w:rPr>
              <w:t>/</w:t>
            </w:r>
            <w:r>
              <w:rPr>
                <w:rFonts w:hint="eastAsia"/>
                <w:color w:val="000000" w:themeColor="text1"/>
                <w:sz w:val="24"/>
                <w:szCs w:val="24"/>
              </w:rPr>
              <w:t>”标示，也可以不填（空白）。</w:t>
            </w:r>
          </w:p>
          <w:p>
            <w:pPr>
              <w:adjustRightInd w:val="0"/>
              <w:snapToGrid w:val="0"/>
              <w:spacing w:line="360" w:lineRule="auto"/>
              <w:rPr>
                <w:color w:val="000000" w:themeColor="text1"/>
                <w:sz w:val="24"/>
                <w:szCs w:val="24"/>
              </w:rPr>
            </w:pPr>
            <w:r>
              <w:rPr>
                <w:rFonts w:hint="eastAsia"/>
                <w:color w:val="000000" w:themeColor="text1"/>
                <w:sz w:val="24"/>
                <w:szCs w:val="24"/>
              </w:rPr>
              <w:t>（</w:t>
            </w:r>
            <w:r>
              <w:rPr>
                <w:color w:val="000000" w:themeColor="text1"/>
                <w:sz w:val="24"/>
                <w:szCs w:val="24"/>
              </w:rPr>
              <w:t>4</w:t>
            </w:r>
            <w:r>
              <w:rPr>
                <w:rFonts w:hint="eastAsia"/>
                <w:color w:val="000000" w:themeColor="text1"/>
                <w:sz w:val="24"/>
                <w:szCs w:val="24"/>
              </w:rPr>
              <w:t>）投标文件应对招标文件提出的所有实质性要求和条件作出实质性响应，并且实质性响应的内容不得互相矛盾。</w:t>
            </w:r>
          </w:p>
          <w:p>
            <w:pPr>
              <w:adjustRightInd w:val="0"/>
              <w:snapToGrid w:val="0"/>
              <w:spacing w:line="360" w:lineRule="auto"/>
              <w:rPr>
                <w:color w:val="000000" w:themeColor="text1"/>
                <w:sz w:val="24"/>
                <w:szCs w:val="24"/>
              </w:rPr>
            </w:pPr>
            <w:r>
              <w:rPr>
                <w:rFonts w:hint="eastAsia"/>
                <w:color w:val="000000" w:themeColor="text1"/>
                <w:sz w:val="24"/>
                <w:szCs w:val="24"/>
              </w:rPr>
              <w:t>（</w:t>
            </w:r>
            <w:r>
              <w:rPr>
                <w:color w:val="000000" w:themeColor="text1"/>
                <w:sz w:val="24"/>
                <w:szCs w:val="24"/>
              </w:rPr>
              <w:t>5</w:t>
            </w:r>
            <w:r>
              <w:rPr>
                <w:rFonts w:hint="eastAsia"/>
                <w:color w:val="000000" w:themeColor="text1"/>
                <w:sz w:val="24"/>
                <w:szCs w:val="24"/>
              </w:rPr>
              <w:t>）投标文件所附证明材料应清晰可辨。</w:t>
            </w:r>
          </w:p>
          <w:p>
            <w:pPr>
              <w:adjustRightInd w:val="0"/>
              <w:snapToGrid w:val="0"/>
              <w:spacing w:line="360" w:lineRule="auto"/>
              <w:rPr>
                <w:color w:val="000000" w:themeColor="text1"/>
                <w:sz w:val="24"/>
                <w:szCs w:val="24"/>
              </w:rPr>
            </w:pPr>
            <w:r>
              <w:rPr>
                <w:rFonts w:hint="eastAsia"/>
                <w:color w:val="000000" w:themeColor="text1"/>
                <w:sz w:val="24"/>
                <w:szCs w:val="24"/>
              </w:rPr>
              <w:t>（</w:t>
            </w:r>
            <w:r>
              <w:rPr>
                <w:color w:val="000000" w:themeColor="text1"/>
                <w:sz w:val="24"/>
                <w:szCs w:val="24"/>
              </w:rPr>
              <w:t>6</w:t>
            </w:r>
            <w:r>
              <w:rPr>
                <w:rFonts w:hint="eastAsia"/>
                <w:color w:val="000000" w:themeColor="text1"/>
                <w:sz w:val="24"/>
                <w:szCs w:val="24"/>
              </w:rPr>
              <w:t>）投标文件应为使用符合系统要求的投标文件制作工具制作生成的</w:t>
            </w:r>
            <w:r>
              <w:rPr>
                <w:color w:val="000000" w:themeColor="text1"/>
                <w:sz w:val="24"/>
                <w:szCs w:val="24"/>
                <w:u w:val="single"/>
              </w:rPr>
              <w:t xml:space="preserve">      </w:t>
            </w:r>
            <w:r>
              <w:rPr>
                <w:rFonts w:hint="eastAsia"/>
                <w:color w:val="000000" w:themeColor="text1"/>
                <w:sz w:val="24"/>
                <w:szCs w:val="24"/>
              </w:rPr>
              <w:t>格式文件。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Height w:val="733" w:hRule="atLeast"/>
        </w:trPr>
        <w:tc>
          <w:tcPr>
            <w:tcW w:w="1050" w:type="dxa"/>
            <w:vAlign w:val="center"/>
          </w:tcPr>
          <w:p>
            <w:pPr>
              <w:spacing w:line="360" w:lineRule="auto"/>
              <w:jc w:val="center"/>
              <w:rPr>
                <w:color w:val="000000" w:themeColor="text1"/>
                <w:sz w:val="24"/>
                <w:szCs w:val="24"/>
              </w:rPr>
            </w:pPr>
            <w:r>
              <w:rPr>
                <w:color w:val="000000" w:themeColor="text1"/>
                <w:sz w:val="24"/>
                <w:szCs w:val="24"/>
              </w:rPr>
              <w:t>3.7.</w:t>
            </w:r>
            <w:r>
              <w:rPr>
                <w:color w:val="000000" w:themeColor="text1"/>
                <w:sz w:val="24"/>
                <w:szCs w:val="24"/>
                <w:lang w:val="en-US"/>
              </w:rPr>
              <w:t>2</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投标文件签字或盖章要求</w:t>
            </w:r>
          </w:p>
        </w:tc>
        <w:tc>
          <w:tcPr>
            <w:tcW w:w="6027" w:type="dxa"/>
            <w:vAlign w:val="center"/>
          </w:tcPr>
          <w:p>
            <w:pPr>
              <w:adjustRightInd w:val="0"/>
              <w:snapToGrid w:val="0"/>
              <w:spacing w:line="360" w:lineRule="auto"/>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投标文件中格式要求处由法定代表人参加投标的，法定代表人须亲笔签字；由委托代理人参加投标的，委托代理人须亲笔签字。均须加盖投标企业公章。投标文件应尽量避免涂改、行间插字或删除。如果出现上述情况，改动之处应由法定代表人或其委托代理人亲笔签字确认。</w:t>
            </w:r>
          </w:p>
          <w:p>
            <w:pPr>
              <w:adjustRightInd w:val="0"/>
              <w:snapToGrid w:val="0"/>
              <w:spacing w:line="360" w:lineRule="auto"/>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）投标文件所有要求盖章的地方均应使用投标人电子签章</w:t>
            </w:r>
            <w:r>
              <w:rPr>
                <w:color w:val="000000" w:themeColor="text1"/>
                <w:sz w:val="24"/>
                <w:szCs w:val="24"/>
              </w:rPr>
              <w:t>,</w:t>
            </w:r>
            <w:r>
              <w:rPr>
                <w:rFonts w:hint="eastAsia"/>
                <w:color w:val="000000" w:themeColor="text1"/>
                <w:sz w:val="24"/>
                <w:szCs w:val="24"/>
              </w:rPr>
              <w:t>不得使用专用印章（如经济合同章、投标专用章等）或直属（下属）单位印章代替。</w:t>
            </w:r>
            <w:r>
              <w:rPr>
                <w:color w:val="000000" w:themeColor="text1"/>
                <w:sz w:val="24"/>
                <w:szCs w:val="24"/>
              </w:rPr>
              <w:t xml:space="preserve"> </w:t>
            </w:r>
          </w:p>
          <w:p>
            <w:pPr>
              <w:spacing w:line="360" w:lineRule="auto"/>
              <w:rPr>
                <w:color w:val="000000" w:themeColor="text1"/>
                <w:sz w:val="24"/>
                <w:szCs w:val="24"/>
              </w:rPr>
            </w:pPr>
            <w:r>
              <w:rPr>
                <w:rFonts w:hint="eastAsia"/>
                <w:color w:val="000000" w:themeColor="text1"/>
                <w:sz w:val="24"/>
                <w:szCs w:val="24"/>
              </w:rPr>
              <w:t>（</w:t>
            </w:r>
            <w:r>
              <w:rPr>
                <w:color w:val="000000" w:themeColor="text1"/>
                <w:sz w:val="24"/>
                <w:szCs w:val="24"/>
              </w:rPr>
              <w:t>3</w:t>
            </w:r>
            <w:r>
              <w:rPr>
                <w:rFonts w:hint="eastAsia"/>
                <w:color w:val="000000" w:themeColor="text1"/>
                <w:sz w:val="24"/>
                <w:szCs w:val="24"/>
              </w:rPr>
              <w:t>）投标文件封面、投标函应使用投标人电子签章。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Height w:val="947" w:hRule="atLeast"/>
        </w:trPr>
        <w:tc>
          <w:tcPr>
            <w:tcW w:w="1050" w:type="dxa"/>
            <w:vAlign w:val="center"/>
          </w:tcPr>
          <w:p>
            <w:pPr>
              <w:spacing w:line="360" w:lineRule="auto"/>
              <w:jc w:val="center"/>
              <w:rPr>
                <w:color w:val="000000" w:themeColor="text1"/>
                <w:sz w:val="24"/>
                <w:szCs w:val="24"/>
                <w:lang w:val="en-US"/>
              </w:rPr>
            </w:pPr>
            <w:r>
              <w:rPr>
                <w:color w:val="000000" w:themeColor="text1"/>
                <w:sz w:val="24"/>
                <w:szCs w:val="24"/>
                <w:lang w:val="en-US"/>
              </w:rPr>
              <w:t>3.7.3</w:t>
            </w:r>
          </w:p>
        </w:tc>
        <w:tc>
          <w:tcPr>
            <w:tcW w:w="2069" w:type="dxa"/>
            <w:vAlign w:val="center"/>
          </w:tcPr>
          <w:p>
            <w:pPr>
              <w:spacing w:line="360" w:lineRule="auto"/>
              <w:jc w:val="center"/>
              <w:rPr>
                <w:color w:val="000000" w:themeColor="text1"/>
                <w:sz w:val="24"/>
                <w:szCs w:val="24"/>
                <w:lang w:val="en-US"/>
              </w:rPr>
            </w:pPr>
            <w:r>
              <w:rPr>
                <w:rFonts w:hint="eastAsia"/>
                <w:color w:val="000000" w:themeColor="text1"/>
                <w:sz w:val="24"/>
                <w:szCs w:val="24"/>
                <w:lang w:val="en-US"/>
              </w:rPr>
              <w:t>施工组织设计（技术暗标部分）的编制及装订要</w:t>
            </w:r>
          </w:p>
        </w:tc>
        <w:tc>
          <w:tcPr>
            <w:tcW w:w="6027" w:type="dxa"/>
            <w:vAlign w:val="center"/>
          </w:tcPr>
          <w:p>
            <w:pPr>
              <w:spacing w:line="360" w:lineRule="auto"/>
              <w:ind w:firstLine="480" w:firstLineChars="200"/>
              <w:rPr>
                <w:color w:val="000000" w:themeColor="text1"/>
                <w:sz w:val="24"/>
                <w:szCs w:val="24"/>
                <w:lang w:val="en-US"/>
              </w:rPr>
            </w:pPr>
            <w:r>
              <w:rPr>
                <w:rFonts w:hint="eastAsia"/>
                <w:color w:val="000000" w:themeColor="text1"/>
                <w:sz w:val="24"/>
                <w:szCs w:val="24"/>
                <w:lang w:val="en-US"/>
              </w:rPr>
              <w:t>本附表的内容是针对施工组织设计采用暗标评审的特点和要求，对投标人须知正文和前附表中的相关规定进行的补充和细化，投标人须知正文部分、前附表部分中的相关规定应当按照本附表中的规定执行。</w:t>
            </w:r>
          </w:p>
          <w:p>
            <w:pPr>
              <w:spacing w:line="360" w:lineRule="auto"/>
              <w:rPr>
                <w:color w:val="000000" w:themeColor="text1"/>
                <w:sz w:val="24"/>
                <w:szCs w:val="24"/>
                <w:lang w:val="en-US"/>
              </w:rPr>
            </w:pPr>
            <w:r>
              <w:rPr>
                <w:rFonts w:hint="eastAsia"/>
                <w:color w:val="000000" w:themeColor="text1"/>
                <w:sz w:val="24"/>
                <w:szCs w:val="24"/>
                <w:lang w:val="en-US"/>
              </w:rPr>
              <w:t>施工组织设计中纳入“暗标”部分的内容：除封面及封底外所有施工组织设计的目录及正文。</w:t>
            </w:r>
          </w:p>
          <w:p>
            <w:pPr>
              <w:spacing w:line="360" w:lineRule="auto"/>
              <w:rPr>
                <w:color w:val="000000" w:themeColor="text1"/>
                <w:sz w:val="24"/>
                <w:szCs w:val="24"/>
                <w:lang w:val="en-US"/>
              </w:rPr>
            </w:pPr>
            <w:r>
              <w:rPr>
                <w:rFonts w:hint="eastAsia"/>
                <w:color w:val="000000" w:themeColor="text1"/>
                <w:sz w:val="24"/>
                <w:szCs w:val="24"/>
                <w:lang w:val="en-US"/>
              </w:rPr>
              <w:t>暗标的编制要求：施工组织设计（暗标）均采用</w:t>
            </w:r>
            <w:r>
              <w:rPr>
                <w:color w:val="000000" w:themeColor="text1"/>
                <w:sz w:val="24"/>
                <w:szCs w:val="24"/>
                <w:lang w:val="en-US"/>
              </w:rPr>
              <w:t>Microsoft Word2003</w:t>
            </w:r>
            <w:r>
              <w:rPr>
                <w:rFonts w:hint="eastAsia"/>
                <w:color w:val="000000" w:themeColor="text1"/>
                <w:sz w:val="24"/>
                <w:szCs w:val="24"/>
                <w:lang w:val="en-US"/>
              </w:rPr>
              <w:t>版本编辑、平面布置图、进度图横向编辑，页边距上下采用</w:t>
            </w:r>
            <w:r>
              <w:rPr>
                <w:color w:val="000000" w:themeColor="text1"/>
                <w:sz w:val="24"/>
                <w:szCs w:val="24"/>
                <w:lang w:val="en-US"/>
              </w:rPr>
              <w:t>2.54</w:t>
            </w:r>
            <w:r>
              <w:rPr>
                <w:rFonts w:hint="eastAsia"/>
                <w:color w:val="000000" w:themeColor="text1"/>
                <w:sz w:val="24"/>
                <w:szCs w:val="24"/>
                <w:lang w:val="en-US"/>
              </w:rPr>
              <w:t>厘米，左右采用</w:t>
            </w:r>
            <w:r>
              <w:rPr>
                <w:color w:val="000000" w:themeColor="text1"/>
                <w:sz w:val="24"/>
                <w:szCs w:val="24"/>
                <w:lang w:val="en-US"/>
              </w:rPr>
              <w:t>2.54</w:t>
            </w:r>
            <w:r>
              <w:rPr>
                <w:rFonts w:hint="eastAsia"/>
                <w:color w:val="000000" w:themeColor="text1"/>
                <w:sz w:val="24"/>
                <w:szCs w:val="24"/>
                <w:lang w:val="en-US"/>
              </w:rPr>
              <w:t>厘米，正文字体采用宋体黑色四号字，图表内字体采用宋体黑色五号字，线条采用黑色</w:t>
            </w:r>
            <w:r>
              <w:rPr>
                <w:color w:val="000000" w:themeColor="text1"/>
                <w:sz w:val="24"/>
                <w:szCs w:val="24"/>
                <w:lang w:val="en-US"/>
              </w:rPr>
              <w:t>0.75</w:t>
            </w:r>
            <w:r>
              <w:rPr>
                <w:rFonts w:hint="eastAsia"/>
                <w:color w:val="000000" w:themeColor="text1"/>
                <w:sz w:val="24"/>
                <w:szCs w:val="24"/>
                <w:lang w:val="en-US"/>
              </w:rPr>
              <w:t>磅，整体文件不得出现彩色内容，段落采用首行缩进，度量采用</w:t>
            </w:r>
            <w:r>
              <w:rPr>
                <w:color w:val="000000" w:themeColor="text1"/>
                <w:sz w:val="24"/>
                <w:szCs w:val="24"/>
                <w:lang w:val="en-US"/>
              </w:rPr>
              <w:t>2</w:t>
            </w:r>
            <w:r>
              <w:rPr>
                <w:rFonts w:hint="eastAsia"/>
                <w:color w:val="000000" w:themeColor="text1"/>
                <w:sz w:val="24"/>
                <w:szCs w:val="24"/>
                <w:lang w:val="en-US"/>
              </w:rPr>
              <w:t>字符，</w:t>
            </w:r>
            <w:r>
              <w:rPr>
                <w:color w:val="000000" w:themeColor="text1"/>
                <w:sz w:val="24"/>
                <w:szCs w:val="24"/>
                <w:lang w:val="en-US"/>
              </w:rPr>
              <w:t>1.5</w:t>
            </w:r>
            <w:r>
              <w:rPr>
                <w:rFonts w:hint="eastAsia"/>
                <w:color w:val="000000" w:themeColor="text1"/>
                <w:sz w:val="24"/>
                <w:szCs w:val="24"/>
                <w:lang w:val="en-US"/>
              </w:rPr>
              <w:t>倍行距，文档网络采用无网络。暗标技术部分文件不得有任何有关于投标单位的标示和标记，不得有字体线条的加粗、加斜、阴影、水印、底纹、页眉及页脚、页码等。总页数不超出</w:t>
            </w:r>
            <w:r>
              <w:rPr>
                <w:color w:val="000000" w:themeColor="text1"/>
                <w:sz w:val="24"/>
                <w:szCs w:val="24"/>
                <w:lang w:val="en-US"/>
              </w:rPr>
              <w:t>600</w:t>
            </w:r>
            <w:r>
              <w:rPr>
                <w:rFonts w:hint="eastAsia"/>
                <w:color w:val="000000" w:themeColor="text1"/>
                <w:sz w:val="24"/>
                <w:szCs w:val="24"/>
                <w:lang w:val="en-US"/>
              </w:rPr>
              <w:t>页。未按以上要求编制的技术部分按零分处理。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4.1</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投标截止时间</w:t>
            </w:r>
          </w:p>
        </w:tc>
        <w:tc>
          <w:tcPr>
            <w:tcW w:w="6027" w:type="dxa"/>
            <w:vAlign w:val="center"/>
          </w:tcPr>
          <w:p>
            <w:pPr>
              <w:adjustRightInd w:val="0"/>
              <w:snapToGrid w:val="0"/>
              <w:spacing w:line="360" w:lineRule="auto"/>
              <w:rPr>
                <w:color w:val="000000" w:themeColor="text1"/>
                <w:sz w:val="24"/>
                <w:szCs w:val="24"/>
              </w:rPr>
            </w:pPr>
            <w:r>
              <w:rPr>
                <w:color w:val="000000" w:themeColor="text1"/>
                <w:sz w:val="24"/>
                <w:szCs w:val="24"/>
                <w:u w:val="single"/>
              </w:rPr>
              <w:t xml:space="preserve">   </w:t>
            </w:r>
            <w:r>
              <w:rPr>
                <w:rFonts w:hint="eastAsia"/>
                <w:color w:val="000000" w:themeColor="text1"/>
                <w:sz w:val="24"/>
                <w:szCs w:val="24"/>
              </w:rPr>
              <w:t>年</w:t>
            </w:r>
            <w:r>
              <w:rPr>
                <w:color w:val="000000" w:themeColor="text1"/>
                <w:sz w:val="24"/>
                <w:szCs w:val="24"/>
                <w:u w:val="single"/>
              </w:rPr>
              <w:t xml:space="preserve">   </w:t>
            </w:r>
            <w:r>
              <w:rPr>
                <w:rFonts w:hint="eastAsia"/>
                <w:color w:val="000000" w:themeColor="text1"/>
                <w:sz w:val="24"/>
                <w:szCs w:val="24"/>
              </w:rPr>
              <w:t>月</w:t>
            </w:r>
            <w:r>
              <w:rPr>
                <w:color w:val="000000" w:themeColor="text1"/>
                <w:sz w:val="24"/>
                <w:szCs w:val="24"/>
              </w:rPr>
              <w:t xml:space="preserve"> </w:t>
            </w:r>
            <w:r>
              <w:rPr>
                <w:color w:val="000000" w:themeColor="text1"/>
                <w:sz w:val="24"/>
                <w:szCs w:val="24"/>
                <w:u w:val="single"/>
              </w:rPr>
              <w:t xml:space="preserve">   </w:t>
            </w:r>
            <w:r>
              <w:rPr>
                <w:rFonts w:hint="eastAsia"/>
                <w:color w:val="000000" w:themeColor="text1"/>
                <w:sz w:val="24"/>
                <w:szCs w:val="24"/>
              </w:rPr>
              <w:t>日</w:t>
            </w:r>
            <w:r>
              <w:rPr>
                <w:color w:val="000000" w:themeColor="text1"/>
                <w:sz w:val="24"/>
                <w:szCs w:val="24"/>
                <w:u w:val="single"/>
              </w:rPr>
              <w:t xml:space="preserve">   </w:t>
            </w:r>
            <w:r>
              <w:rPr>
                <w:rFonts w:hint="eastAsia"/>
                <w:color w:val="000000" w:themeColor="text1"/>
                <w:sz w:val="24"/>
                <w:szCs w:val="24"/>
              </w:rPr>
              <w:t>时</w:t>
            </w:r>
            <w:r>
              <w:rPr>
                <w:color w:val="000000" w:themeColor="text1"/>
                <w:sz w:val="24"/>
                <w:szCs w:val="24"/>
                <w:u w:val="single"/>
              </w:rPr>
              <w:t xml:space="preserve">   </w:t>
            </w:r>
            <w:r>
              <w:rPr>
                <w:rFonts w:hint="eastAsia"/>
                <w:color w:val="000000" w:themeColor="text1"/>
                <w:sz w:val="24"/>
                <w:szCs w:val="24"/>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4.2</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投标文件递交</w:t>
            </w:r>
          </w:p>
          <w:p>
            <w:pPr>
              <w:spacing w:line="360" w:lineRule="auto"/>
              <w:jc w:val="center"/>
              <w:rPr>
                <w:color w:val="000000" w:themeColor="text1"/>
                <w:sz w:val="24"/>
                <w:szCs w:val="24"/>
              </w:rPr>
            </w:pPr>
            <w:r>
              <w:rPr>
                <w:rFonts w:hint="eastAsia"/>
                <w:color w:val="000000" w:themeColor="text1"/>
                <w:sz w:val="24"/>
                <w:szCs w:val="24"/>
              </w:rPr>
              <w:t>地点</w:t>
            </w:r>
          </w:p>
        </w:tc>
        <w:tc>
          <w:tcPr>
            <w:tcW w:w="6027" w:type="dxa"/>
            <w:vAlign w:val="center"/>
          </w:tcPr>
          <w:p>
            <w:pPr>
              <w:spacing w:line="360" w:lineRule="auto"/>
              <w:rPr>
                <w:color w:val="000000" w:themeColor="text1"/>
                <w:sz w:val="24"/>
                <w:szCs w:val="24"/>
              </w:rPr>
            </w:pPr>
            <w:r>
              <w:rPr>
                <w:rFonts w:hint="eastAsia"/>
                <w:color w:val="000000" w:themeColor="text1"/>
                <w:sz w:val="24"/>
                <w:szCs w:val="24"/>
              </w:rPr>
              <w:t>西藏自治区公共资源交易平台（通过西藏自治区公共资源交易网登录，网址：</w:t>
            </w:r>
            <w:r>
              <w:rPr>
                <w:color w:val="000000" w:themeColor="text1"/>
                <w:sz w:val="24"/>
                <w:szCs w:val="24"/>
              </w:rPr>
              <w:t>ggzy.xizang.gov.cn</w:t>
            </w:r>
            <w:r>
              <w:rPr>
                <w:rFonts w:hint="eastAsia"/>
                <w:color w:val="000000" w:themeColor="text1"/>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5.1</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开标时间和地点</w:t>
            </w:r>
          </w:p>
        </w:tc>
        <w:tc>
          <w:tcPr>
            <w:tcW w:w="6027" w:type="dxa"/>
            <w:vAlign w:val="center"/>
          </w:tcPr>
          <w:p>
            <w:pPr>
              <w:adjustRightInd w:val="0"/>
              <w:snapToGrid w:val="0"/>
              <w:spacing w:line="360" w:lineRule="auto"/>
              <w:rPr>
                <w:color w:val="000000" w:themeColor="text1"/>
                <w:sz w:val="24"/>
              </w:rPr>
            </w:pPr>
            <w:r>
              <w:rPr>
                <w:rFonts w:hint="eastAsia"/>
                <w:color w:val="000000" w:themeColor="text1"/>
                <w:sz w:val="24"/>
              </w:rPr>
              <w:t>开标时间：同投标截止时间</w:t>
            </w:r>
          </w:p>
          <w:p>
            <w:pPr>
              <w:pStyle w:val="60"/>
              <w:spacing w:line="360" w:lineRule="auto"/>
              <w:rPr>
                <w:rFonts w:hAnsi="宋体"/>
                <w:color w:val="000000" w:themeColor="text1"/>
              </w:rPr>
            </w:pPr>
            <w:r>
              <w:rPr>
                <w:rFonts w:hint="eastAsia" w:hAnsi="宋体"/>
                <w:color w:val="000000" w:themeColor="text1"/>
              </w:rPr>
              <w:t>开标地点：投标时间截止后，招标人或其委托的招标代理机构在开标系统中进入线上开标环节。投标人登录西藏自治区公共资源交易平台不见面开标大厅（即不见面开标大厅，可登录西藏自治区公共资源交易平台访问）参与在线开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5.2</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开标程序</w:t>
            </w:r>
          </w:p>
        </w:tc>
        <w:tc>
          <w:tcPr>
            <w:tcW w:w="6027" w:type="dxa"/>
            <w:vAlign w:val="center"/>
          </w:tcPr>
          <w:p>
            <w:pPr>
              <w:widowControl/>
              <w:spacing w:line="360" w:lineRule="auto"/>
              <w:rPr>
                <w:color w:val="000000" w:themeColor="text1"/>
                <w:sz w:val="24"/>
                <w:szCs w:val="24"/>
              </w:rPr>
            </w:pP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）投标截止时间前，投标人登录在西藏自治区公共资源交易平台不见面开标大厅（即不见面开标大厅，可登录西藏自治区公共资源交易平台访问）。</w:t>
            </w:r>
          </w:p>
          <w:p>
            <w:pPr>
              <w:widowControl/>
              <w:adjustRightInd w:val="0"/>
              <w:snapToGrid w:val="0"/>
              <w:spacing w:line="360" w:lineRule="auto"/>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）投标截止时间后，招标人或其委托的招标代理机构在不见面开标大厅中组织线上开标，系统将展示所有参与项目的投标人名单、投标文件递交情况、投标保证金递交情况等相关信息。</w:t>
            </w:r>
          </w:p>
          <w:p>
            <w:pPr>
              <w:adjustRightInd w:val="0"/>
              <w:snapToGrid w:val="0"/>
              <w:spacing w:line="360" w:lineRule="auto"/>
              <w:rPr>
                <w:color w:val="000000" w:themeColor="text1"/>
                <w:sz w:val="24"/>
              </w:rPr>
            </w:pPr>
            <w:r>
              <w:rPr>
                <w:rFonts w:hint="eastAsia"/>
                <w:color w:val="000000" w:themeColor="text1"/>
                <w:sz w:val="24"/>
              </w:rPr>
              <w:t>（</w:t>
            </w:r>
            <w:r>
              <w:rPr>
                <w:color w:val="000000" w:themeColor="text1"/>
                <w:sz w:val="24"/>
              </w:rPr>
              <w:t>3</w:t>
            </w:r>
            <w:r>
              <w:rPr>
                <w:rFonts w:hint="eastAsia"/>
                <w:color w:val="000000" w:themeColor="text1"/>
                <w:sz w:val="24"/>
              </w:rPr>
              <w:t>）投标文件解密，解密时间</w:t>
            </w:r>
            <w:r>
              <w:rPr>
                <w:color w:val="000000" w:themeColor="text1"/>
                <w:sz w:val="24"/>
              </w:rPr>
              <w:t>60</w:t>
            </w:r>
            <w:r>
              <w:rPr>
                <w:rFonts w:hint="eastAsia"/>
                <w:color w:val="000000" w:themeColor="text1"/>
                <w:sz w:val="24"/>
              </w:rPr>
              <w:t>分钟（以电子交易系统解密倒计时为准）。</w:t>
            </w:r>
          </w:p>
          <w:p>
            <w:pPr>
              <w:adjustRightInd w:val="0"/>
              <w:snapToGrid w:val="0"/>
              <w:spacing w:line="360" w:lineRule="auto"/>
              <w:rPr>
                <w:color w:val="000000" w:themeColor="text1"/>
                <w:sz w:val="24"/>
              </w:rPr>
            </w:pPr>
            <w:r>
              <w:rPr>
                <w:rFonts w:hint="eastAsia"/>
                <w:color w:val="000000" w:themeColor="text1"/>
                <w:sz w:val="24"/>
              </w:rPr>
              <w:t>（</w:t>
            </w:r>
            <w:r>
              <w:rPr>
                <w:color w:val="000000" w:themeColor="text1"/>
                <w:sz w:val="24"/>
              </w:rPr>
              <w:t>4</w:t>
            </w:r>
            <w:r>
              <w:rPr>
                <w:rFonts w:hint="eastAsia"/>
                <w:color w:val="000000" w:themeColor="text1"/>
                <w:sz w:val="24"/>
              </w:rPr>
              <w:t>）</w:t>
            </w:r>
            <w:r>
              <w:rPr>
                <w:rFonts w:hint="eastAsia"/>
                <w:color w:val="000000" w:themeColor="text1"/>
                <w:sz w:val="24"/>
                <w:szCs w:val="24"/>
              </w:rPr>
              <w:t>按照评标办法规定在系统上进行有关随机抽取事项。</w:t>
            </w:r>
          </w:p>
          <w:p>
            <w:pPr>
              <w:adjustRightInd w:val="0"/>
              <w:snapToGrid w:val="0"/>
              <w:spacing w:line="360" w:lineRule="auto"/>
              <w:rPr>
                <w:color w:val="000000" w:themeColor="text1"/>
                <w:sz w:val="24"/>
              </w:rPr>
            </w:pPr>
            <w:r>
              <w:rPr>
                <w:rFonts w:hint="eastAsia"/>
                <w:color w:val="000000" w:themeColor="text1"/>
                <w:sz w:val="24"/>
                <w:szCs w:val="24"/>
              </w:rPr>
              <w:t>（</w:t>
            </w:r>
            <w:r>
              <w:rPr>
                <w:color w:val="000000" w:themeColor="text1"/>
                <w:sz w:val="24"/>
                <w:szCs w:val="24"/>
              </w:rPr>
              <w:t>5</w:t>
            </w:r>
            <w:r>
              <w:rPr>
                <w:rFonts w:hint="eastAsia"/>
                <w:color w:val="000000" w:themeColor="text1"/>
                <w:sz w:val="24"/>
                <w:szCs w:val="24"/>
              </w:rPr>
              <w:t>）</w:t>
            </w:r>
            <w:r>
              <w:rPr>
                <w:rFonts w:hint="eastAsia"/>
                <w:color w:val="000000" w:themeColor="text1"/>
                <w:sz w:val="24"/>
              </w:rPr>
              <w:t>系统展示各投标人名称、投标报价等内容。</w:t>
            </w:r>
          </w:p>
          <w:p>
            <w:pPr>
              <w:adjustRightInd w:val="0"/>
              <w:snapToGrid w:val="0"/>
              <w:spacing w:line="360" w:lineRule="auto"/>
              <w:rPr>
                <w:color w:val="000000" w:themeColor="text1"/>
                <w:sz w:val="24"/>
              </w:rPr>
            </w:pPr>
            <w:r>
              <w:rPr>
                <w:rFonts w:hint="eastAsia"/>
                <w:color w:val="000000" w:themeColor="text1"/>
                <w:sz w:val="24"/>
              </w:rPr>
              <w:t>（</w:t>
            </w:r>
            <w:r>
              <w:rPr>
                <w:color w:val="000000" w:themeColor="text1"/>
                <w:sz w:val="24"/>
              </w:rPr>
              <w:t>6</w:t>
            </w:r>
            <w:r>
              <w:rPr>
                <w:rFonts w:hint="eastAsia"/>
                <w:color w:val="000000" w:themeColor="text1"/>
                <w:sz w:val="24"/>
              </w:rPr>
              <w:t>）提出异议，处理异议。</w:t>
            </w:r>
          </w:p>
          <w:p>
            <w:pPr>
              <w:adjustRightInd w:val="0"/>
              <w:snapToGrid w:val="0"/>
              <w:spacing w:line="360" w:lineRule="auto"/>
              <w:rPr>
                <w:color w:val="000000" w:themeColor="text1"/>
                <w:sz w:val="24"/>
              </w:rPr>
            </w:pPr>
            <w:r>
              <w:rPr>
                <w:rFonts w:hint="eastAsia"/>
                <w:color w:val="000000" w:themeColor="text1"/>
                <w:sz w:val="24"/>
              </w:rPr>
              <w:t>（</w:t>
            </w:r>
            <w:r>
              <w:rPr>
                <w:color w:val="000000" w:themeColor="text1"/>
                <w:sz w:val="24"/>
              </w:rPr>
              <w:t>7</w:t>
            </w:r>
            <w:r>
              <w:rPr>
                <w:rFonts w:hint="eastAsia"/>
                <w:color w:val="000000" w:themeColor="text1"/>
                <w:sz w:val="24"/>
              </w:rPr>
              <w:t>）生成开标记录表，开标结束。</w:t>
            </w:r>
          </w:p>
          <w:p>
            <w:pPr>
              <w:adjustRightInd w:val="0"/>
              <w:snapToGrid w:val="0"/>
              <w:spacing w:line="360" w:lineRule="auto"/>
              <w:ind w:firstLine="480" w:firstLineChars="200"/>
              <w:rPr>
                <w:color w:val="000000" w:themeColor="text1"/>
                <w:sz w:val="24"/>
              </w:rPr>
            </w:pPr>
            <w:r>
              <w:rPr>
                <w:rFonts w:hint="eastAsia"/>
                <w:color w:val="000000" w:themeColor="text1"/>
                <w:sz w:val="24"/>
              </w:rPr>
              <w:t>投标人最迟应在完成上述第（</w:t>
            </w:r>
            <w:r>
              <w:rPr>
                <w:color w:val="000000" w:themeColor="text1"/>
                <w:sz w:val="24"/>
              </w:rPr>
              <w:t>5</w:t>
            </w:r>
            <w:r>
              <w:rPr>
                <w:rFonts w:hint="eastAsia"/>
                <w:color w:val="000000" w:themeColor="text1"/>
                <w:sz w:val="24"/>
              </w:rPr>
              <w:t>）项程序后</w:t>
            </w:r>
            <w:r>
              <w:rPr>
                <w:color w:val="000000" w:themeColor="text1"/>
                <w:sz w:val="24"/>
              </w:rPr>
              <w:t>10</w:t>
            </w:r>
            <w:r>
              <w:rPr>
                <w:rFonts w:hint="eastAsia"/>
                <w:color w:val="000000" w:themeColor="text1"/>
                <w:sz w:val="24"/>
              </w:rPr>
              <w:t>分钟内在线提出异议，招标人或其委托招标代理机构在线即时答复处理。如投标人未提出异议的，视为其认可开标过程、开标内容和开标结果。</w:t>
            </w:r>
          </w:p>
          <w:p>
            <w:pPr>
              <w:adjustRightInd w:val="0"/>
              <w:snapToGrid w:val="0"/>
              <w:spacing w:line="360" w:lineRule="auto"/>
              <w:ind w:firstLine="480" w:firstLineChars="200"/>
              <w:rPr>
                <w:color w:val="000000" w:themeColor="text1"/>
                <w:sz w:val="24"/>
                <w:szCs w:val="24"/>
              </w:rPr>
            </w:pPr>
            <w:r>
              <w:rPr>
                <w:rFonts w:hint="eastAsia"/>
                <w:color w:val="000000" w:themeColor="text1"/>
                <w:sz w:val="24"/>
                <w:szCs w:val="24"/>
              </w:rPr>
              <w:t>投标文件无法解密或未在规定时间内解密的，视为无效投标文件。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6.1</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评标委员会</w:t>
            </w:r>
          </w:p>
          <w:p>
            <w:pPr>
              <w:spacing w:line="360" w:lineRule="auto"/>
              <w:jc w:val="center"/>
              <w:rPr>
                <w:color w:val="000000" w:themeColor="text1"/>
                <w:sz w:val="24"/>
                <w:szCs w:val="24"/>
              </w:rPr>
            </w:pPr>
            <w:r>
              <w:rPr>
                <w:rFonts w:hint="eastAsia"/>
                <w:color w:val="000000" w:themeColor="text1"/>
                <w:sz w:val="24"/>
                <w:szCs w:val="24"/>
              </w:rPr>
              <w:t>的组建</w:t>
            </w:r>
          </w:p>
        </w:tc>
        <w:tc>
          <w:tcPr>
            <w:tcW w:w="6027" w:type="dxa"/>
            <w:vAlign w:val="center"/>
          </w:tcPr>
          <w:p>
            <w:pPr>
              <w:adjustRightInd w:val="0"/>
              <w:snapToGrid w:val="0"/>
              <w:spacing w:line="360" w:lineRule="auto"/>
              <w:rPr>
                <w:color w:val="000000" w:themeColor="text1"/>
                <w:sz w:val="24"/>
                <w:szCs w:val="24"/>
              </w:rPr>
            </w:pPr>
            <w:r>
              <w:rPr>
                <w:rFonts w:hint="eastAsia"/>
                <w:color w:val="000000" w:themeColor="text1"/>
                <w:sz w:val="24"/>
                <w:szCs w:val="24"/>
              </w:rPr>
              <w:t>评标委员会构成：</w:t>
            </w:r>
            <w:r>
              <w:rPr>
                <w:color w:val="000000" w:themeColor="text1"/>
                <w:sz w:val="24"/>
                <w:szCs w:val="24"/>
                <w:u w:val="single"/>
              </w:rPr>
              <w:t xml:space="preserve">     </w:t>
            </w:r>
            <w:r>
              <w:rPr>
                <w:rFonts w:hint="eastAsia"/>
                <w:color w:val="000000" w:themeColor="text1"/>
                <w:sz w:val="24"/>
                <w:szCs w:val="24"/>
              </w:rPr>
              <w:t>人</w:t>
            </w:r>
          </w:p>
          <w:p>
            <w:pPr>
              <w:adjustRightInd w:val="0"/>
              <w:snapToGrid w:val="0"/>
              <w:spacing w:line="360" w:lineRule="auto"/>
              <w:rPr>
                <w:color w:val="000000" w:themeColor="text1"/>
                <w:sz w:val="24"/>
                <w:szCs w:val="24"/>
              </w:rPr>
            </w:pPr>
            <w:r>
              <w:rPr>
                <w:rFonts w:hint="eastAsia"/>
                <w:color w:val="000000" w:themeColor="text1"/>
                <w:sz w:val="24"/>
                <w:szCs w:val="24"/>
              </w:rPr>
              <w:t>其中：招标人代表</w:t>
            </w:r>
            <w:r>
              <w:rPr>
                <w:color w:val="000000" w:themeColor="text1"/>
                <w:sz w:val="24"/>
                <w:szCs w:val="24"/>
                <w:u w:val="single"/>
              </w:rPr>
              <w:t xml:space="preserve">     </w:t>
            </w:r>
            <w:r>
              <w:rPr>
                <w:rFonts w:hint="eastAsia"/>
                <w:color w:val="000000" w:themeColor="text1"/>
                <w:sz w:val="24"/>
                <w:szCs w:val="24"/>
              </w:rPr>
              <w:t>人，</w:t>
            </w:r>
          </w:p>
          <w:p>
            <w:pPr>
              <w:adjustRightInd w:val="0"/>
              <w:snapToGrid w:val="0"/>
              <w:spacing w:line="360" w:lineRule="auto"/>
              <w:ind w:firstLine="720" w:firstLineChars="300"/>
              <w:rPr>
                <w:color w:val="000000" w:themeColor="text1"/>
                <w:sz w:val="24"/>
                <w:szCs w:val="24"/>
              </w:rPr>
            </w:pPr>
            <w:r>
              <w:rPr>
                <w:rFonts w:hint="eastAsia"/>
                <w:color w:val="000000" w:themeColor="text1"/>
                <w:sz w:val="24"/>
                <w:szCs w:val="24"/>
              </w:rPr>
              <w:t>技术、经济类（造价）专家</w:t>
            </w:r>
            <w:r>
              <w:rPr>
                <w:color w:val="000000" w:themeColor="text1"/>
                <w:sz w:val="24"/>
                <w:szCs w:val="24"/>
                <w:u w:val="single"/>
              </w:rPr>
              <w:t xml:space="preserve">    </w:t>
            </w:r>
            <w:r>
              <w:rPr>
                <w:rFonts w:hint="eastAsia"/>
                <w:color w:val="000000" w:themeColor="text1"/>
                <w:sz w:val="24"/>
                <w:szCs w:val="24"/>
              </w:rPr>
              <w:t>人。</w:t>
            </w:r>
          </w:p>
          <w:p>
            <w:pPr>
              <w:adjustRightInd w:val="0"/>
              <w:snapToGrid w:val="0"/>
              <w:spacing w:line="360" w:lineRule="auto"/>
              <w:rPr>
                <w:color w:val="000000" w:themeColor="text1"/>
                <w:sz w:val="24"/>
                <w:szCs w:val="24"/>
                <w:u w:val="single"/>
              </w:rPr>
            </w:pPr>
            <w:r>
              <w:rPr>
                <w:rFonts w:hint="eastAsia"/>
                <w:color w:val="000000" w:themeColor="text1"/>
                <w:sz w:val="24"/>
                <w:szCs w:val="24"/>
              </w:rPr>
              <w:t>评标专家确定方式：</w:t>
            </w:r>
            <w:r>
              <w:rPr>
                <w:color w:val="000000" w:themeColor="text1"/>
                <w:sz w:val="24"/>
                <w:szCs w:val="24"/>
                <w:u w:val="single"/>
              </w:rPr>
              <w:t xml:space="preserve">              </w:t>
            </w:r>
          </w:p>
          <w:p>
            <w:pPr>
              <w:spacing w:line="360" w:lineRule="auto"/>
              <w:rPr>
                <w:color w:val="000000" w:themeColor="text1"/>
                <w:sz w:val="24"/>
                <w:szCs w:val="24"/>
              </w:rPr>
            </w:pPr>
            <w:r>
              <w:rPr>
                <w:rFonts w:hint="eastAsia"/>
                <w:color w:val="000000" w:themeColor="text1"/>
                <w:sz w:val="24"/>
                <w:szCs w:val="24"/>
              </w:rPr>
              <w:t>注：评标委员会组建按照</w:t>
            </w:r>
            <w:r>
              <w:rPr>
                <w:rFonts w:hint="eastAsia"/>
                <w:b/>
                <w:bCs/>
                <w:color w:val="000000" w:themeColor="text1"/>
                <w:sz w:val="24"/>
                <w:szCs w:val="24"/>
              </w:rPr>
              <w:t>《</w:t>
            </w:r>
            <w:r>
              <w:rPr>
                <w:rFonts w:hint="eastAsia"/>
                <w:color w:val="000000" w:themeColor="text1"/>
                <w:sz w:val="24"/>
                <w:szCs w:val="24"/>
              </w:rPr>
              <w:t>关于印发</w:t>
            </w:r>
            <w:r>
              <w:rPr>
                <w:color w:val="000000" w:themeColor="text1"/>
                <w:sz w:val="24"/>
                <w:szCs w:val="24"/>
                <w:lang w:val="en-US"/>
              </w:rPr>
              <w:t>&lt;</w:t>
            </w:r>
            <w:r>
              <w:rPr>
                <w:rFonts w:hint="eastAsia"/>
                <w:b/>
                <w:bCs/>
                <w:color w:val="000000" w:themeColor="text1"/>
                <w:sz w:val="24"/>
                <w:szCs w:val="24"/>
              </w:rPr>
              <w:t>西藏自治区房建市政专业类评标专家随机抽取工作细则</w:t>
            </w:r>
            <w:r>
              <w:rPr>
                <w:b/>
                <w:bCs/>
                <w:color w:val="000000" w:themeColor="text1"/>
                <w:sz w:val="24"/>
                <w:szCs w:val="24"/>
                <w:lang w:val="en-US"/>
              </w:rPr>
              <w:t>&gt;</w:t>
            </w:r>
            <w:r>
              <w:rPr>
                <w:rFonts w:hint="eastAsia"/>
                <w:color w:val="000000" w:themeColor="text1"/>
                <w:sz w:val="24"/>
                <w:szCs w:val="24"/>
              </w:rPr>
              <w:t>的通知</w:t>
            </w:r>
            <w:r>
              <w:rPr>
                <w:rFonts w:hint="eastAsia"/>
                <w:b/>
                <w:bCs/>
                <w:color w:val="000000" w:themeColor="text1"/>
                <w:sz w:val="24"/>
                <w:szCs w:val="24"/>
              </w:rPr>
              <w:t>》（</w:t>
            </w:r>
            <w:r>
              <w:rPr>
                <w:b/>
                <w:bCs/>
                <w:color w:val="000000" w:themeColor="text1"/>
                <w:sz w:val="24"/>
                <w:szCs w:val="24"/>
                <w:lang w:val="en-US"/>
              </w:rPr>
              <w:t xml:space="preserve"> </w:t>
            </w:r>
            <w:r>
              <w:rPr>
                <w:rFonts w:hint="eastAsia"/>
                <w:b/>
                <w:bCs/>
                <w:color w:val="000000" w:themeColor="text1"/>
                <w:sz w:val="24"/>
                <w:szCs w:val="24"/>
              </w:rPr>
              <w:t>）</w:t>
            </w:r>
            <w:r>
              <w:rPr>
                <w:rFonts w:hint="eastAsia"/>
                <w:color w:val="000000" w:themeColor="text1"/>
                <w:sz w:val="24"/>
                <w:szCs w:val="24"/>
              </w:rPr>
              <w:t>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6.</w:t>
            </w:r>
            <w:r>
              <w:rPr>
                <w:color w:val="000000" w:themeColor="text1"/>
                <w:sz w:val="24"/>
                <w:szCs w:val="24"/>
                <w:lang w:val="en-US"/>
              </w:rPr>
              <w:t>2</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评标办法</w:t>
            </w:r>
          </w:p>
        </w:tc>
        <w:tc>
          <w:tcPr>
            <w:tcW w:w="6027" w:type="dxa"/>
            <w:vAlign w:val="center"/>
          </w:tcPr>
          <w:p>
            <w:pPr>
              <w:spacing w:line="360" w:lineRule="auto"/>
              <w:rPr>
                <w:color w:val="000000" w:themeColor="text1"/>
                <w:sz w:val="24"/>
                <w:szCs w:val="24"/>
              </w:rPr>
            </w:pPr>
            <w:r>
              <w:rPr>
                <w:rFonts w:hint="eastAsia"/>
                <w:color w:val="000000" w:themeColor="text1"/>
                <w:sz w:val="24"/>
                <w:szCs w:val="24"/>
              </w:rPr>
              <w:t>□综合评估法</w:t>
            </w:r>
          </w:p>
          <w:p>
            <w:pPr>
              <w:spacing w:line="360" w:lineRule="auto"/>
              <w:rPr>
                <w:color w:val="000000" w:themeColor="text1"/>
                <w:sz w:val="24"/>
                <w:szCs w:val="24"/>
              </w:rPr>
            </w:pPr>
            <w:r>
              <w:rPr>
                <w:rFonts w:hint="eastAsia"/>
                <w:color w:val="000000" w:themeColor="text1"/>
                <w:sz w:val="24"/>
                <w:szCs w:val="24"/>
              </w:rPr>
              <w:t>□经评审的</w:t>
            </w:r>
            <w:r>
              <w:rPr>
                <w:rFonts w:hint="eastAsia"/>
                <w:color w:val="000000" w:themeColor="text1"/>
                <w:sz w:val="24"/>
                <w:szCs w:val="24"/>
                <w:lang w:val="en-US"/>
              </w:rPr>
              <w:t>最低投标价</w:t>
            </w:r>
            <w:r>
              <w:rPr>
                <w:rFonts w:hint="eastAsia"/>
                <w:color w:val="000000" w:themeColor="text1"/>
                <w:sz w:val="24"/>
                <w:szCs w:val="24"/>
              </w:rPr>
              <w:t>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7.1</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是否授权评标委员会确定中标人</w:t>
            </w:r>
          </w:p>
        </w:tc>
        <w:tc>
          <w:tcPr>
            <w:tcW w:w="6027" w:type="dxa"/>
            <w:vAlign w:val="center"/>
          </w:tcPr>
          <w:p>
            <w:pPr>
              <w:spacing w:line="360" w:lineRule="auto"/>
              <w:rPr>
                <w:color w:val="000000" w:themeColor="text1"/>
                <w:sz w:val="24"/>
                <w:szCs w:val="24"/>
              </w:rPr>
            </w:pPr>
            <w:r>
              <w:rPr>
                <w:rFonts w:hint="eastAsia"/>
                <w:color w:val="000000" w:themeColor="text1"/>
                <w:sz w:val="24"/>
                <w:szCs w:val="24"/>
              </w:rPr>
              <w:t>□是</w:t>
            </w:r>
          </w:p>
          <w:p>
            <w:pPr>
              <w:spacing w:line="360" w:lineRule="auto"/>
              <w:rPr>
                <w:color w:val="000000" w:themeColor="text1"/>
                <w:sz w:val="24"/>
                <w:szCs w:val="24"/>
              </w:rPr>
            </w:pPr>
            <w:r>
              <w:rPr>
                <w:rFonts w:hint="eastAsia"/>
                <w:color w:val="000000" w:themeColor="text1"/>
                <w:sz w:val="24"/>
                <w:szCs w:val="24"/>
              </w:rPr>
              <w:t>□否，推荐的中标候选人数：</w:t>
            </w:r>
            <w:r>
              <w:rPr>
                <w:color w:val="000000" w:themeColor="text1"/>
                <w:sz w:val="24"/>
                <w:szCs w:val="24"/>
              </w:rPr>
              <w:t>3</w:t>
            </w:r>
            <w:r>
              <w:rPr>
                <w:rFonts w:hint="eastAsia"/>
                <w:color w:val="000000" w:themeColor="text1"/>
                <w:sz w:val="24"/>
                <w:szCs w:val="24"/>
              </w:rPr>
              <w:t>人，当符合要求的投标人少于需推荐的人数，评标委员会推荐的人数可少于需推荐的人数。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rPr>
              <w:t>7.</w:t>
            </w:r>
            <w:r>
              <w:rPr>
                <w:color w:val="000000" w:themeColor="text1"/>
                <w:sz w:val="24"/>
                <w:szCs w:val="24"/>
                <w:lang w:val="en-US"/>
              </w:rPr>
              <w:t>2</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履约保证金</w:t>
            </w:r>
          </w:p>
        </w:tc>
        <w:tc>
          <w:tcPr>
            <w:tcW w:w="6027" w:type="dxa"/>
            <w:vAlign w:val="center"/>
          </w:tcPr>
          <w:p>
            <w:pPr>
              <w:spacing w:line="360" w:lineRule="auto"/>
              <w:rPr>
                <w:color w:val="000000" w:themeColor="text1"/>
                <w:sz w:val="24"/>
                <w:szCs w:val="24"/>
              </w:rPr>
            </w:pPr>
            <w:r>
              <w:rPr>
                <w:rFonts w:hint="eastAsia"/>
                <w:color w:val="000000" w:themeColor="text1"/>
                <w:sz w:val="24"/>
                <w:szCs w:val="24"/>
              </w:rPr>
              <w:t>履约保证金：中标价的</w:t>
            </w:r>
            <w:r>
              <w:rPr>
                <w:color w:val="000000" w:themeColor="text1"/>
                <w:sz w:val="24"/>
                <w:szCs w:val="24"/>
                <w:u w:val="single"/>
              </w:rPr>
              <w:t xml:space="preserve">    </w:t>
            </w:r>
            <w:r>
              <w:rPr>
                <w:color w:val="000000" w:themeColor="text1"/>
                <w:sz w:val="24"/>
                <w:szCs w:val="24"/>
              </w:rPr>
              <w:t>%</w:t>
            </w:r>
            <w:r>
              <w:rPr>
                <w:rFonts w:hint="eastAsia"/>
                <w:color w:val="000000" w:themeColor="text1"/>
                <w:sz w:val="24"/>
                <w:szCs w:val="24"/>
              </w:rPr>
              <w:t>。</w:t>
            </w:r>
          </w:p>
          <w:p>
            <w:pPr>
              <w:adjustRightInd w:val="0"/>
              <w:snapToGrid w:val="0"/>
              <w:spacing w:line="360" w:lineRule="auto"/>
              <w:rPr>
                <w:color w:val="000000" w:themeColor="text1"/>
                <w:sz w:val="24"/>
                <w:szCs w:val="24"/>
                <w:lang w:val="en-US"/>
              </w:rPr>
            </w:pPr>
            <w:r>
              <w:rPr>
                <w:rFonts w:hint="eastAsia"/>
                <w:color w:val="000000" w:themeColor="text1"/>
                <w:sz w:val="24"/>
                <w:szCs w:val="24"/>
              </w:rPr>
              <w:t>履约保证金形式：银行保函或保单保函。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050" w:type="dxa"/>
            <w:vAlign w:val="center"/>
          </w:tcPr>
          <w:p>
            <w:pPr>
              <w:spacing w:line="360" w:lineRule="auto"/>
              <w:jc w:val="center"/>
              <w:rPr>
                <w:color w:val="000000" w:themeColor="text1"/>
                <w:sz w:val="24"/>
                <w:szCs w:val="24"/>
              </w:rPr>
            </w:pPr>
            <w:r>
              <w:rPr>
                <w:color w:val="000000" w:themeColor="text1"/>
                <w:sz w:val="24"/>
                <w:szCs w:val="24"/>
                <w:lang w:val="en-US"/>
              </w:rPr>
              <w:t>8</w:t>
            </w:r>
          </w:p>
        </w:tc>
        <w:tc>
          <w:tcPr>
            <w:tcW w:w="8142" w:type="dxa"/>
            <w:gridSpan w:val="3"/>
            <w:vAlign w:val="center"/>
          </w:tcPr>
          <w:p>
            <w:pPr>
              <w:spacing w:line="360" w:lineRule="auto"/>
              <w:jc w:val="center"/>
              <w:rPr>
                <w:color w:val="000000" w:themeColor="text1"/>
                <w:sz w:val="24"/>
                <w:szCs w:val="24"/>
              </w:rPr>
            </w:pPr>
            <w:r>
              <w:rPr>
                <w:rFonts w:hint="eastAsia"/>
                <w:color w:val="000000" w:themeColor="text1"/>
                <w:sz w:val="24"/>
                <w:szCs w:val="24"/>
              </w:rPr>
              <w:t>需要补充的其他内容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lang w:val="en-US"/>
              </w:rPr>
              <w:t>8</w:t>
            </w:r>
            <w:r>
              <w:rPr>
                <w:color w:val="000000" w:themeColor="text1"/>
                <w:sz w:val="24"/>
                <w:szCs w:val="24"/>
              </w:rPr>
              <w:t>.</w:t>
            </w:r>
            <w:r>
              <w:rPr>
                <w:color w:val="000000" w:themeColor="text1"/>
                <w:sz w:val="24"/>
                <w:szCs w:val="24"/>
                <w:lang w:val="en-US"/>
              </w:rPr>
              <w:t>1</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招标代理服务费</w:t>
            </w:r>
          </w:p>
        </w:tc>
        <w:tc>
          <w:tcPr>
            <w:tcW w:w="6027" w:type="dxa"/>
            <w:vAlign w:val="center"/>
          </w:tcPr>
          <w:p>
            <w:pPr>
              <w:adjustRightInd w:val="0"/>
              <w:snapToGrid w:val="0"/>
              <w:spacing w:line="360" w:lineRule="auto"/>
              <w:rPr>
                <w:color w:val="000000" w:themeColor="text1"/>
                <w:sz w:val="24"/>
                <w:szCs w:val="24"/>
              </w:rPr>
            </w:pPr>
            <w:r>
              <w:rPr>
                <w:rFonts w:hint="eastAsia"/>
                <w:color w:val="000000" w:themeColor="text1"/>
                <w:sz w:val="24"/>
                <w:szCs w:val="24"/>
              </w:rPr>
              <w:t>□不适合</w:t>
            </w:r>
            <w:r>
              <w:rPr>
                <w:color w:val="000000" w:themeColor="text1"/>
                <w:sz w:val="24"/>
                <w:szCs w:val="24"/>
              </w:rPr>
              <w:t>(</w:t>
            </w:r>
            <w:r>
              <w:rPr>
                <w:rFonts w:hint="eastAsia"/>
                <w:color w:val="000000" w:themeColor="text1"/>
                <w:sz w:val="24"/>
                <w:szCs w:val="24"/>
              </w:rPr>
              <w:t>自行招标</w:t>
            </w:r>
            <w:r>
              <w:rPr>
                <w:color w:val="000000" w:themeColor="text1"/>
                <w:sz w:val="24"/>
                <w:szCs w:val="24"/>
              </w:rPr>
              <w:t>)</w:t>
            </w:r>
            <w:r>
              <w:rPr>
                <w:rFonts w:hint="eastAsia"/>
                <w:color w:val="000000" w:themeColor="text1"/>
                <w:sz w:val="24"/>
                <w:szCs w:val="24"/>
              </w:rPr>
              <w:t>。</w:t>
            </w:r>
          </w:p>
          <w:p>
            <w:pPr>
              <w:adjustRightInd w:val="0"/>
              <w:snapToGrid w:val="0"/>
              <w:spacing w:line="360" w:lineRule="auto"/>
              <w:rPr>
                <w:color w:val="000000" w:themeColor="text1"/>
                <w:sz w:val="24"/>
                <w:szCs w:val="24"/>
              </w:rPr>
            </w:pPr>
            <w:r>
              <w:rPr>
                <w:rFonts w:hint="eastAsia"/>
                <w:color w:val="000000" w:themeColor="text1"/>
                <w:sz w:val="24"/>
                <w:szCs w:val="24"/>
              </w:rPr>
              <w:t>□招标人支付。</w:t>
            </w:r>
          </w:p>
          <w:p>
            <w:pPr>
              <w:spacing w:line="360" w:lineRule="auto"/>
              <w:rPr>
                <w:color w:val="000000" w:themeColor="text1"/>
                <w:sz w:val="24"/>
                <w:szCs w:val="24"/>
              </w:rPr>
            </w:pPr>
            <w:r>
              <w:rPr>
                <w:rFonts w:hint="eastAsia"/>
                <w:color w:val="000000" w:themeColor="text1"/>
                <w:sz w:val="24"/>
                <w:szCs w:val="24"/>
              </w:rPr>
              <w:t>□中标的投标人支付，支付标准：</w:t>
            </w:r>
            <w:r>
              <w:rPr>
                <w:color w:val="000000" w:themeColor="text1"/>
                <w:sz w:val="24"/>
                <w:szCs w:val="24"/>
                <w:u w:val="single"/>
              </w:rPr>
              <w:t xml:space="preserve">            </w:t>
            </w:r>
            <w:r>
              <w:rPr>
                <w:rFonts w:hint="eastAsia"/>
                <w:color w:val="000000" w:themeColor="text1"/>
                <w:sz w:val="24"/>
                <w:szCs w:val="24"/>
              </w:rPr>
              <w:t>（按照招标代理合同约定填写）。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lang w:val="en-US"/>
              </w:rPr>
              <w:t>8</w:t>
            </w:r>
            <w:r>
              <w:rPr>
                <w:color w:val="000000" w:themeColor="text1"/>
                <w:sz w:val="24"/>
                <w:szCs w:val="24"/>
              </w:rPr>
              <w:t>.</w:t>
            </w:r>
            <w:r>
              <w:rPr>
                <w:color w:val="000000" w:themeColor="text1"/>
                <w:sz w:val="24"/>
                <w:szCs w:val="24"/>
                <w:lang w:val="en-US"/>
              </w:rPr>
              <w:t>2</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低于成本报价</w:t>
            </w:r>
          </w:p>
        </w:tc>
        <w:tc>
          <w:tcPr>
            <w:tcW w:w="6027" w:type="dxa"/>
            <w:vAlign w:val="center"/>
          </w:tcPr>
          <w:p>
            <w:pPr>
              <w:spacing w:line="360" w:lineRule="auto"/>
              <w:rPr>
                <w:color w:val="000000" w:themeColor="text1"/>
                <w:sz w:val="24"/>
                <w:szCs w:val="24"/>
              </w:rPr>
            </w:pPr>
            <w:r>
              <w:rPr>
                <w:rFonts w:hint="eastAsia"/>
                <w:color w:val="000000" w:themeColor="text1"/>
                <w:sz w:val="24"/>
                <w:szCs w:val="24"/>
              </w:rPr>
              <w:t>启动是否低于成本评审的前提条件：</w:t>
            </w:r>
          </w:p>
          <w:p>
            <w:pPr>
              <w:spacing w:line="360" w:lineRule="auto"/>
              <w:rPr>
                <w:color w:val="000000" w:themeColor="text1"/>
                <w:sz w:val="24"/>
                <w:szCs w:val="24"/>
              </w:rPr>
            </w:pPr>
            <w:r>
              <w:rPr>
                <w:rFonts w:hint="eastAsia"/>
                <w:color w:val="000000" w:themeColor="text1"/>
                <w:sz w:val="24"/>
                <w:szCs w:val="24"/>
              </w:rPr>
              <w:t>当投标人投标报价中的评审价（评审价</w:t>
            </w:r>
            <w:r>
              <w:rPr>
                <w:color w:val="000000" w:themeColor="text1"/>
                <w:sz w:val="24"/>
                <w:szCs w:val="24"/>
              </w:rPr>
              <w:t>=</w:t>
            </w:r>
            <w:r>
              <w:rPr>
                <w:rFonts w:hint="eastAsia"/>
                <w:color w:val="000000" w:themeColor="text1"/>
                <w:sz w:val="24"/>
                <w:szCs w:val="24"/>
              </w:rPr>
              <w:t>算术修正后的投标总价</w:t>
            </w:r>
            <w:r>
              <w:rPr>
                <w:color w:val="000000" w:themeColor="text1"/>
                <w:sz w:val="24"/>
                <w:szCs w:val="24"/>
              </w:rPr>
              <w:t>-</w:t>
            </w:r>
            <w:r>
              <w:rPr>
                <w:rFonts w:hint="eastAsia"/>
                <w:color w:val="000000" w:themeColor="text1"/>
                <w:sz w:val="24"/>
                <w:szCs w:val="24"/>
              </w:rPr>
              <w:t>安全文明施工费</w:t>
            </w:r>
            <w:r>
              <w:rPr>
                <w:color w:val="000000" w:themeColor="text1"/>
                <w:sz w:val="24"/>
                <w:szCs w:val="24"/>
              </w:rPr>
              <w:t>-</w:t>
            </w:r>
            <w:r>
              <w:rPr>
                <w:rFonts w:hint="eastAsia"/>
                <w:color w:val="000000" w:themeColor="text1"/>
                <w:sz w:val="24"/>
                <w:szCs w:val="24"/>
              </w:rPr>
              <w:t>规费</w:t>
            </w:r>
            <w:r>
              <w:rPr>
                <w:color w:val="000000" w:themeColor="text1"/>
                <w:sz w:val="24"/>
                <w:szCs w:val="24"/>
              </w:rPr>
              <w:t>-</w:t>
            </w:r>
            <w:r>
              <w:rPr>
                <w:rFonts w:hint="eastAsia"/>
                <w:color w:val="000000" w:themeColor="text1"/>
                <w:sz w:val="24"/>
                <w:szCs w:val="24"/>
              </w:rPr>
              <w:t>专业工程暂估价</w:t>
            </w:r>
            <w:r>
              <w:rPr>
                <w:color w:val="000000" w:themeColor="text1"/>
                <w:sz w:val="24"/>
                <w:szCs w:val="24"/>
              </w:rPr>
              <w:t>-</w:t>
            </w:r>
            <w:r>
              <w:rPr>
                <w:rFonts w:hint="eastAsia"/>
                <w:color w:val="000000" w:themeColor="text1"/>
                <w:sz w:val="24"/>
                <w:szCs w:val="24"/>
              </w:rPr>
              <w:t>暂列金额，下同）满足下列情形之一时，报价评审组必须对投标人的投标报价是否低于成本进行评审：</w:t>
            </w:r>
          </w:p>
          <w:p>
            <w:pPr>
              <w:spacing w:line="360" w:lineRule="auto"/>
              <w:rPr>
                <w:color w:val="000000" w:themeColor="text1"/>
                <w:sz w:val="24"/>
                <w:szCs w:val="24"/>
              </w:rPr>
            </w:pPr>
            <w:r>
              <w:rPr>
                <w:rFonts w:hint="eastAsia"/>
                <w:color w:val="000000" w:themeColor="text1"/>
                <w:sz w:val="24"/>
                <w:szCs w:val="24"/>
              </w:rPr>
              <w:t>（</w:t>
            </w:r>
            <w:r>
              <w:rPr>
                <w:color w:val="000000" w:themeColor="text1"/>
                <w:sz w:val="24"/>
                <w:szCs w:val="24"/>
                <w:lang w:val="en-US"/>
              </w:rPr>
              <w:t>1</w:t>
            </w:r>
            <w:r>
              <w:rPr>
                <w:rFonts w:hint="eastAsia"/>
                <w:color w:val="000000" w:themeColor="text1"/>
                <w:sz w:val="24"/>
                <w:szCs w:val="24"/>
              </w:rPr>
              <w:t>）投标人的评审价低于招标控制价相应价格（招标控制价相应价格</w:t>
            </w:r>
            <w:r>
              <w:rPr>
                <w:color w:val="000000" w:themeColor="text1"/>
                <w:sz w:val="24"/>
                <w:szCs w:val="24"/>
              </w:rPr>
              <w:t>=</w:t>
            </w:r>
            <w:r>
              <w:rPr>
                <w:rFonts w:hint="eastAsia"/>
                <w:color w:val="000000" w:themeColor="text1"/>
                <w:sz w:val="24"/>
                <w:szCs w:val="24"/>
              </w:rPr>
              <w:t>招标控制价</w:t>
            </w:r>
            <w:r>
              <w:rPr>
                <w:color w:val="000000" w:themeColor="text1"/>
                <w:sz w:val="24"/>
                <w:szCs w:val="24"/>
              </w:rPr>
              <w:t>-</w:t>
            </w:r>
            <w:r>
              <w:rPr>
                <w:rFonts w:hint="eastAsia"/>
                <w:color w:val="000000" w:themeColor="text1"/>
                <w:sz w:val="24"/>
                <w:szCs w:val="24"/>
              </w:rPr>
              <w:t>安全文明施工费</w:t>
            </w:r>
            <w:r>
              <w:rPr>
                <w:color w:val="000000" w:themeColor="text1"/>
                <w:sz w:val="24"/>
                <w:szCs w:val="24"/>
              </w:rPr>
              <w:t>-</w:t>
            </w:r>
            <w:r>
              <w:rPr>
                <w:rFonts w:hint="eastAsia"/>
                <w:color w:val="000000" w:themeColor="text1"/>
                <w:sz w:val="24"/>
                <w:szCs w:val="24"/>
              </w:rPr>
              <w:t>规费</w:t>
            </w:r>
            <w:r>
              <w:rPr>
                <w:color w:val="000000" w:themeColor="text1"/>
                <w:sz w:val="24"/>
                <w:szCs w:val="24"/>
              </w:rPr>
              <w:t>-</w:t>
            </w:r>
            <w:r>
              <w:rPr>
                <w:rFonts w:hint="eastAsia"/>
                <w:color w:val="000000" w:themeColor="text1"/>
                <w:sz w:val="24"/>
                <w:szCs w:val="24"/>
              </w:rPr>
              <w:t>专业工程暂估价</w:t>
            </w:r>
            <w:r>
              <w:rPr>
                <w:color w:val="000000" w:themeColor="text1"/>
                <w:sz w:val="24"/>
                <w:szCs w:val="24"/>
              </w:rPr>
              <w:t>-</w:t>
            </w:r>
            <w:r>
              <w:rPr>
                <w:rFonts w:hint="eastAsia"/>
                <w:color w:val="000000" w:themeColor="text1"/>
                <w:sz w:val="24"/>
                <w:szCs w:val="24"/>
              </w:rPr>
              <w:t>暂列金额，下同）的</w:t>
            </w:r>
            <w:r>
              <w:rPr>
                <w:color w:val="000000" w:themeColor="text1"/>
                <w:sz w:val="24"/>
                <w:szCs w:val="24"/>
              </w:rPr>
              <w:t>8</w:t>
            </w:r>
            <w:r>
              <w:rPr>
                <w:color w:val="000000" w:themeColor="text1"/>
                <w:sz w:val="24"/>
                <w:szCs w:val="24"/>
                <w:lang w:val="en-US"/>
              </w:rPr>
              <w:t>5</w:t>
            </w:r>
            <w:r>
              <w:rPr>
                <w:color w:val="000000" w:themeColor="text1"/>
                <w:sz w:val="24"/>
                <w:szCs w:val="24"/>
              </w:rPr>
              <w:t>%</w:t>
            </w:r>
            <w:r>
              <w:rPr>
                <w:rFonts w:hint="eastAsia"/>
                <w:color w:val="000000" w:themeColor="text1"/>
                <w:sz w:val="24"/>
                <w:szCs w:val="24"/>
              </w:rPr>
              <w:t>。</w:t>
            </w:r>
          </w:p>
          <w:p>
            <w:pPr>
              <w:spacing w:line="360" w:lineRule="auto"/>
              <w:rPr>
                <w:color w:val="000000" w:themeColor="text1"/>
                <w:sz w:val="24"/>
                <w:szCs w:val="24"/>
              </w:rPr>
            </w:pPr>
            <w:r>
              <w:rPr>
                <w:rFonts w:hint="eastAsia"/>
                <w:color w:val="000000" w:themeColor="text1"/>
                <w:sz w:val="24"/>
                <w:szCs w:val="24"/>
              </w:rPr>
              <w:t>（</w:t>
            </w:r>
            <w:r>
              <w:rPr>
                <w:color w:val="000000" w:themeColor="text1"/>
                <w:sz w:val="24"/>
                <w:szCs w:val="24"/>
                <w:lang w:val="en-US"/>
              </w:rPr>
              <w:t>2</w:t>
            </w:r>
            <w:r>
              <w:rPr>
                <w:rFonts w:hint="eastAsia"/>
                <w:color w:val="000000" w:themeColor="text1"/>
                <w:sz w:val="24"/>
                <w:szCs w:val="24"/>
              </w:rPr>
              <w:t>）投标人的评审价低于招标控制价相应价格的</w:t>
            </w:r>
            <w:r>
              <w:rPr>
                <w:color w:val="000000" w:themeColor="text1"/>
                <w:sz w:val="24"/>
                <w:szCs w:val="24"/>
                <w:lang w:val="en-US"/>
              </w:rPr>
              <w:t>85</w:t>
            </w:r>
            <w:r>
              <w:rPr>
                <w:color w:val="000000" w:themeColor="text1"/>
                <w:sz w:val="24"/>
                <w:szCs w:val="24"/>
              </w:rPr>
              <w:t>%</w:t>
            </w:r>
            <w:r>
              <w:rPr>
                <w:rFonts w:hint="eastAsia"/>
                <w:color w:val="000000" w:themeColor="text1"/>
                <w:sz w:val="24"/>
                <w:szCs w:val="24"/>
              </w:rPr>
              <w:t>且低于所有投标人（指投标文件全部内容经过详细评审而未被否决的投标人）评审价算术平均值的</w:t>
            </w:r>
            <w:r>
              <w:rPr>
                <w:color w:val="000000" w:themeColor="text1"/>
                <w:sz w:val="24"/>
                <w:szCs w:val="24"/>
              </w:rPr>
              <w:t>9</w:t>
            </w:r>
            <w:r>
              <w:rPr>
                <w:color w:val="000000" w:themeColor="text1"/>
                <w:sz w:val="24"/>
                <w:szCs w:val="24"/>
                <w:lang w:val="en-US"/>
              </w:rPr>
              <w:t>0</w:t>
            </w:r>
            <w:r>
              <w:rPr>
                <w:color w:val="000000" w:themeColor="text1"/>
                <w:sz w:val="24"/>
                <w:szCs w:val="24"/>
              </w:rPr>
              <w:t>%</w:t>
            </w:r>
            <w:r>
              <w:rPr>
                <w:rFonts w:hint="eastAsia"/>
                <w:color w:val="000000" w:themeColor="text1"/>
                <w:sz w:val="24"/>
                <w:szCs w:val="24"/>
              </w:rPr>
              <w:t>。</w:t>
            </w:r>
          </w:p>
          <w:p>
            <w:pPr>
              <w:spacing w:line="360" w:lineRule="auto"/>
              <w:rPr>
                <w:color w:val="000000" w:themeColor="text1"/>
                <w:sz w:val="24"/>
                <w:szCs w:val="24"/>
              </w:rPr>
            </w:pPr>
            <w:r>
              <w:rPr>
                <w:rFonts w:hint="eastAsia"/>
                <w:color w:val="000000" w:themeColor="text1"/>
                <w:sz w:val="24"/>
                <w:szCs w:val="24"/>
              </w:rPr>
              <w:t>当投标人的评审价低于招标控制价相应价格的</w:t>
            </w:r>
            <w:r>
              <w:rPr>
                <w:color w:val="000000" w:themeColor="text1"/>
                <w:sz w:val="24"/>
                <w:szCs w:val="24"/>
              </w:rPr>
              <w:t>85%</w:t>
            </w:r>
            <w:r>
              <w:rPr>
                <w:rFonts w:hint="eastAsia"/>
                <w:color w:val="000000" w:themeColor="text1"/>
                <w:sz w:val="24"/>
                <w:szCs w:val="24"/>
              </w:rPr>
              <w:t>时，投标人应在投标报价中对其低报价进行说明，阐明理由和依据，并在投标文件中附相关证明材料。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lang w:val="en-US"/>
              </w:rPr>
              <w:t>8</w:t>
            </w:r>
            <w:r>
              <w:rPr>
                <w:color w:val="000000" w:themeColor="text1"/>
                <w:sz w:val="24"/>
                <w:szCs w:val="24"/>
              </w:rPr>
              <w:t>.</w:t>
            </w:r>
            <w:r>
              <w:rPr>
                <w:color w:val="000000" w:themeColor="text1"/>
                <w:sz w:val="24"/>
                <w:szCs w:val="24"/>
                <w:lang w:val="en-US"/>
              </w:rPr>
              <w:t>3</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中标价</w:t>
            </w:r>
          </w:p>
        </w:tc>
        <w:tc>
          <w:tcPr>
            <w:tcW w:w="6027" w:type="dxa"/>
            <w:vAlign w:val="center"/>
          </w:tcPr>
          <w:p>
            <w:pPr>
              <w:spacing w:line="360" w:lineRule="auto"/>
              <w:rPr>
                <w:color w:val="000000" w:themeColor="text1"/>
                <w:sz w:val="24"/>
                <w:szCs w:val="24"/>
              </w:rPr>
            </w:pPr>
            <w:r>
              <w:rPr>
                <w:rFonts w:hint="eastAsia"/>
                <w:color w:val="000000" w:themeColor="text1"/>
                <w:sz w:val="24"/>
                <w:szCs w:val="24"/>
              </w:rPr>
              <w:t>以中标的投标人在投标函中的投标报价为准。按第三章“评标办法”</w:t>
            </w:r>
            <w:r>
              <w:rPr>
                <w:color w:val="000000" w:themeColor="text1"/>
                <w:sz w:val="24"/>
                <w:szCs w:val="24"/>
              </w:rPr>
              <w:t>3.1.3</w:t>
            </w:r>
            <w:r>
              <w:rPr>
                <w:rFonts w:hint="eastAsia"/>
                <w:color w:val="000000" w:themeColor="text1"/>
                <w:sz w:val="24"/>
                <w:szCs w:val="24"/>
              </w:rPr>
              <w:t>对投标报价进行修正的，以投标人接受的修正价格为中标价。</w:t>
            </w:r>
          </w:p>
          <w:p>
            <w:pPr>
              <w:spacing w:line="360" w:lineRule="auto"/>
              <w:rPr>
                <w:color w:val="000000" w:themeColor="text1"/>
                <w:sz w:val="24"/>
                <w:szCs w:val="24"/>
              </w:rPr>
            </w:pPr>
            <w:r>
              <w:rPr>
                <w:rFonts w:hint="eastAsia"/>
                <w:color w:val="000000" w:themeColor="text1"/>
                <w:sz w:val="24"/>
                <w:szCs w:val="24"/>
              </w:rPr>
              <w:t>无论是采用综合评估法还是经评审的</w:t>
            </w:r>
            <w:r>
              <w:rPr>
                <w:rFonts w:hint="eastAsia"/>
                <w:color w:val="000000" w:themeColor="text1"/>
                <w:sz w:val="24"/>
                <w:szCs w:val="24"/>
                <w:lang w:val="en-US"/>
              </w:rPr>
              <w:t>合理低</w:t>
            </w:r>
            <w:r>
              <w:rPr>
                <w:rFonts w:hint="eastAsia"/>
                <w:color w:val="000000" w:themeColor="text1"/>
                <w:sz w:val="24"/>
                <w:szCs w:val="24"/>
              </w:rPr>
              <w:t>价法，不保证报价最低的投标人中标，也不解释原因。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lang w:val="en-US"/>
              </w:rPr>
              <w:t>8</w:t>
            </w:r>
            <w:r>
              <w:rPr>
                <w:color w:val="000000" w:themeColor="text1"/>
                <w:sz w:val="24"/>
                <w:szCs w:val="24"/>
              </w:rPr>
              <w:t>.</w:t>
            </w:r>
            <w:r>
              <w:rPr>
                <w:color w:val="000000" w:themeColor="text1"/>
                <w:sz w:val="24"/>
                <w:szCs w:val="24"/>
                <w:lang w:val="en-US"/>
              </w:rPr>
              <w:t>4</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确定中标人</w:t>
            </w:r>
          </w:p>
        </w:tc>
        <w:tc>
          <w:tcPr>
            <w:tcW w:w="6027" w:type="dxa"/>
            <w:vAlign w:val="center"/>
          </w:tcPr>
          <w:p>
            <w:pPr>
              <w:spacing w:line="360" w:lineRule="auto"/>
              <w:rPr>
                <w:color w:val="000000" w:themeColor="text1"/>
                <w:sz w:val="24"/>
                <w:szCs w:val="24"/>
              </w:rPr>
            </w:pPr>
            <w:r>
              <w:rPr>
                <w:rFonts w:hint="eastAsia"/>
                <w:color w:val="000000" w:themeColor="text1"/>
                <w:sz w:val="24"/>
                <w:szCs w:val="24"/>
              </w:rPr>
              <w:t>如投标人被推荐为第一中标候选人的多个标段配置了相同的项目经理或技术负责人，则按如下方式选择其中一个标段作为中标人：</w:t>
            </w:r>
          </w:p>
          <w:p>
            <w:pPr>
              <w:spacing w:line="360" w:lineRule="auto"/>
              <w:rPr>
                <w:color w:val="000000" w:themeColor="text1"/>
                <w:sz w:val="24"/>
                <w:szCs w:val="24"/>
              </w:rPr>
            </w:pPr>
            <w:r>
              <w:rPr>
                <w:rFonts w:hint="eastAsia"/>
                <w:color w:val="000000" w:themeColor="text1"/>
                <w:sz w:val="24"/>
                <w:szCs w:val="24"/>
              </w:rPr>
              <w:t>□由投标人选择中标的合同段，选择原则为：</w:t>
            </w:r>
            <w:r>
              <w:rPr>
                <w:color w:val="000000" w:themeColor="text1"/>
                <w:sz w:val="24"/>
                <w:szCs w:val="24"/>
                <w:u w:val="single"/>
              </w:rPr>
              <w:t xml:space="preserve">       </w:t>
            </w:r>
            <w:r>
              <w:rPr>
                <w:rFonts w:hint="eastAsia"/>
                <w:color w:val="000000" w:themeColor="text1"/>
                <w:sz w:val="24"/>
                <w:szCs w:val="24"/>
              </w:rPr>
              <w:t>。</w:t>
            </w:r>
          </w:p>
          <w:p>
            <w:pPr>
              <w:spacing w:line="360" w:lineRule="auto"/>
              <w:rPr>
                <w:color w:val="000000" w:themeColor="text1"/>
                <w:sz w:val="24"/>
                <w:szCs w:val="24"/>
              </w:rPr>
            </w:pPr>
            <w:r>
              <w:rPr>
                <w:rFonts w:hint="eastAsia"/>
                <w:color w:val="000000" w:themeColor="text1"/>
                <w:sz w:val="24"/>
                <w:szCs w:val="24"/>
              </w:rPr>
              <w:t>□由招标人选择中标的合同段，选择原则为：</w:t>
            </w:r>
            <w:r>
              <w:rPr>
                <w:color w:val="000000" w:themeColor="text1"/>
                <w:sz w:val="24"/>
                <w:szCs w:val="24"/>
                <w:u w:val="single"/>
              </w:rPr>
              <w:t xml:space="preserve">       </w:t>
            </w:r>
            <w:r>
              <w:rPr>
                <w:rFonts w:hint="eastAsia"/>
                <w:color w:val="000000" w:themeColor="text1"/>
                <w:sz w:val="24"/>
                <w:szCs w:val="24"/>
              </w:rPr>
              <w:t>。</w:t>
            </w:r>
          </w:p>
          <w:p>
            <w:pPr>
              <w:spacing w:line="360" w:lineRule="auto"/>
              <w:ind w:firstLine="240" w:firstLineChars="100"/>
              <w:rPr>
                <w:color w:val="000000" w:themeColor="text1"/>
                <w:sz w:val="24"/>
                <w:szCs w:val="24"/>
              </w:rPr>
            </w:pPr>
            <w:r>
              <w:rPr>
                <w:rFonts w:hint="eastAsia"/>
                <w:color w:val="000000" w:themeColor="text1"/>
                <w:sz w:val="24"/>
                <w:szCs w:val="24"/>
              </w:rPr>
              <w:t>注：（</w:t>
            </w:r>
            <w:r>
              <w:rPr>
                <w:color w:val="000000" w:themeColor="text1"/>
                <w:sz w:val="24"/>
                <w:szCs w:val="24"/>
              </w:rPr>
              <w:t>1</w:t>
            </w:r>
            <w:r>
              <w:rPr>
                <w:rFonts w:hint="eastAsia"/>
                <w:color w:val="000000" w:themeColor="text1"/>
                <w:sz w:val="24"/>
                <w:szCs w:val="24"/>
              </w:rPr>
              <w:t>）根据《中华人民共和国招标投标法实施条例》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rPr>
                <w:color w:val="000000" w:themeColor="text1"/>
                <w:sz w:val="24"/>
                <w:szCs w:val="24"/>
              </w:rPr>
            </w:pPr>
            <w:r>
              <w:rPr>
                <w:color w:val="000000" w:themeColor="text1"/>
                <w:sz w:val="24"/>
                <w:szCs w:val="24"/>
              </w:rPr>
              <w:t xml:space="preserve">  </w:t>
            </w: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）根据《工程建设项目施工招标投标办法》（七部委</w:t>
            </w:r>
            <w:r>
              <w:rPr>
                <w:color w:val="000000" w:themeColor="text1"/>
                <w:sz w:val="24"/>
                <w:szCs w:val="24"/>
              </w:rPr>
              <w:t>30</w:t>
            </w:r>
            <w:r>
              <w:rPr>
                <w:rFonts w:hint="eastAsia"/>
                <w:color w:val="000000" w:themeColor="text1"/>
                <w:sz w:val="24"/>
                <w:szCs w:val="24"/>
              </w:rPr>
              <w:t>号令，</w:t>
            </w:r>
            <w:r>
              <w:rPr>
                <w:rFonts w:hint="eastAsia"/>
                <w:color w:val="000000" w:themeColor="text1"/>
                <w:sz w:val="24"/>
                <w:szCs w:val="24"/>
                <w:lang w:val="en-US"/>
              </w:rPr>
              <w:t>九部委第</w:t>
            </w:r>
            <w:r>
              <w:rPr>
                <w:color w:val="000000" w:themeColor="text1"/>
                <w:sz w:val="24"/>
                <w:szCs w:val="24"/>
                <w:lang w:val="en-US"/>
              </w:rPr>
              <w:t>23</w:t>
            </w:r>
            <w:r>
              <w:rPr>
                <w:rFonts w:hint="eastAsia"/>
                <w:color w:val="000000" w:themeColor="text1"/>
                <w:sz w:val="24"/>
                <w:szCs w:val="24"/>
                <w:lang w:val="en-US"/>
              </w:rPr>
              <w:t>号令修改</w:t>
            </w:r>
            <w:r>
              <w:rPr>
                <w:rFonts w:hint="eastAsia"/>
                <w:color w:val="000000" w:themeColor="text1"/>
                <w:sz w:val="24"/>
                <w:szCs w:val="24"/>
              </w:rPr>
              <w:t>）第五十八条，国有资金占控股或者主导地位的依法必须进行招标的项目，招标人应当确定排名第一的中标候选人为中标人。排名第一的中标候选人放弃中标、因不可抗力提出不能履行合同、不按照招标文件的要求提交履约保证金，或者被查实存在影响中标结果的违法行为等情形，不符合中标条件的，招标人可以按照评标委员会提出的中标候选人名单排序依次确定其他中标候选人为中标人。依次确定其他中标候选人与招标人预期差距较大，或者对招标人明显不利的，招标人可以重新招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lang w:val="en-US"/>
              </w:rPr>
              <w:t>8</w:t>
            </w:r>
            <w:r>
              <w:rPr>
                <w:color w:val="000000" w:themeColor="text1"/>
                <w:sz w:val="24"/>
                <w:szCs w:val="24"/>
              </w:rPr>
              <w:t>.</w:t>
            </w:r>
            <w:r>
              <w:rPr>
                <w:color w:val="000000" w:themeColor="text1"/>
                <w:sz w:val="24"/>
                <w:szCs w:val="24"/>
                <w:lang w:val="en-US"/>
              </w:rPr>
              <w:t>5</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合同履行过程中物价波动引起的价格调整</w:t>
            </w:r>
          </w:p>
        </w:tc>
        <w:tc>
          <w:tcPr>
            <w:tcW w:w="6027" w:type="dxa"/>
            <w:vAlign w:val="center"/>
          </w:tcPr>
          <w:p>
            <w:pPr>
              <w:spacing w:line="360" w:lineRule="auto"/>
              <w:rPr>
                <w:color w:val="000000" w:themeColor="text1"/>
                <w:sz w:val="24"/>
                <w:szCs w:val="24"/>
              </w:rPr>
            </w:pPr>
            <w:r>
              <w:rPr>
                <w:rFonts w:hint="eastAsia"/>
                <w:color w:val="000000" w:themeColor="text1"/>
                <w:sz w:val="24"/>
                <w:szCs w:val="24"/>
              </w:rPr>
              <w:t>□可以调整。按第四章“合同条款及格式”处理。</w:t>
            </w:r>
          </w:p>
          <w:p>
            <w:pPr>
              <w:spacing w:line="360" w:lineRule="auto"/>
              <w:rPr>
                <w:color w:val="000000" w:themeColor="text1"/>
                <w:sz w:val="24"/>
                <w:szCs w:val="24"/>
              </w:rPr>
            </w:pPr>
            <w:r>
              <w:rPr>
                <w:rFonts w:hint="eastAsia"/>
                <w:color w:val="000000" w:themeColor="text1"/>
                <w:sz w:val="24"/>
                <w:szCs w:val="24"/>
              </w:rPr>
              <w:t>□不可以调整。在履行合同时，应按照合同约定的单价和价格作价进行支付，即投标报价表中标明的单价和价格在合同执行过程中是固定不变的，不因物价波动而调整，风险和收益由承包人自行承担。但因法律变化引起的价格调整除外。</w:t>
            </w:r>
          </w:p>
          <w:p>
            <w:pPr>
              <w:spacing w:line="360" w:lineRule="auto"/>
              <w:ind w:firstLine="240" w:firstLineChars="100"/>
              <w:rPr>
                <w:color w:val="000000" w:themeColor="text1"/>
                <w:sz w:val="24"/>
                <w:szCs w:val="24"/>
              </w:rPr>
            </w:pPr>
            <w:r>
              <w:rPr>
                <w:rFonts w:hint="eastAsia"/>
                <w:color w:val="000000" w:themeColor="text1"/>
                <w:sz w:val="24"/>
                <w:szCs w:val="24"/>
              </w:rPr>
              <w:t>注：（</w:t>
            </w:r>
            <w:r>
              <w:rPr>
                <w:color w:val="000000" w:themeColor="text1"/>
                <w:sz w:val="24"/>
                <w:szCs w:val="24"/>
              </w:rPr>
              <w:t>1</w:t>
            </w:r>
            <w:r>
              <w:rPr>
                <w:rFonts w:hint="eastAsia"/>
                <w:color w:val="000000" w:themeColor="text1"/>
                <w:sz w:val="24"/>
                <w:szCs w:val="24"/>
              </w:rPr>
              <w:t>）《工程建设项目施工招标投标办法》（七部委</w:t>
            </w:r>
            <w:r>
              <w:rPr>
                <w:color w:val="000000" w:themeColor="text1"/>
                <w:sz w:val="24"/>
                <w:szCs w:val="24"/>
              </w:rPr>
              <w:t>30</w:t>
            </w:r>
            <w:r>
              <w:rPr>
                <w:rFonts w:hint="eastAsia"/>
                <w:color w:val="000000" w:themeColor="text1"/>
                <w:sz w:val="24"/>
                <w:szCs w:val="24"/>
              </w:rPr>
              <w:t>号令</w:t>
            </w:r>
            <w:r>
              <w:rPr>
                <w:color w:val="000000" w:themeColor="text1"/>
                <w:sz w:val="24"/>
                <w:szCs w:val="24"/>
              </w:rPr>
              <w:t>)</w:t>
            </w:r>
            <w:r>
              <w:rPr>
                <w:rFonts w:hint="eastAsia"/>
                <w:color w:val="000000" w:themeColor="text1"/>
                <w:sz w:val="24"/>
                <w:szCs w:val="24"/>
              </w:rPr>
              <w:t>第三十条：“施工招标项目工期较长的，招标文件中可以规定工程造价指数体系、价格调整因素和调整方法。”</w:t>
            </w:r>
          </w:p>
          <w:p>
            <w:pPr>
              <w:spacing w:line="360" w:lineRule="auto"/>
              <w:rPr>
                <w:color w:val="000000" w:themeColor="text1"/>
                <w:sz w:val="24"/>
                <w:szCs w:val="24"/>
              </w:rPr>
            </w:pPr>
            <w:r>
              <w:rPr>
                <w:rFonts w:hint="eastAsia"/>
                <w:color w:val="000000" w:themeColor="text1"/>
                <w:sz w:val="24"/>
                <w:szCs w:val="24"/>
              </w:rPr>
              <w:t>（</w:t>
            </w:r>
            <w:r>
              <w:rPr>
                <w:color w:val="000000" w:themeColor="text1"/>
                <w:sz w:val="24"/>
                <w:szCs w:val="24"/>
              </w:rPr>
              <w:t>2</w:t>
            </w:r>
            <w:r>
              <w:rPr>
                <w:rFonts w:hint="eastAsia"/>
                <w:color w:val="000000" w:themeColor="text1"/>
                <w:sz w:val="24"/>
                <w:szCs w:val="24"/>
              </w:rPr>
              <w:t>）《建设工程工程量清单计价规范》（</w:t>
            </w:r>
            <w:r>
              <w:rPr>
                <w:color w:val="000000" w:themeColor="text1"/>
                <w:sz w:val="24"/>
                <w:szCs w:val="24"/>
              </w:rPr>
              <w:t>GB50500-2013</w:t>
            </w:r>
            <w:r>
              <w:rPr>
                <w:rFonts w:hint="eastAsia"/>
                <w:color w:val="000000" w:themeColor="text1"/>
                <w:sz w:val="24"/>
                <w:szCs w:val="24"/>
              </w:rPr>
              <w:t>）第</w:t>
            </w:r>
            <w:r>
              <w:rPr>
                <w:color w:val="000000" w:themeColor="text1"/>
                <w:sz w:val="24"/>
                <w:szCs w:val="24"/>
              </w:rPr>
              <w:t>3.4.1</w:t>
            </w:r>
            <w:r>
              <w:rPr>
                <w:rFonts w:hint="eastAsia"/>
                <w:color w:val="000000" w:themeColor="text1"/>
                <w:sz w:val="24"/>
                <w:szCs w:val="24"/>
              </w:rPr>
              <w:t>条：“建设工程承发包，必须在招标文件、合同中明确计价中的风险内容及其范围，不得采用无限风险、所有风险或类似语句规定计价中的风险内容及范围。”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lang w:val="en-US"/>
              </w:rPr>
              <w:t>8</w:t>
            </w:r>
            <w:r>
              <w:rPr>
                <w:color w:val="000000" w:themeColor="text1"/>
                <w:sz w:val="24"/>
                <w:szCs w:val="24"/>
              </w:rPr>
              <w:t>.</w:t>
            </w:r>
            <w:r>
              <w:rPr>
                <w:color w:val="000000" w:themeColor="text1"/>
                <w:sz w:val="24"/>
                <w:szCs w:val="24"/>
                <w:lang w:val="en-US"/>
              </w:rPr>
              <w:t>6</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严禁转包和违法分包</w:t>
            </w:r>
          </w:p>
        </w:tc>
        <w:tc>
          <w:tcPr>
            <w:tcW w:w="6027" w:type="dxa"/>
            <w:vAlign w:val="center"/>
          </w:tcPr>
          <w:p>
            <w:pPr>
              <w:spacing w:line="360" w:lineRule="auto"/>
              <w:rPr>
                <w:color w:val="000000" w:themeColor="text1"/>
                <w:sz w:val="24"/>
                <w:szCs w:val="24"/>
              </w:rPr>
            </w:pPr>
            <w:r>
              <w:rPr>
                <w:rFonts w:hint="eastAsia"/>
                <w:color w:val="000000" w:themeColor="text1"/>
                <w:sz w:val="24"/>
                <w:szCs w:val="24"/>
              </w:rPr>
              <w:t>中标人在合同履行中，不得存在《建筑工程施工发包与承包违法行为认定查处管理办法》（建市规〔</w:t>
            </w:r>
            <w:r>
              <w:rPr>
                <w:color w:val="000000" w:themeColor="text1"/>
                <w:sz w:val="24"/>
                <w:szCs w:val="24"/>
              </w:rPr>
              <w:t>2019</w:t>
            </w:r>
            <w:r>
              <w:rPr>
                <w:rFonts w:hint="eastAsia"/>
                <w:color w:val="000000" w:themeColor="text1"/>
                <w:sz w:val="24"/>
                <w:szCs w:val="24"/>
              </w:rPr>
              <w:t>〕</w:t>
            </w:r>
            <w:r>
              <w:rPr>
                <w:color w:val="000000" w:themeColor="text1"/>
                <w:sz w:val="24"/>
                <w:szCs w:val="24"/>
              </w:rPr>
              <w:t>1</w:t>
            </w:r>
            <w:r>
              <w:rPr>
                <w:rFonts w:hint="eastAsia"/>
                <w:color w:val="000000" w:themeColor="text1"/>
                <w:sz w:val="24"/>
                <w:szCs w:val="24"/>
              </w:rPr>
              <w:t>号）规定的转包和违法分包的情形。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lang w:val="en-US"/>
              </w:rPr>
              <w:t>8</w:t>
            </w:r>
            <w:r>
              <w:rPr>
                <w:color w:val="000000" w:themeColor="text1"/>
                <w:sz w:val="24"/>
                <w:szCs w:val="24"/>
              </w:rPr>
              <w:t>.</w:t>
            </w:r>
            <w:r>
              <w:rPr>
                <w:color w:val="000000" w:themeColor="text1"/>
                <w:sz w:val="24"/>
                <w:szCs w:val="24"/>
                <w:lang w:val="en-US"/>
              </w:rPr>
              <w:t>7</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招标文件内容冲突的解决及优先适用次序</w:t>
            </w:r>
          </w:p>
        </w:tc>
        <w:tc>
          <w:tcPr>
            <w:tcW w:w="6027" w:type="dxa"/>
            <w:vAlign w:val="center"/>
          </w:tcPr>
          <w:p>
            <w:pPr>
              <w:spacing w:line="360" w:lineRule="auto"/>
              <w:rPr>
                <w:color w:val="000000" w:themeColor="text1"/>
                <w:sz w:val="24"/>
                <w:szCs w:val="24"/>
              </w:rPr>
            </w:pPr>
            <w:r>
              <w:rPr>
                <w:rFonts w:hint="eastAsia"/>
                <w:color w:val="000000" w:themeColor="text1"/>
                <w:sz w:val="24"/>
                <w:szCs w:val="24"/>
              </w:rPr>
              <w:t>招标文件中招标人编制的内容前后有矛盾或不一致，有时间先后顺序的，以时间在后的修改、澄清或补正文件为准；没有时间先后顺序的，以公平的原则进行处理。投标人须知前附表和招标文件中“注”的内容与正文不一致时，以投标人须知前附表和招标文件中“注”的内容为准。</w:t>
            </w:r>
          </w:p>
          <w:p>
            <w:pPr>
              <w:spacing w:line="360" w:lineRule="auto"/>
              <w:rPr>
                <w:color w:val="000000" w:themeColor="text1"/>
                <w:sz w:val="24"/>
                <w:szCs w:val="24"/>
              </w:rPr>
            </w:pPr>
            <w:r>
              <w:rPr>
                <w:rFonts w:hint="eastAsia"/>
                <w:color w:val="000000" w:themeColor="text1"/>
                <w:sz w:val="24"/>
                <w:szCs w:val="24"/>
              </w:rPr>
              <w:t>对招标文件的内容理解有争议的，由招标人按照招标文件所使用的词句、招标文件的有关条款、招标的目的、习惯以及诚实信用原则，确定该条款的真实意思，有两种以上解释的，作出不利于招标人一方的解释。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lang w:val="en-US"/>
              </w:rPr>
              <w:t>8</w:t>
            </w:r>
            <w:r>
              <w:rPr>
                <w:color w:val="000000" w:themeColor="text1"/>
                <w:sz w:val="24"/>
                <w:szCs w:val="24"/>
              </w:rPr>
              <w:t>.</w:t>
            </w:r>
            <w:r>
              <w:rPr>
                <w:color w:val="000000" w:themeColor="text1"/>
                <w:sz w:val="24"/>
                <w:szCs w:val="24"/>
                <w:lang w:val="en-US"/>
              </w:rPr>
              <w:t>8</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投标文件的真实性要求</w:t>
            </w:r>
          </w:p>
        </w:tc>
        <w:tc>
          <w:tcPr>
            <w:tcW w:w="6027" w:type="dxa"/>
            <w:vAlign w:val="center"/>
          </w:tcPr>
          <w:p>
            <w:pPr>
              <w:spacing w:line="360" w:lineRule="auto"/>
              <w:rPr>
                <w:color w:val="000000" w:themeColor="text1"/>
                <w:sz w:val="24"/>
                <w:szCs w:val="24"/>
              </w:rPr>
            </w:pPr>
            <w:r>
              <w:rPr>
                <w:rFonts w:hint="eastAsia"/>
                <w:color w:val="000000" w:themeColor="text1"/>
                <w:sz w:val="24"/>
                <w:szCs w:val="24"/>
              </w:rPr>
              <w:t>投标人所递交的投标文件（包括有关资料、澄清）应不存在弄虚作假或隐瞒。</w:t>
            </w:r>
          </w:p>
          <w:p>
            <w:pPr>
              <w:spacing w:line="360" w:lineRule="auto"/>
              <w:rPr>
                <w:color w:val="000000" w:themeColor="text1"/>
                <w:sz w:val="24"/>
                <w:szCs w:val="24"/>
              </w:rPr>
            </w:pPr>
            <w:r>
              <w:rPr>
                <w:rFonts w:hint="eastAsia"/>
                <w:color w:val="000000" w:themeColor="text1"/>
                <w:sz w:val="24"/>
                <w:szCs w:val="24"/>
              </w:rPr>
              <w:t>投标人声明不存在限制投标情形但被发现存在限制投标情形的，属于隐瞒情形（单位负责人为同一人或者存在控股、管理关系的不同单位，在同一标段投标或者未划分标段的同一招标项目投标，若投标人在投标文件中已填报上述信息的，不属于隐瞒情形）。</w:t>
            </w:r>
          </w:p>
          <w:p>
            <w:pPr>
              <w:spacing w:line="360" w:lineRule="auto"/>
              <w:rPr>
                <w:color w:val="000000" w:themeColor="text1"/>
                <w:sz w:val="24"/>
                <w:szCs w:val="24"/>
              </w:rPr>
            </w:pPr>
            <w:r>
              <w:rPr>
                <w:rFonts w:hint="eastAsia"/>
                <w:color w:val="000000" w:themeColor="text1"/>
                <w:sz w:val="24"/>
                <w:szCs w:val="24"/>
              </w:rPr>
              <w:t>如投标文件存在弄虚作假或隐瞒，在评标阶段发现的，评标委员会应将该投标文件作否决投标处理；中标候选人确定后发现的，招标人可以取消中标候选人或中标人资格。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lang w:val="en-US"/>
              </w:rPr>
              <w:t>8</w:t>
            </w:r>
            <w:r>
              <w:rPr>
                <w:color w:val="000000" w:themeColor="text1"/>
                <w:sz w:val="24"/>
                <w:szCs w:val="24"/>
              </w:rPr>
              <w:t>.</w:t>
            </w:r>
            <w:r>
              <w:rPr>
                <w:color w:val="000000" w:themeColor="text1"/>
                <w:sz w:val="24"/>
                <w:szCs w:val="24"/>
                <w:lang w:val="en-US"/>
              </w:rPr>
              <w:t>9</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知识产权</w:t>
            </w:r>
          </w:p>
        </w:tc>
        <w:tc>
          <w:tcPr>
            <w:tcW w:w="6027" w:type="dxa"/>
            <w:vAlign w:val="center"/>
          </w:tcPr>
          <w:p>
            <w:pPr>
              <w:spacing w:line="360" w:lineRule="auto"/>
              <w:rPr>
                <w:color w:val="000000" w:themeColor="text1"/>
                <w:sz w:val="24"/>
                <w:szCs w:val="24"/>
              </w:rPr>
            </w:pPr>
            <w:r>
              <w:rPr>
                <w:rFonts w:hint="eastAsia"/>
                <w:color w:val="000000" w:themeColor="text1"/>
                <w:sz w:val="24"/>
                <w:szCs w:val="24"/>
              </w:rPr>
              <w:t>构成本招标文件的各组成部分，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lang w:val="en-US"/>
              </w:rPr>
              <w:t>8</w:t>
            </w:r>
            <w:r>
              <w:rPr>
                <w:color w:val="000000" w:themeColor="text1"/>
                <w:sz w:val="24"/>
                <w:szCs w:val="24"/>
              </w:rPr>
              <w:t>.1</w:t>
            </w:r>
            <w:r>
              <w:rPr>
                <w:color w:val="000000" w:themeColor="text1"/>
                <w:sz w:val="24"/>
                <w:szCs w:val="24"/>
                <w:lang w:val="en-US"/>
              </w:rPr>
              <w:t>0</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中标候选人公示媒介及期限</w:t>
            </w:r>
          </w:p>
        </w:tc>
        <w:tc>
          <w:tcPr>
            <w:tcW w:w="6027" w:type="dxa"/>
            <w:vAlign w:val="center"/>
          </w:tcPr>
          <w:p>
            <w:pPr>
              <w:spacing w:line="360" w:lineRule="auto"/>
              <w:rPr>
                <w:color w:val="000000" w:themeColor="text1"/>
                <w:sz w:val="24"/>
                <w:szCs w:val="24"/>
              </w:rPr>
            </w:pPr>
            <w:r>
              <w:rPr>
                <w:rFonts w:hint="eastAsia"/>
                <w:color w:val="000000" w:themeColor="text1"/>
                <w:sz w:val="24"/>
                <w:szCs w:val="24"/>
              </w:rPr>
              <w:t>公示媒介：同招标公告发布媒介</w:t>
            </w:r>
          </w:p>
          <w:p>
            <w:pPr>
              <w:spacing w:line="360" w:lineRule="auto"/>
              <w:rPr>
                <w:color w:val="000000" w:themeColor="text1"/>
                <w:sz w:val="24"/>
                <w:szCs w:val="24"/>
              </w:rPr>
            </w:pPr>
            <w:r>
              <w:rPr>
                <w:rFonts w:hint="eastAsia"/>
                <w:color w:val="000000" w:themeColor="text1"/>
                <w:sz w:val="24"/>
                <w:szCs w:val="24"/>
              </w:rPr>
              <w:t>公示期限：</w:t>
            </w:r>
            <w:r>
              <w:rPr>
                <w:color w:val="000000" w:themeColor="text1"/>
                <w:sz w:val="24"/>
                <w:szCs w:val="24"/>
              </w:rPr>
              <w:t>3</w:t>
            </w:r>
            <w:r>
              <w:rPr>
                <w:rFonts w:hint="eastAsia"/>
                <w:color w:val="000000" w:themeColor="text1"/>
                <w:sz w:val="24"/>
                <w:szCs w:val="24"/>
              </w:rPr>
              <w:t>个工作日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color w:val="000000" w:themeColor="text1"/>
                <w:sz w:val="24"/>
                <w:szCs w:val="24"/>
                <w:lang w:val="en-US"/>
              </w:rPr>
              <w:t>8</w:t>
            </w:r>
            <w:r>
              <w:rPr>
                <w:color w:val="000000" w:themeColor="text1"/>
                <w:sz w:val="24"/>
                <w:szCs w:val="24"/>
              </w:rPr>
              <w:t>.1</w:t>
            </w:r>
            <w:r>
              <w:rPr>
                <w:color w:val="000000" w:themeColor="text1"/>
                <w:sz w:val="24"/>
                <w:szCs w:val="24"/>
                <w:lang w:val="en-US"/>
              </w:rPr>
              <w:t>1</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类似项目</w:t>
            </w:r>
          </w:p>
        </w:tc>
        <w:tc>
          <w:tcPr>
            <w:tcW w:w="6027" w:type="dxa"/>
            <w:vAlign w:val="center"/>
          </w:tcPr>
          <w:p>
            <w:pPr>
              <w:spacing w:line="360" w:lineRule="auto"/>
              <w:rPr>
                <w:color w:val="000000" w:themeColor="text1"/>
                <w:sz w:val="24"/>
                <w:szCs w:val="24"/>
              </w:rPr>
            </w:pPr>
            <w:r>
              <w:rPr>
                <w:rFonts w:hint="eastAsia"/>
                <w:color w:val="000000" w:themeColor="text1"/>
                <w:sz w:val="24"/>
                <w:szCs w:val="24"/>
              </w:rPr>
              <w:t>类似项目是指：</w:t>
            </w:r>
            <w:r>
              <w:rPr>
                <w:color w:val="000000" w:themeColor="text1"/>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lang w:val="en-US"/>
              </w:rPr>
            </w:pPr>
            <w:r>
              <w:rPr>
                <w:color w:val="000000" w:themeColor="text1"/>
                <w:sz w:val="24"/>
                <w:szCs w:val="24"/>
                <w:lang w:val="en-US"/>
              </w:rPr>
              <w:t>8</w:t>
            </w:r>
            <w:r>
              <w:rPr>
                <w:color w:val="000000" w:themeColor="text1"/>
                <w:sz w:val="24"/>
                <w:szCs w:val="24"/>
              </w:rPr>
              <w:t>.1</w:t>
            </w:r>
            <w:r>
              <w:rPr>
                <w:color w:val="000000" w:themeColor="text1"/>
                <w:sz w:val="24"/>
                <w:szCs w:val="24"/>
                <w:lang w:val="en-US"/>
              </w:rPr>
              <w:t>2</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不良行为记录</w:t>
            </w:r>
          </w:p>
        </w:tc>
        <w:tc>
          <w:tcPr>
            <w:tcW w:w="6027" w:type="dxa"/>
            <w:vAlign w:val="center"/>
          </w:tcPr>
          <w:p>
            <w:pPr>
              <w:spacing w:line="360" w:lineRule="auto"/>
              <w:rPr>
                <w:b/>
                <w:color w:val="000000" w:themeColor="text1"/>
                <w:sz w:val="24"/>
                <w:szCs w:val="24"/>
              </w:rPr>
            </w:pPr>
            <w:r>
              <w:rPr>
                <w:rFonts w:hint="eastAsia"/>
                <w:color w:val="000000" w:themeColor="text1"/>
                <w:sz w:val="24"/>
                <w:szCs w:val="24"/>
              </w:rPr>
              <w:t>按照投标人须知</w:t>
            </w:r>
            <w:r>
              <w:rPr>
                <w:color w:val="000000" w:themeColor="text1"/>
                <w:sz w:val="24"/>
                <w:szCs w:val="24"/>
                <w:lang w:val="en-US"/>
              </w:rPr>
              <w:t>1.4.3</w:t>
            </w:r>
            <w:r>
              <w:rPr>
                <w:rFonts w:hint="eastAsia"/>
                <w:color w:val="000000" w:themeColor="text1"/>
                <w:sz w:val="24"/>
                <w:szCs w:val="24"/>
                <w:lang w:val="en-US"/>
              </w:rPr>
              <w:t>条内容执行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lang w:val="en-US"/>
              </w:rPr>
            </w:pPr>
            <w:r>
              <w:rPr>
                <w:color w:val="000000" w:themeColor="text1"/>
                <w:sz w:val="24"/>
                <w:szCs w:val="24"/>
                <w:lang w:val="en-US"/>
              </w:rPr>
              <w:t>8</w:t>
            </w:r>
            <w:r>
              <w:rPr>
                <w:color w:val="000000" w:themeColor="text1"/>
                <w:sz w:val="24"/>
                <w:szCs w:val="24"/>
              </w:rPr>
              <w:t>.</w:t>
            </w:r>
            <w:r>
              <w:rPr>
                <w:color w:val="000000" w:themeColor="text1"/>
                <w:sz w:val="24"/>
                <w:szCs w:val="24"/>
                <w:lang w:val="en-US"/>
              </w:rPr>
              <w:t>13</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招标控制价</w:t>
            </w:r>
          </w:p>
        </w:tc>
        <w:tc>
          <w:tcPr>
            <w:tcW w:w="6027" w:type="dxa"/>
            <w:vAlign w:val="center"/>
          </w:tcPr>
          <w:p>
            <w:pPr>
              <w:spacing w:line="360" w:lineRule="auto"/>
              <w:rPr>
                <w:color w:val="000000" w:themeColor="text1"/>
                <w:sz w:val="24"/>
                <w:szCs w:val="24"/>
              </w:rPr>
            </w:pPr>
            <w:r>
              <w:rPr>
                <w:rFonts w:hint="eastAsia"/>
                <w:color w:val="000000" w:themeColor="text1"/>
                <w:sz w:val="24"/>
                <w:szCs w:val="24"/>
              </w:rPr>
              <w:t>招标控制价为：</w:t>
            </w:r>
            <w:r>
              <w:rPr>
                <w:color w:val="000000" w:themeColor="text1"/>
                <w:sz w:val="24"/>
                <w:szCs w:val="24"/>
                <w:u w:val="single"/>
              </w:rPr>
              <w:t xml:space="preserve">   </w:t>
            </w:r>
            <w:r>
              <w:rPr>
                <w:color w:val="000000" w:themeColor="text1"/>
                <w:sz w:val="24"/>
                <w:szCs w:val="24"/>
                <w:u w:val="single"/>
                <w:lang w:val="en-US"/>
              </w:rPr>
              <w:t xml:space="preserve">   </w:t>
            </w:r>
            <w:r>
              <w:rPr>
                <w:color w:val="000000" w:themeColor="text1"/>
                <w:sz w:val="24"/>
                <w:szCs w:val="24"/>
                <w:u w:val="single"/>
              </w:rPr>
              <w:t xml:space="preserve"> </w:t>
            </w:r>
            <w:r>
              <w:rPr>
                <w:rFonts w:hint="eastAsia"/>
                <w:color w:val="000000" w:themeColor="text1"/>
                <w:sz w:val="24"/>
                <w:szCs w:val="24"/>
              </w:rPr>
              <w:t>元（超过招标控制价的投标报价按无效投标处理）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Merge w:val="restart"/>
            <w:vAlign w:val="center"/>
          </w:tcPr>
          <w:p>
            <w:pPr>
              <w:spacing w:line="360" w:lineRule="auto"/>
              <w:jc w:val="center"/>
              <w:rPr>
                <w:color w:val="000000" w:themeColor="text1"/>
                <w:sz w:val="24"/>
                <w:szCs w:val="24"/>
                <w:lang w:val="en-US"/>
              </w:rPr>
            </w:pPr>
            <w:r>
              <w:rPr>
                <w:color w:val="000000" w:themeColor="text1"/>
                <w:sz w:val="24"/>
                <w:szCs w:val="24"/>
                <w:lang w:val="en-US"/>
              </w:rPr>
              <w:t>8</w:t>
            </w:r>
            <w:r>
              <w:rPr>
                <w:color w:val="000000" w:themeColor="text1"/>
                <w:sz w:val="24"/>
                <w:szCs w:val="24"/>
              </w:rPr>
              <w:t>.</w:t>
            </w:r>
            <w:r>
              <w:rPr>
                <w:color w:val="000000" w:themeColor="text1"/>
                <w:sz w:val="24"/>
                <w:szCs w:val="24"/>
                <w:lang w:val="en-US"/>
              </w:rPr>
              <w:t>14</w:t>
            </w:r>
          </w:p>
        </w:tc>
        <w:tc>
          <w:tcPr>
            <w:tcW w:w="2069" w:type="dxa"/>
            <w:vMerge w:val="restart"/>
            <w:vAlign w:val="center"/>
          </w:tcPr>
          <w:p>
            <w:pPr>
              <w:spacing w:line="360" w:lineRule="auto"/>
              <w:jc w:val="center"/>
              <w:rPr>
                <w:color w:val="000000" w:themeColor="text1"/>
                <w:sz w:val="24"/>
                <w:szCs w:val="24"/>
              </w:rPr>
            </w:pPr>
            <w:r>
              <w:rPr>
                <w:rFonts w:hint="eastAsia"/>
                <w:color w:val="000000" w:themeColor="text1"/>
                <w:sz w:val="24"/>
                <w:szCs w:val="24"/>
              </w:rPr>
              <w:t>开标会要求</w:t>
            </w:r>
          </w:p>
        </w:tc>
        <w:tc>
          <w:tcPr>
            <w:tcW w:w="6027" w:type="dxa"/>
            <w:vAlign w:val="center"/>
          </w:tcPr>
          <w:p>
            <w:pPr>
              <w:spacing w:line="360" w:lineRule="auto"/>
              <w:rPr>
                <w:color w:val="000000" w:themeColor="text1"/>
                <w:sz w:val="24"/>
                <w:szCs w:val="24"/>
              </w:rPr>
            </w:pPr>
            <w:r>
              <w:rPr>
                <w:rFonts w:hint="eastAsia"/>
                <w:color w:val="000000" w:themeColor="text1"/>
                <w:sz w:val="24"/>
                <w:szCs w:val="24"/>
              </w:rPr>
              <w:t>按照本须知第</w:t>
            </w:r>
            <w:r>
              <w:rPr>
                <w:color w:val="000000" w:themeColor="text1"/>
                <w:sz w:val="24"/>
                <w:szCs w:val="24"/>
              </w:rPr>
              <w:t xml:space="preserve"> 5.1 </w:t>
            </w:r>
            <w:r>
              <w:rPr>
                <w:rFonts w:hint="eastAsia"/>
                <w:color w:val="000000" w:themeColor="text1"/>
                <w:sz w:val="24"/>
                <w:szCs w:val="24"/>
              </w:rPr>
              <w:t>款的规定，招标人邀请所有投标人的法定代表人或其委托代理人参加开标会。投标人的法定代表人或其委托代理人应当按时参加开标会，并在招标人按开标程序进行点名时，向招标人提交法定代表人身份证明文件或法定代表人授权委托书，出示本人身份证，以证明其出席，否则，其投标文件</w:t>
            </w:r>
            <w:r>
              <w:rPr>
                <w:rFonts w:hint="eastAsia"/>
                <w:color w:val="000000" w:themeColor="text1"/>
                <w:sz w:val="24"/>
                <w:szCs w:val="24"/>
                <w:lang w:val="en-US"/>
              </w:rPr>
              <w:t>的所有开标结果按投标人已作默认</w:t>
            </w:r>
            <w:r>
              <w:rPr>
                <w:rFonts w:hint="eastAsia"/>
                <w:color w:val="000000" w:themeColor="text1"/>
                <w:sz w:val="24"/>
                <w:szCs w:val="24"/>
              </w:rPr>
              <w:t>处理（不见面开标项目除外）。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Merge w:val="continue"/>
            <w:vAlign w:val="center"/>
          </w:tcPr>
          <w:p>
            <w:pPr>
              <w:spacing w:line="360" w:lineRule="auto"/>
              <w:jc w:val="center"/>
              <w:rPr>
                <w:color w:val="000000" w:themeColor="text1"/>
                <w:sz w:val="24"/>
                <w:szCs w:val="24"/>
                <w:lang w:val="en-US"/>
              </w:rPr>
            </w:pPr>
          </w:p>
        </w:tc>
        <w:tc>
          <w:tcPr>
            <w:tcW w:w="2069" w:type="dxa"/>
            <w:vMerge w:val="continue"/>
            <w:vAlign w:val="center"/>
          </w:tcPr>
          <w:p>
            <w:pPr>
              <w:spacing w:line="360" w:lineRule="auto"/>
              <w:jc w:val="center"/>
              <w:rPr>
                <w:color w:val="000000" w:themeColor="text1"/>
                <w:sz w:val="24"/>
                <w:szCs w:val="24"/>
              </w:rPr>
            </w:pPr>
          </w:p>
        </w:tc>
        <w:tc>
          <w:tcPr>
            <w:tcW w:w="6027" w:type="dxa"/>
            <w:vAlign w:val="center"/>
          </w:tcPr>
          <w:p>
            <w:pPr>
              <w:spacing w:line="360" w:lineRule="auto"/>
              <w:rPr>
                <w:color w:val="000000" w:themeColor="text1"/>
                <w:sz w:val="24"/>
                <w:szCs w:val="24"/>
              </w:rPr>
            </w:pPr>
            <w:r>
              <w:rPr>
                <w:color w:val="000000" w:themeColor="text1"/>
                <w:sz w:val="24"/>
                <w:szCs w:val="24"/>
              </w:rPr>
              <w:t>1.</w:t>
            </w:r>
            <w:r>
              <w:rPr>
                <w:rFonts w:hint="eastAsia"/>
                <w:color w:val="000000" w:themeColor="text1"/>
                <w:sz w:val="24"/>
                <w:szCs w:val="24"/>
              </w:rPr>
              <w:t>投标人未按时登录不见面开标大厅，错过开标解密时间的，由投标人自行承担后果。</w:t>
            </w:r>
            <w:r>
              <w:rPr>
                <w:color w:val="000000" w:themeColor="text1"/>
                <w:sz w:val="24"/>
                <w:szCs w:val="24"/>
              </w:rPr>
              <w:t>2.</w:t>
            </w:r>
            <w:r>
              <w:rPr>
                <w:rFonts w:hint="eastAsia"/>
                <w:color w:val="000000" w:themeColor="text1"/>
                <w:sz w:val="24"/>
                <w:szCs w:val="24"/>
              </w:rPr>
              <w:t>投标文件未能在规定时间内成功解密的，视为投标人撤销其投标文件，由投标人自行承担责任。不见面开标项目不接受投标人现场递交光盘等形式的投标文件，不接受投标人现场解密投标文件。</w:t>
            </w:r>
            <w:r>
              <w:rPr>
                <w:color w:val="000000" w:themeColor="text1"/>
                <w:sz w:val="24"/>
                <w:szCs w:val="24"/>
              </w:rPr>
              <w:t>3.</w:t>
            </w:r>
            <w:r>
              <w:rPr>
                <w:rFonts w:hint="eastAsia"/>
                <w:color w:val="000000" w:themeColor="text1"/>
                <w:sz w:val="24"/>
                <w:szCs w:val="24"/>
              </w:rPr>
              <w:t>开标前或开标过程中因断电、断网、系统故障或其他不可抗力等因素导致不见面开标系统无法正常运行的，交易中心应启动应急措施，同时上报行业主管部门，根据招标人和行业主管部门的意见中止或延迟开标活动。</w:t>
            </w:r>
            <w:r>
              <w:rPr>
                <w:color w:val="000000" w:themeColor="text1"/>
                <w:sz w:val="24"/>
                <w:szCs w:val="24"/>
              </w:rPr>
              <w:t>4.</w:t>
            </w:r>
            <w:r>
              <w:rPr>
                <w:rFonts w:hint="eastAsia"/>
                <w:color w:val="000000" w:themeColor="text1"/>
                <w:sz w:val="24"/>
                <w:szCs w:val="24"/>
              </w:rPr>
              <w:t>不见面开标过程中，招标人（招标代理机构）、投标人和监督人等各方主体均应遵守互联网有关规定，不得发表与交易活动无关的言论。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lang w:val="en-US"/>
              </w:rPr>
            </w:pPr>
            <w:r>
              <w:rPr>
                <w:color w:val="000000" w:themeColor="text1"/>
                <w:sz w:val="24"/>
                <w:szCs w:val="24"/>
                <w:lang w:val="en-US"/>
              </w:rPr>
              <w:t>8</w:t>
            </w:r>
            <w:r>
              <w:rPr>
                <w:rFonts w:hint="eastAsia"/>
                <w:color w:val="000000" w:themeColor="text1"/>
                <w:sz w:val="24"/>
                <w:szCs w:val="24"/>
                <w:lang w:val="en-US"/>
              </w:rPr>
              <w:t>．</w:t>
            </w:r>
            <w:r>
              <w:rPr>
                <w:color w:val="000000" w:themeColor="text1"/>
                <w:sz w:val="24"/>
                <w:szCs w:val="24"/>
                <w:lang w:val="en-US"/>
              </w:rPr>
              <w:t>15</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承包方式</w:t>
            </w:r>
          </w:p>
        </w:tc>
        <w:tc>
          <w:tcPr>
            <w:tcW w:w="6027" w:type="dxa"/>
            <w:vAlign w:val="center"/>
          </w:tcPr>
          <w:p>
            <w:pPr>
              <w:spacing w:line="360" w:lineRule="auto"/>
              <w:rPr>
                <w:color w:val="000000" w:themeColor="text1"/>
                <w:sz w:val="24"/>
                <w:szCs w:val="24"/>
              </w:rPr>
            </w:pPr>
            <w:r>
              <w:rPr>
                <w:rFonts w:hint="eastAsia" w:hAnsi="Wingdings 2"/>
                <w:color w:val="000000" w:themeColor="text1"/>
                <w:sz w:val="24"/>
                <w:szCs w:val="24"/>
              </w:rPr>
              <w:sym w:font="Wingdings 2" w:char="F0A3"/>
            </w:r>
            <w:r>
              <w:rPr>
                <w:rFonts w:hint="eastAsia"/>
                <w:color w:val="000000" w:themeColor="text1"/>
                <w:sz w:val="24"/>
                <w:szCs w:val="24"/>
              </w:rPr>
              <w:t>固定总价合同：投标报价文件包含投标总价及综合单价时，投标总价为合同总价。合同总价在招标文件及施工合同约定的风险范围之内不予调整。</w:t>
            </w:r>
          </w:p>
          <w:p>
            <w:pPr>
              <w:spacing w:line="360" w:lineRule="auto"/>
              <w:rPr>
                <w:color w:val="000000" w:themeColor="text1"/>
                <w:sz w:val="24"/>
                <w:szCs w:val="24"/>
              </w:rPr>
            </w:pPr>
            <w:r>
              <w:rPr>
                <w:rFonts w:hint="eastAsia" w:hAnsi="Wingdings 2"/>
                <w:color w:val="000000" w:themeColor="text1"/>
                <w:sz w:val="24"/>
                <w:szCs w:val="24"/>
                <w:lang w:val="en-US"/>
              </w:rPr>
              <w:sym w:font="Wingdings 2" w:char="F0A3"/>
            </w:r>
            <w:r>
              <w:rPr>
                <w:rFonts w:hint="eastAsia"/>
                <w:color w:val="000000" w:themeColor="text1"/>
                <w:sz w:val="24"/>
                <w:szCs w:val="24"/>
                <w:lang w:val="en-US"/>
              </w:rPr>
              <w:t>固定单价合同：投标报价文件包含投标总价及</w:t>
            </w:r>
            <w:r>
              <w:rPr>
                <w:rFonts w:hint="eastAsia"/>
                <w:color w:val="000000" w:themeColor="text1"/>
                <w:sz w:val="24"/>
                <w:szCs w:val="24"/>
              </w:rPr>
              <w:t>及综合单价时，综合单价为合同单价。合同单价在招标文件及施工合同约定的风险范围之内不予调整。</w:t>
            </w:r>
          </w:p>
          <w:p>
            <w:pPr>
              <w:spacing w:line="360" w:lineRule="auto"/>
              <w:rPr>
                <w:color w:val="000000" w:themeColor="text1"/>
                <w:sz w:val="24"/>
                <w:szCs w:val="24"/>
              </w:rPr>
            </w:pPr>
            <w:r>
              <w:rPr>
                <w:rFonts w:hint="eastAsia" w:hAnsi="Wingdings 2"/>
                <w:color w:val="000000" w:themeColor="text1"/>
                <w:sz w:val="24"/>
                <w:szCs w:val="24"/>
                <w:lang w:val="en-US"/>
              </w:rPr>
              <w:sym w:font="Wingdings 2" w:char="F0A3"/>
            </w:r>
            <w:r>
              <w:rPr>
                <w:rFonts w:hint="eastAsia"/>
                <w:color w:val="000000" w:themeColor="text1"/>
                <w:sz w:val="24"/>
                <w:szCs w:val="24"/>
                <w:lang w:val="en-US"/>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lang w:val="en-US"/>
              </w:rPr>
            </w:pPr>
            <w:r>
              <w:rPr>
                <w:color w:val="000000" w:themeColor="text1"/>
                <w:sz w:val="24"/>
                <w:szCs w:val="24"/>
                <w:lang w:val="en-US"/>
              </w:rPr>
              <w:t>8</w:t>
            </w:r>
            <w:r>
              <w:rPr>
                <w:rFonts w:hint="eastAsia"/>
                <w:color w:val="000000" w:themeColor="text1"/>
                <w:sz w:val="24"/>
                <w:szCs w:val="24"/>
                <w:lang w:val="en-US"/>
              </w:rPr>
              <w:t>．</w:t>
            </w:r>
            <w:r>
              <w:rPr>
                <w:color w:val="000000" w:themeColor="text1"/>
                <w:sz w:val="24"/>
                <w:szCs w:val="24"/>
                <w:lang w:val="en-US"/>
              </w:rPr>
              <w:t>16</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投标报价风险</w:t>
            </w:r>
          </w:p>
        </w:tc>
        <w:tc>
          <w:tcPr>
            <w:tcW w:w="6027" w:type="dxa"/>
            <w:vAlign w:val="center"/>
          </w:tcPr>
          <w:p>
            <w:pPr>
              <w:spacing w:line="360" w:lineRule="auto"/>
              <w:rPr>
                <w:color w:val="000000" w:themeColor="text1"/>
                <w:sz w:val="24"/>
                <w:szCs w:val="24"/>
                <w:lang w:val="en-US"/>
              </w:rPr>
            </w:pPr>
            <w:r>
              <w:rPr>
                <w:rFonts w:hint="eastAsia" w:hAnsi="Wingdings 2"/>
                <w:color w:val="000000" w:themeColor="text1"/>
                <w:sz w:val="24"/>
                <w:szCs w:val="24"/>
                <w:lang w:val="en-US"/>
              </w:rPr>
              <w:sym w:font="Wingdings 2" w:char="F0A3"/>
            </w:r>
            <w:r>
              <w:rPr>
                <w:rFonts w:hint="eastAsia"/>
                <w:color w:val="000000" w:themeColor="text1"/>
                <w:sz w:val="24"/>
                <w:szCs w:val="24"/>
                <w:lang w:val="en-US"/>
              </w:rPr>
              <w:t>投标人依据招标文件提供的工程量清单、设计图纸等资料并自行考虑风险因素计算投标报价，一旦中标，投标报价将不会因市场变化因素而得到调整。</w:t>
            </w:r>
          </w:p>
          <w:p>
            <w:pPr>
              <w:spacing w:line="360" w:lineRule="auto"/>
              <w:rPr>
                <w:color w:val="000000" w:themeColor="text1"/>
                <w:sz w:val="24"/>
                <w:szCs w:val="24"/>
                <w:lang w:val="en-US"/>
              </w:rPr>
            </w:pPr>
            <w:r>
              <w:rPr>
                <w:rFonts w:hint="eastAsia" w:hAnsi="Wingdings 2"/>
                <w:color w:val="000000" w:themeColor="text1"/>
                <w:sz w:val="24"/>
                <w:szCs w:val="24"/>
                <w:lang w:val="en-US"/>
              </w:rPr>
              <w:sym w:font="Wingdings 2" w:char="F0A3"/>
            </w:r>
            <w:r>
              <w:rPr>
                <w:rFonts w:hint="eastAsia"/>
                <w:color w:val="000000" w:themeColor="text1"/>
                <w:sz w:val="24"/>
                <w:szCs w:val="24"/>
                <w:lang w:val="en-US"/>
              </w:rPr>
              <w:t>投标报价中应包括工程量清单项目所发生的人工费、材料费、机械使用费、管理费、利润、项目措施费、规费、税金、配合费、预留金以及招标文件包含的所有风险、责任等各项应有费用，投标人漏报或不报，招标人将视为有关费用已包括在工程量清单项目的其它单价及合价中而不予支付。</w:t>
            </w:r>
          </w:p>
          <w:p>
            <w:pPr>
              <w:spacing w:line="360" w:lineRule="auto"/>
              <w:rPr>
                <w:color w:val="000000" w:themeColor="text1"/>
                <w:sz w:val="24"/>
                <w:szCs w:val="24"/>
                <w:lang w:val="en-US"/>
              </w:rPr>
            </w:pPr>
            <w:r>
              <w:rPr>
                <w:rFonts w:hint="eastAsia" w:hAnsi="Wingdings 2"/>
                <w:color w:val="000000" w:themeColor="text1"/>
                <w:sz w:val="24"/>
                <w:szCs w:val="24"/>
                <w:lang w:val="en-US"/>
              </w:rPr>
              <w:sym w:font="Wingdings 2" w:char="F0A3"/>
            </w:r>
            <w:r>
              <w:rPr>
                <w:rFonts w:hint="eastAsia"/>
                <w:color w:val="000000" w:themeColor="text1"/>
                <w:sz w:val="24"/>
                <w:szCs w:val="24"/>
                <w:lang w:val="en-US"/>
              </w:rPr>
              <w:t>投标人应按照招标文件提供的工程量清单逐项填写单价及合价，投标人没有填写单价及合价的项目，招标人将视为此项费用已包括在工程量清单项目的其它单价及合价中而不予支付。</w:t>
            </w:r>
          </w:p>
          <w:p>
            <w:pPr>
              <w:spacing w:line="360" w:lineRule="auto"/>
              <w:rPr>
                <w:color w:val="000000" w:themeColor="text1"/>
                <w:sz w:val="24"/>
                <w:szCs w:val="24"/>
                <w:lang w:val="en-US"/>
              </w:rPr>
            </w:pPr>
            <w:r>
              <w:rPr>
                <w:rFonts w:hint="eastAsia" w:hAnsi="Wingdings 2"/>
                <w:color w:val="000000" w:themeColor="text1"/>
                <w:sz w:val="24"/>
                <w:szCs w:val="24"/>
                <w:lang w:val="en-US"/>
              </w:rPr>
              <w:sym w:font="Wingdings 2" w:char="F0A3"/>
            </w:r>
            <w:r>
              <w:rPr>
                <w:rFonts w:hint="eastAsia"/>
                <w:color w:val="000000" w:themeColor="text1"/>
                <w:sz w:val="24"/>
                <w:szCs w:val="24"/>
                <w:lang w:val="en-US"/>
              </w:rPr>
              <w:t>招标人发出的招标文件内容和格式不许增加和修改，投标人确认工程量清单存在的缺项、漏项、计算误差或认为施工图纸存在不明确、不一致时，应在投标截止日之前</w:t>
            </w:r>
            <w:r>
              <w:rPr>
                <w:color w:val="000000" w:themeColor="text1"/>
                <w:sz w:val="24"/>
                <w:szCs w:val="24"/>
                <w:lang w:val="en-US"/>
              </w:rPr>
              <w:t>10</w:t>
            </w:r>
            <w:r>
              <w:rPr>
                <w:rFonts w:hint="eastAsia"/>
                <w:color w:val="000000" w:themeColor="text1"/>
                <w:sz w:val="24"/>
                <w:szCs w:val="24"/>
                <w:lang w:val="en-US"/>
              </w:rPr>
              <w:t>天内，以书面方式向招标人提出。投标人未在规定的时间内向招标人提出异议，则视为投标人已认可该工程量清单包含了设计文件全部内容。</w:t>
            </w:r>
          </w:p>
          <w:p>
            <w:pPr>
              <w:spacing w:line="360" w:lineRule="auto"/>
              <w:rPr>
                <w:color w:val="000000" w:themeColor="text1"/>
                <w:sz w:val="24"/>
                <w:szCs w:val="24"/>
                <w:lang w:val="en-US"/>
              </w:rPr>
            </w:pPr>
            <w:r>
              <w:rPr>
                <w:rFonts w:hint="eastAsia"/>
                <w:color w:val="000000" w:themeColor="text1"/>
                <w:sz w:val="24"/>
                <w:szCs w:val="24"/>
                <w:lang w:val="en-US"/>
              </w:rPr>
              <w:t>口采用固定总价合同方式的项目，工程量清单漏项、少计工程量的费用视为已包含在投标人的最终报价中，不予调整。</w:t>
            </w:r>
          </w:p>
          <w:p>
            <w:pPr>
              <w:spacing w:line="360" w:lineRule="auto"/>
              <w:rPr>
                <w:color w:val="000000" w:themeColor="text1"/>
                <w:sz w:val="24"/>
                <w:szCs w:val="24"/>
                <w:lang w:val="en-US"/>
              </w:rPr>
            </w:pPr>
            <w:r>
              <w:rPr>
                <w:rFonts w:hint="eastAsia"/>
                <w:color w:val="000000" w:themeColor="text1"/>
                <w:sz w:val="24"/>
                <w:szCs w:val="24"/>
                <w:lang w:val="en-US"/>
              </w:rPr>
              <w:t>□其它说明</w:t>
            </w:r>
            <w:r>
              <w:rPr>
                <w:color w:val="000000" w:themeColor="text1"/>
                <w:sz w:val="24"/>
                <w:szCs w:val="24"/>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46" w:type="dxa"/>
        </w:trPr>
        <w:tc>
          <w:tcPr>
            <w:tcW w:w="1050" w:type="dxa"/>
            <w:vAlign w:val="center"/>
          </w:tcPr>
          <w:p>
            <w:pPr>
              <w:spacing w:line="360" w:lineRule="auto"/>
              <w:jc w:val="center"/>
              <w:rPr>
                <w:color w:val="000000" w:themeColor="text1"/>
                <w:sz w:val="24"/>
                <w:szCs w:val="24"/>
              </w:rPr>
            </w:pPr>
            <w:r>
              <w:rPr>
                <w:rFonts w:hint="eastAsia"/>
                <w:color w:val="000000" w:themeColor="text1"/>
                <w:sz w:val="24"/>
                <w:szCs w:val="24"/>
              </w:rPr>
              <w:t>…</w:t>
            </w:r>
          </w:p>
        </w:tc>
        <w:tc>
          <w:tcPr>
            <w:tcW w:w="2069" w:type="dxa"/>
            <w:vAlign w:val="center"/>
          </w:tcPr>
          <w:p>
            <w:pPr>
              <w:spacing w:line="360" w:lineRule="auto"/>
              <w:jc w:val="center"/>
              <w:rPr>
                <w:color w:val="000000" w:themeColor="text1"/>
                <w:sz w:val="24"/>
                <w:szCs w:val="24"/>
              </w:rPr>
            </w:pPr>
            <w:r>
              <w:rPr>
                <w:rFonts w:hint="eastAsia"/>
                <w:color w:val="000000" w:themeColor="text1"/>
                <w:sz w:val="24"/>
                <w:szCs w:val="24"/>
              </w:rPr>
              <w:t>…</w:t>
            </w:r>
          </w:p>
        </w:tc>
        <w:tc>
          <w:tcPr>
            <w:tcW w:w="6027" w:type="dxa"/>
            <w:vAlign w:val="center"/>
          </w:tcPr>
          <w:p>
            <w:pPr>
              <w:spacing w:line="360" w:lineRule="auto"/>
              <w:rPr>
                <w:color w:val="000000" w:themeColor="text1"/>
                <w:sz w:val="24"/>
                <w:szCs w:val="24"/>
              </w:rPr>
            </w:pPr>
            <w:r>
              <w:rPr>
                <w:rFonts w:hint="eastAsia"/>
                <w:color w:val="000000" w:themeColor="text1"/>
                <w:sz w:val="24"/>
                <w:szCs w:val="24"/>
              </w:rPr>
              <w:t>…</w:t>
            </w:r>
          </w:p>
        </w:tc>
      </w:tr>
    </w:tbl>
    <w:p>
      <w:pPr>
        <w:spacing w:line="360" w:lineRule="auto"/>
      </w:pPr>
    </w:p>
    <w:p>
      <w:pPr>
        <w:spacing w:line="360" w:lineRule="auto"/>
      </w:pPr>
    </w:p>
    <w:p>
      <w:pPr>
        <w:spacing w:line="360" w:lineRule="auto"/>
        <w:rPr>
          <w:sz w:val="21"/>
        </w:rPr>
        <w:sectPr>
          <w:pgSz w:w="11910" w:h="16850"/>
          <w:pgMar w:top="1420" w:right="600" w:bottom="900" w:left="1540" w:header="0" w:footer="716" w:gutter="0"/>
          <w:cols w:space="720" w:num="1"/>
        </w:sectPr>
      </w:pPr>
    </w:p>
    <w:p>
      <w:pPr>
        <w:spacing w:line="360" w:lineRule="auto"/>
        <w:ind w:right="936"/>
        <w:jc w:val="center"/>
        <w:rPr>
          <w:b/>
          <w:sz w:val="30"/>
        </w:rPr>
      </w:pPr>
      <w:r>
        <w:rPr>
          <w:rFonts w:hint="eastAsia"/>
          <w:b/>
          <w:sz w:val="30"/>
        </w:rPr>
        <w:t>投标人须知</w:t>
      </w:r>
    </w:p>
    <w:p>
      <w:pPr>
        <w:pStyle w:val="4"/>
        <w:tabs>
          <w:tab w:val="left" w:pos="945"/>
        </w:tabs>
        <w:spacing w:line="360" w:lineRule="auto"/>
        <w:ind w:left="0"/>
        <w:rPr>
          <w:rFonts w:ascii="宋体" w:hAnsi="宋体" w:eastAsia="宋体" w:cs="宋体"/>
          <w:sz w:val="24"/>
          <w:szCs w:val="24"/>
        </w:rPr>
      </w:pPr>
      <w:r>
        <w:rPr>
          <w:rFonts w:ascii="宋体" w:hAnsi="宋体" w:eastAsia="宋体" w:cs="宋体"/>
          <w:sz w:val="24"/>
          <w:szCs w:val="24"/>
          <w:lang w:val="en-US"/>
        </w:rPr>
        <w:t>1.</w:t>
      </w:r>
      <w:r>
        <w:rPr>
          <w:rFonts w:hint="eastAsia" w:ascii="宋体" w:hAnsi="宋体" w:eastAsia="宋体" w:cs="宋体"/>
          <w:sz w:val="24"/>
          <w:szCs w:val="24"/>
        </w:rPr>
        <w:t>总则</w:t>
      </w:r>
    </w:p>
    <w:p>
      <w:pPr>
        <w:pStyle w:val="7"/>
        <w:tabs>
          <w:tab w:val="left" w:pos="1031"/>
        </w:tabs>
        <w:spacing w:line="360" w:lineRule="auto"/>
        <w:ind w:left="0" w:firstLine="472" w:firstLineChars="196"/>
        <w:rPr>
          <w:rFonts w:ascii="宋体" w:hAnsi="宋体" w:eastAsia="宋体" w:cs="宋体"/>
        </w:rPr>
      </w:pPr>
      <w:r>
        <w:rPr>
          <w:rFonts w:ascii="宋体" w:hAnsi="宋体" w:eastAsia="宋体" w:cs="宋体"/>
          <w:lang w:val="en-US"/>
        </w:rPr>
        <w:t>1.1</w:t>
      </w:r>
      <w:r>
        <w:rPr>
          <w:rFonts w:hint="eastAsia" w:ascii="宋体" w:hAnsi="宋体" w:eastAsia="宋体" w:cs="宋体"/>
        </w:rPr>
        <w:t>工程概况</w:t>
      </w:r>
    </w:p>
    <w:p>
      <w:pPr>
        <w:pStyle w:val="7"/>
        <w:tabs>
          <w:tab w:val="left" w:pos="1031"/>
        </w:tabs>
        <w:spacing w:line="360" w:lineRule="auto"/>
        <w:ind w:left="0" w:firstLine="476" w:firstLineChars="200"/>
        <w:rPr>
          <w:rFonts w:ascii="宋体" w:hAnsi="宋体" w:eastAsia="宋体" w:cs="宋体"/>
        </w:rPr>
      </w:pPr>
      <w:r>
        <w:rPr>
          <w:rFonts w:cs="宋体"/>
          <w:spacing w:val="-1"/>
          <w:lang w:val="en-US"/>
        </w:rPr>
        <w:t xml:space="preserve">1.1.1 </w:t>
      </w:r>
      <w:r>
        <w:rPr>
          <w:rFonts w:hint="eastAsia" w:ascii="宋体" w:hAnsi="宋体" w:eastAsia="宋体" w:cs="宋体"/>
          <w:spacing w:val="-1"/>
        </w:rPr>
        <w:t>根据《中华人民共和国招标投标法》等有关法律、法规和规章的规定，</w:t>
      </w:r>
      <w:r>
        <w:rPr>
          <w:rFonts w:ascii="宋体" w:hAnsi="宋体" w:eastAsia="宋体" w:cs="宋体"/>
          <w:spacing w:val="-1"/>
        </w:rPr>
        <w:t xml:space="preserve"> </w:t>
      </w:r>
      <w:r>
        <w:rPr>
          <w:rFonts w:hint="eastAsia" w:ascii="宋体" w:hAnsi="宋体" w:eastAsia="宋体" w:cs="宋体"/>
        </w:rPr>
        <w:t>本招标工程已具备招标条件，现对本标段施工进行招标。</w:t>
      </w:r>
    </w:p>
    <w:p>
      <w:pPr>
        <w:pStyle w:val="58"/>
        <w:tabs>
          <w:tab w:val="left" w:pos="1161"/>
        </w:tabs>
        <w:spacing w:line="360" w:lineRule="auto"/>
        <w:ind w:left="0" w:firstLine="480" w:firstLineChars="200"/>
        <w:rPr>
          <w:sz w:val="24"/>
          <w:szCs w:val="24"/>
        </w:rPr>
      </w:pPr>
      <w:r>
        <w:rPr>
          <w:sz w:val="24"/>
          <w:szCs w:val="24"/>
          <w:lang w:val="en-US"/>
        </w:rPr>
        <w:t xml:space="preserve">1.1.2 </w:t>
      </w:r>
      <w:r>
        <w:rPr>
          <w:rFonts w:hint="eastAsia"/>
          <w:sz w:val="24"/>
          <w:szCs w:val="24"/>
        </w:rPr>
        <w:t>招标人：见投标人须知前附表。</w:t>
      </w:r>
    </w:p>
    <w:p>
      <w:pPr>
        <w:pStyle w:val="58"/>
        <w:tabs>
          <w:tab w:val="left" w:pos="1161"/>
        </w:tabs>
        <w:spacing w:line="360" w:lineRule="auto"/>
        <w:ind w:left="0" w:firstLine="480" w:firstLineChars="200"/>
        <w:rPr>
          <w:sz w:val="24"/>
          <w:szCs w:val="24"/>
        </w:rPr>
      </w:pPr>
      <w:r>
        <w:rPr>
          <w:sz w:val="24"/>
          <w:szCs w:val="24"/>
          <w:lang w:val="en-US"/>
        </w:rPr>
        <w:t xml:space="preserve">1.1.3 </w:t>
      </w:r>
      <w:r>
        <w:rPr>
          <w:rFonts w:hint="eastAsia"/>
          <w:sz w:val="24"/>
          <w:szCs w:val="24"/>
        </w:rPr>
        <w:t>招标代理机构：见投标人须知前附表。</w:t>
      </w:r>
    </w:p>
    <w:p>
      <w:pPr>
        <w:pStyle w:val="58"/>
        <w:tabs>
          <w:tab w:val="left" w:pos="1161"/>
        </w:tabs>
        <w:spacing w:line="360" w:lineRule="auto"/>
        <w:ind w:left="0" w:firstLine="480" w:firstLineChars="200"/>
        <w:rPr>
          <w:sz w:val="24"/>
          <w:szCs w:val="24"/>
        </w:rPr>
      </w:pPr>
      <w:r>
        <w:rPr>
          <w:sz w:val="24"/>
          <w:szCs w:val="24"/>
          <w:lang w:val="en-US"/>
        </w:rPr>
        <w:t xml:space="preserve">1.1.4 </w:t>
      </w:r>
      <w:r>
        <w:rPr>
          <w:rFonts w:hint="eastAsia"/>
          <w:sz w:val="24"/>
          <w:szCs w:val="24"/>
        </w:rPr>
        <w:t>工程名称：见投标人须知前附表。</w:t>
      </w:r>
    </w:p>
    <w:p>
      <w:pPr>
        <w:pStyle w:val="58"/>
        <w:tabs>
          <w:tab w:val="left" w:pos="1161"/>
        </w:tabs>
        <w:spacing w:line="360" w:lineRule="auto"/>
        <w:ind w:left="0" w:firstLine="480" w:firstLineChars="200"/>
        <w:rPr>
          <w:sz w:val="24"/>
          <w:szCs w:val="24"/>
        </w:rPr>
      </w:pPr>
      <w:r>
        <w:rPr>
          <w:sz w:val="24"/>
          <w:szCs w:val="24"/>
          <w:lang w:val="en-US"/>
        </w:rPr>
        <w:t xml:space="preserve">1.1.5 </w:t>
      </w:r>
      <w:r>
        <w:rPr>
          <w:rFonts w:hint="eastAsia"/>
          <w:sz w:val="24"/>
          <w:szCs w:val="24"/>
        </w:rPr>
        <w:t>工程批准文号：详见本须知前附表。</w:t>
      </w:r>
    </w:p>
    <w:p>
      <w:pPr>
        <w:pStyle w:val="58"/>
        <w:tabs>
          <w:tab w:val="left" w:pos="1161"/>
        </w:tabs>
        <w:spacing w:line="360" w:lineRule="auto"/>
        <w:ind w:left="0" w:firstLine="480" w:firstLineChars="200"/>
        <w:rPr>
          <w:sz w:val="24"/>
          <w:szCs w:val="24"/>
        </w:rPr>
      </w:pPr>
      <w:r>
        <w:rPr>
          <w:sz w:val="24"/>
          <w:szCs w:val="24"/>
          <w:lang w:val="en-US"/>
        </w:rPr>
        <w:t xml:space="preserve">1.1.6 </w:t>
      </w:r>
      <w:r>
        <w:rPr>
          <w:rFonts w:hint="eastAsia"/>
          <w:sz w:val="24"/>
          <w:szCs w:val="24"/>
        </w:rPr>
        <w:t>工程建设地点：见投标人须知前附表。</w:t>
      </w:r>
    </w:p>
    <w:p>
      <w:pPr>
        <w:pStyle w:val="58"/>
        <w:tabs>
          <w:tab w:val="left" w:pos="1161"/>
        </w:tabs>
        <w:spacing w:line="360" w:lineRule="auto"/>
        <w:ind w:left="0" w:firstLine="480" w:firstLineChars="200"/>
        <w:rPr>
          <w:sz w:val="24"/>
          <w:szCs w:val="24"/>
        </w:rPr>
      </w:pPr>
      <w:r>
        <w:rPr>
          <w:sz w:val="24"/>
          <w:szCs w:val="24"/>
          <w:lang w:val="en-US"/>
        </w:rPr>
        <w:t>1.1.7</w:t>
      </w:r>
      <w:r>
        <w:rPr>
          <w:rFonts w:hint="eastAsia"/>
          <w:sz w:val="24"/>
          <w:szCs w:val="24"/>
        </w:rPr>
        <w:t>工程建设规模：见投标人须知前附表。</w:t>
      </w:r>
    </w:p>
    <w:p>
      <w:pPr>
        <w:pStyle w:val="58"/>
        <w:tabs>
          <w:tab w:val="left" w:pos="1221"/>
        </w:tabs>
        <w:spacing w:line="360" w:lineRule="auto"/>
        <w:ind w:left="0" w:firstLine="480" w:firstLineChars="200"/>
        <w:rPr>
          <w:sz w:val="24"/>
          <w:szCs w:val="24"/>
        </w:rPr>
      </w:pPr>
      <w:r>
        <w:rPr>
          <w:sz w:val="24"/>
          <w:szCs w:val="24"/>
          <w:lang w:val="en-US"/>
        </w:rPr>
        <w:t>1.1.8</w:t>
      </w:r>
      <w:r>
        <w:rPr>
          <w:rFonts w:hint="eastAsia"/>
          <w:sz w:val="24"/>
          <w:szCs w:val="24"/>
        </w:rPr>
        <w:t>招标控制价（最高投标限价</w:t>
      </w:r>
      <w:r>
        <w:rPr>
          <w:rFonts w:hint="eastAsia"/>
          <w:spacing w:val="-120"/>
          <w:sz w:val="24"/>
          <w:szCs w:val="24"/>
        </w:rPr>
        <w:t>）</w:t>
      </w:r>
      <w:r>
        <w:rPr>
          <w:rFonts w:hint="eastAsia"/>
          <w:sz w:val="24"/>
          <w:szCs w:val="24"/>
        </w:rPr>
        <w:t>：详见本须知前附表。</w:t>
      </w:r>
    </w:p>
    <w:p>
      <w:pPr>
        <w:pStyle w:val="58"/>
        <w:tabs>
          <w:tab w:val="left" w:pos="1221"/>
        </w:tabs>
        <w:spacing w:line="360" w:lineRule="auto"/>
        <w:ind w:left="0" w:firstLine="480" w:firstLineChars="200"/>
        <w:rPr>
          <w:sz w:val="24"/>
          <w:szCs w:val="24"/>
        </w:rPr>
      </w:pPr>
      <w:r>
        <w:rPr>
          <w:sz w:val="24"/>
          <w:szCs w:val="24"/>
          <w:lang w:val="en-US"/>
        </w:rPr>
        <w:t>1.1.9</w:t>
      </w:r>
      <w:r>
        <w:rPr>
          <w:rFonts w:hint="eastAsia"/>
          <w:sz w:val="24"/>
          <w:szCs w:val="24"/>
        </w:rPr>
        <w:t>招标方式：详见本须知前附表。</w:t>
      </w:r>
    </w:p>
    <w:p>
      <w:pPr>
        <w:pStyle w:val="58"/>
        <w:tabs>
          <w:tab w:val="left" w:pos="1221"/>
        </w:tabs>
        <w:spacing w:line="360" w:lineRule="auto"/>
        <w:ind w:left="0" w:firstLine="480" w:firstLineChars="200"/>
        <w:rPr>
          <w:sz w:val="24"/>
          <w:szCs w:val="24"/>
        </w:rPr>
      </w:pPr>
      <w:r>
        <w:rPr>
          <w:sz w:val="24"/>
          <w:szCs w:val="24"/>
          <w:lang w:val="en-US"/>
        </w:rPr>
        <w:t>1.1.10</w:t>
      </w:r>
      <w:r>
        <w:rPr>
          <w:rFonts w:hint="eastAsia"/>
          <w:sz w:val="24"/>
          <w:szCs w:val="24"/>
        </w:rPr>
        <w:t>承包方式：详见本须知前附表。</w:t>
      </w:r>
    </w:p>
    <w:p>
      <w:pPr>
        <w:pStyle w:val="7"/>
        <w:tabs>
          <w:tab w:val="left" w:pos="1031"/>
        </w:tabs>
        <w:spacing w:line="360" w:lineRule="auto"/>
        <w:ind w:left="419" w:hanging="419" w:hangingChars="174"/>
        <w:rPr>
          <w:rFonts w:ascii="宋体" w:hAnsi="宋体" w:eastAsia="宋体" w:cs="宋体"/>
        </w:rPr>
      </w:pPr>
      <w:r>
        <w:rPr>
          <w:rFonts w:ascii="宋体" w:hAnsi="宋体" w:eastAsia="宋体" w:cs="宋体"/>
          <w:lang w:val="en-US"/>
        </w:rPr>
        <w:t>1.2</w:t>
      </w:r>
      <w:r>
        <w:rPr>
          <w:rFonts w:hint="eastAsia" w:ascii="宋体" w:hAnsi="宋体" w:eastAsia="宋体" w:cs="宋体"/>
        </w:rPr>
        <w:t>资金来源和落实情况</w:t>
      </w:r>
    </w:p>
    <w:p>
      <w:pPr>
        <w:pStyle w:val="58"/>
        <w:tabs>
          <w:tab w:val="left" w:pos="1221"/>
        </w:tabs>
        <w:spacing w:line="360" w:lineRule="auto"/>
        <w:ind w:left="0" w:firstLine="480" w:firstLineChars="200"/>
        <w:rPr>
          <w:sz w:val="24"/>
          <w:szCs w:val="24"/>
        </w:rPr>
      </w:pPr>
      <w:r>
        <w:rPr>
          <w:sz w:val="24"/>
          <w:szCs w:val="24"/>
          <w:lang w:val="en-US"/>
        </w:rPr>
        <w:t>1.2.1</w:t>
      </w:r>
      <w:r>
        <w:rPr>
          <w:rFonts w:hint="eastAsia"/>
          <w:sz w:val="24"/>
          <w:szCs w:val="24"/>
        </w:rPr>
        <w:t>计划投资总额：见投标人须知前附表。</w:t>
      </w:r>
    </w:p>
    <w:p>
      <w:pPr>
        <w:pStyle w:val="58"/>
        <w:tabs>
          <w:tab w:val="left" w:pos="1221"/>
        </w:tabs>
        <w:spacing w:line="360" w:lineRule="auto"/>
        <w:ind w:left="0" w:firstLine="480" w:firstLineChars="200"/>
        <w:rPr>
          <w:sz w:val="24"/>
          <w:szCs w:val="24"/>
        </w:rPr>
      </w:pPr>
      <w:r>
        <w:rPr>
          <w:sz w:val="24"/>
          <w:szCs w:val="24"/>
          <w:lang w:val="en-US"/>
        </w:rPr>
        <w:t>1.2.2</w:t>
      </w:r>
      <w:r>
        <w:rPr>
          <w:rFonts w:hint="eastAsia"/>
          <w:sz w:val="24"/>
          <w:szCs w:val="24"/>
        </w:rPr>
        <w:t>资金来源：见投标人须知前附表。</w:t>
      </w:r>
    </w:p>
    <w:p>
      <w:pPr>
        <w:pStyle w:val="58"/>
        <w:tabs>
          <w:tab w:val="left" w:pos="1221"/>
        </w:tabs>
        <w:spacing w:line="360" w:lineRule="auto"/>
        <w:ind w:left="0" w:firstLine="480" w:firstLineChars="200"/>
        <w:rPr>
          <w:sz w:val="24"/>
          <w:szCs w:val="24"/>
        </w:rPr>
      </w:pPr>
      <w:r>
        <w:rPr>
          <w:sz w:val="24"/>
          <w:szCs w:val="24"/>
          <w:lang w:val="en-US"/>
        </w:rPr>
        <w:t>1.2.3</w:t>
      </w:r>
      <w:r>
        <w:rPr>
          <w:rFonts w:hint="eastAsia"/>
          <w:sz w:val="24"/>
          <w:szCs w:val="24"/>
        </w:rPr>
        <w:t>出资比例：见投标人须知前附表。</w:t>
      </w:r>
    </w:p>
    <w:p>
      <w:pPr>
        <w:pStyle w:val="58"/>
        <w:tabs>
          <w:tab w:val="left" w:pos="1221"/>
        </w:tabs>
        <w:spacing w:line="360" w:lineRule="auto"/>
        <w:ind w:left="0" w:firstLine="480" w:firstLineChars="200"/>
        <w:rPr>
          <w:sz w:val="24"/>
          <w:szCs w:val="24"/>
        </w:rPr>
      </w:pPr>
      <w:r>
        <w:rPr>
          <w:sz w:val="24"/>
          <w:szCs w:val="24"/>
          <w:lang w:val="en-US"/>
        </w:rPr>
        <w:t>1.2.4</w:t>
      </w:r>
      <w:r>
        <w:rPr>
          <w:rFonts w:hint="eastAsia"/>
          <w:sz w:val="24"/>
          <w:szCs w:val="24"/>
        </w:rPr>
        <w:t>资金落实情况：见投标人须知前附表。</w:t>
      </w:r>
    </w:p>
    <w:p>
      <w:pPr>
        <w:pStyle w:val="7"/>
        <w:tabs>
          <w:tab w:val="left" w:pos="1031"/>
        </w:tabs>
        <w:spacing w:line="360" w:lineRule="auto"/>
        <w:ind w:left="419" w:hanging="414" w:hangingChars="177"/>
        <w:rPr>
          <w:rFonts w:ascii="宋体" w:hAnsi="宋体" w:eastAsia="宋体" w:cs="宋体"/>
        </w:rPr>
      </w:pPr>
      <w:r>
        <w:rPr>
          <w:rFonts w:cs="宋体"/>
          <w:spacing w:val="-3"/>
          <w:lang w:val="en-US"/>
        </w:rPr>
        <w:t>1.3</w:t>
      </w:r>
      <w:r>
        <w:rPr>
          <w:rFonts w:hint="eastAsia" w:ascii="宋体" w:hAnsi="宋体" w:eastAsia="宋体" w:cs="宋体"/>
          <w:spacing w:val="-3"/>
        </w:rPr>
        <w:t>招标范围、计划工期、质量要求和施工现场安全生产标准化管理项目的等</w:t>
      </w:r>
      <w:r>
        <w:rPr>
          <w:rFonts w:hint="eastAsia" w:ascii="宋体" w:hAnsi="宋体" w:eastAsia="宋体" w:cs="宋体"/>
        </w:rPr>
        <w:t>级</w:t>
      </w:r>
    </w:p>
    <w:p>
      <w:pPr>
        <w:pStyle w:val="58"/>
        <w:tabs>
          <w:tab w:val="left" w:pos="1161"/>
        </w:tabs>
        <w:spacing w:line="360" w:lineRule="auto"/>
        <w:ind w:left="0" w:firstLine="480" w:firstLineChars="200"/>
        <w:rPr>
          <w:sz w:val="24"/>
          <w:szCs w:val="24"/>
        </w:rPr>
      </w:pPr>
      <w:r>
        <w:rPr>
          <w:sz w:val="24"/>
          <w:szCs w:val="24"/>
          <w:lang w:val="en-US"/>
        </w:rPr>
        <w:t>1.3.1</w:t>
      </w:r>
      <w:r>
        <w:rPr>
          <w:rFonts w:hint="eastAsia"/>
          <w:sz w:val="24"/>
          <w:szCs w:val="24"/>
        </w:rPr>
        <w:t>招标范围：见投标人须知前附表。</w:t>
      </w:r>
    </w:p>
    <w:p>
      <w:pPr>
        <w:pStyle w:val="58"/>
        <w:tabs>
          <w:tab w:val="left" w:pos="1161"/>
        </w:tabs>
        <w:spacing w:line="360" w:lineRule="auto"/>
        <w:ind w:left="0" w:firstLine="480" w:firstLineChars="200"/>
        <w:rPr>
          <w:sz w:val="24"/>
          <w:szCs w:val="24"/>
        </w:rPr>
      </w:pPr>
      <w:r>
        <w:rPr>
          <w:sz w:val="24"/>
          <w:szCs w:val="24"/>
          <w:lang w:val="en-US"/>
        </w:rPr>
        <w:t>1.3.2</w:t>
      </w:r>
      <w:r>
        <w:rPr>
          <w:rFonts w:hint="eastAsia"/>
          <w:sz w:val="24"/>
          <w:szCs w:val="24"/>
        </w:rPr>
        <w:t>计划工期：见投标人须知前附表。</w:t>
      </w:r>
    </w:p>
    <w:p>
      <w:pPr>
        <w:pStyle w:val="58"/>
        <w:tabs>
          <w:tab w:val="left" w:pos="1161"/>
        </w:tabs>
        <w:spacing w:line="360" w:lineRule="auto"/>
        <w:ind w:left="0" w:firstLine="460" w:firstLineChars="200"/>
        <w:rPr>
          <w:sz w:val="24"/>
          <w:szCs w:val="24"/>
        </w:rPr>
      </w:pPr>
      <w:r>
        <w:rPr>
          <w:spacing w:val="-5"/>
          <w:sz w:val="24"/>
          <w:szCs w:val="24"/>
          <w:lang w:val="en-US"/>
        </w:rPr>
        <w:t>1.2.3</w:t>
      </w:r>
      <w:r>
        <w:rPr>
          <w:rFonts w:hint="eastAsia"/>
          <w:spacing w:val="-5"/>
          <w:sz w:val="24"/>
          <w:szCs w:val="24"/>
        </w:rPr>
        <w:t>质量要求和施工现场安全生产标准化管理项目的等级要求：见投标人须知</w:t>
      </w:r>
    </w:p>
    <w:p>
      <w:pPr>
        <w:pStyle w:val="18"/>
        <w:spacing w:line="360" w:lineRule="auto"/>
        <w:ind w:firstLine="480" w:firstLineChars="200"/>
      </w:pPr>
      <w:r>
        <w:rPr>
          <w:rFonts w:hint="eastAsia"/>
        </w:rPr>
        <w:t>前附表。</w:t>
      </w:r>
    </w:p>
    <w:p>
      <w:pPr>
        <w:pStyle w:val="7"/>
        <w:tabs>
          <w:tab w:val="left" w:pos="1031"/>
        </w:tabs>
        <w:spacing w:line="360" w:lineRule="auto"/>
        <w:ind w:left="419" w:hanging="419" w:hangingChars="174"/>
        <w:rPr>
          <w:rFonts w:ascii="宋体" w:hAnsi="宋体" w:eastAsia="宋体" w:cs="宋体"/>
        </w:rPr>
      </w:pPr>
      <w:r>
        <w:rPr>
          <w:rFonts w:ascii="宋体" w:hAnsi="宋体" w:eastAsia="宋体" w:cs="宋体"/>
          <w:lang w:val="en-US"/>
        </w:rPr>
        <w:t>1.4</w:t>
      </w:r>
      <w:r>
        <w:rPr>
          <w:rFonts w:hint="eastAsia" w:ascii="宋体" w:hAnsi="宋体" w:eastAsia="宋体" w:cs="宋体"/>
        </w:rPr>
        <w:t>投标人资格要求</w:t>
      </w:r>
    </w:p>
    <w:p>
      <w:pPr>
        <w:pStyle w:val="58"/>
        <w:tabs>
          <w:tab w:val="left" w:pos="1161"/>
        </w:tabs>
        <w:spacing w:line="360" w:lineRule="auto"/>
        <w:ind w:left="0" w:firstLine="480" w:firstLineChars="200"/>
        <w:rPr>
          <w:sz w:val="24"/>
          <w:szCs w:val="24"/>
        </w:rPr>
      </w:pPr>
      <w:r>
        <w:rPr>
          <w:sz w:val="24"/>
          <w:szCs w:val="24"/>
          <w:lang w:val="en-US"/>
        </w:rPr>
        <w:t>1.4.1</w:t>
      </w:r>
      <w:r>
        <w:rPr>
          <w:rFonts w:hint="eastAsia"/>
          <w:sz w:val="24"/>
          <w:szCs w:val="24"/>
        </w:rPr>
        <w:t>投标人资格要求见投标人须知前附表。</w:t>
      </w:r>
    </w:p>
    <w:p>
      <w:pPr>
        <w:pStyle w:val="58"/>
        <w:tabs>
          <w:tab w:val="left" w:pos="1222"/>
        </w:tabs>
        <w:spacing w:line="360" w:lineRule="auto"/>
        <w:ind w:left="0" w:firstLine="480" w:firstLineChars="200"/>
        <w:rPr>
          <w:rFonts w:hint="eastAsia"/>
          <w:sz w:val="24"/>
          <w:szCs w:val="24"/>
        </w:rPr>
      </w:pPr>
      <w:r>
        <w:rPr>
          <w:rFonts w:hint="eastAsia"/>
          <w:sz w:val="24"/>
          <w:szCs w:val="24"/>
        </w:rPr>
        <w:t>（</w:t>
      </w:r>
      <w:r>
        <w:rPr>
          <w:sz w:val="24"/>
          <w:szCs w:val="24"/>
          <w:lang w:val="en-US"/>
        </w:rPr>
        <w:t>1</w:t>
      </w:r>
      <w:r>
        <w:rPr>
          <w:rFonts w:hint="eastAsia"/>
          <w:sz w:val="24"/>
          <w:szCs w:val="24"/>
        </w:rPr>
        <w:t>）资</w:t>
      </w:r>
      <w:r>
        <w:rPr>
          <w:rFonts w:hint="eastAsia"/>
          <w:sz w:val="24"/>
          <w:szCs w:val="24"/>
          <w:lang w:val="en-US"/>
        </w:rPr>
        <w:t>质</w:t>
      </w:r>
      <w:r>
        <w:rPr>
          <w:rFonts w:hint="eastAsia"/>
          <w:sz w:val="24"/>
          <w:szCs w:val="24"/>
        </w:rPr>
        <w:t>条件：见投标人须知前附表；</w:t>
      </w:r>
    </w:p>
    <w:p>
      <w:pPr>
        <w:pStyle w:val="58"/>
        <w:tabs>
          <w:tab w:val="left" w:pos="1222"/>
        </w:tabs>
        <w:spacing w:line="360" w:lineRule="auto"/>
        <w:ind w:left="0" w:firstLine="480" w:firstLineChars="200"/>
        <w:rPr>
          <w:sz w:val="24"/>
          <w:szCs w:val="24"/>
        </w:rPr>
      </w:pPr>
      <w:r>
        <w:rPr>
          <w:rFonts w:hint="eastAsia"/>
          <w:sz w:val="24"/>
          <w:szCs w:val="24"/>
        </w:rPr>
        <w:t>（</w:t>
      </w:r>
      <w:r>
        <w:rPr>
          <w:sz w:val="24"/>
          <w:szCs w:val="24"/>
          <w:lang w:val="en-US"/>
        </w:rPr>
        <w:t>2</w:t>
      </w:r>
      <w:r>
        <w:rPr>
          <w:rFonts w:hint="eastAsia"/>
          <w:sz w:val="24"/>
          <w:szCs w:val="24"/>
          <w:lang w:val="en-US"/>
        </w:rPr>
        <w:t>）</w:t>
      </w:r>
      <w:r>
        <w:rPr>
          <w:rFonts w:hint="eastAsia"/>
          <w:sz w:val="24"/>
          <w:szCs w:val="24"/>
        </w:rPr>
        <w:t>项目负责人要求：见投标人须知前附表；</w:t>
      </w:r>
    </w:p>
    <w:p>
      <w:pPr>
        <w:pStyle w:val="58"/>
        <w:tabs>
          <w:tab w:val="left" w:pos="1222"/>
        </w:tabs>
        <w:spacing w:line="360" w:lineRule="auto"/>
        <w:ind w:left="0" w:firstLine="480" w:firstLineChars="200"/>
        <w:rPr>
          <w:sz w:val="24"/>
          <w:szCs w:val="24"/>
        </w:rPr>
      </w:pPr>
      <w:r>
        <w:rPr>
          <w:rFonts w:hint="eastAsia"/>
          <w:sz w:val="24"/>
          <w:szCs w:val="24"/>
        </w:rPr>
        <w:t>（</w:t>
      </w:r>
      <w:r>
        <w:rPr>
          <w:sz w:val="24"/>
          <w:szCs w:val="24"/>
          <w:lang w:val="en-US"/>
        </w:rPr>
        <w:t>3</w:t>
      </w:r>
      <w:r>
        <w:rPr>
          <w:rFonts w:hint="eastAsia"/>
          <w:sz w:val="24"/>
          <w:szCs w:val="24"/>
          <w:lang w:val="en-US"/>
        </w:rPr>
        <w:t>）</w:t>
      </w:r>
      <w:r>
        <w:rPr>
          <w:rFonts w:hint="eastAsia"/>
          <w:sz w:val="24"/>
          <w:szCs w:val="24"/>
        </w:rPr>
        <w:t>财务要求：见投标人须知前附表；</w:t>
      </w:r>
    </w:p>
    <w:p>
      <w:pPr>
        <w:pStyle w:val="58"/>
        <w:tabs>
          <w:tab w:val="left" w:pos="1222"/>
        </w:tabs>
        <w:spacing w:line="360" w:lineRule="auto"/>
        <w:ind w:left="0" w:firstLine="480" w:firstLineChars="200"/>
        <w:rPr>
          <w:sz w:val="24"/>
          <w:szCs w:val="24"/>
        </w:rPr>
      </w:pPr>
      <w:r>
        <w:rPr>
          <w:rFonts w:hint="eastAsia"/>
          <w:sz w:val="24"/>
          <w:szCs w:val="24"/>
        </w:rPr>
        <w:t>（</w:t>
      </w:r>
      <w:r>
        <w:rPr>
          <w:sz w:val="24"/>
          <w:szCs w:val="24"/>
          <w:lang w:val="en-US"/>
        </w:rPr>
        <w:t>4</w:t>
      </w:r>
      <w:r>
        <w:rPr>
          <w:rFonts w:hint="eastAsia"/>
          <w:sz w:val="24"/>
          <w:szCs w:val="24"/>
          <w:lang w:val="en-US"/>
        </w:rPr>
        <w:t>）</w:t>
      </w:r>
      <w:r>
        <w:rPr>
          <w:rFonts w:hint="eastAsia"/>
          <w:sz w:val="24"/>
          <w:szCs w:val="24"/>
        </w:rPr>
        <w:t>业绩要求：见投标人须知前附表；</w:t>
      </w:r>
    </w:p>
    <w:p>
      <w:pPr>
        <w:pStyle w:val="58"/>
        <w:tabs>
          <w:tab w:val="left" w:pos="1222"/>
        </w:tabs>
        <w:spacing w:line="360" w:lineRule="auto"/>
        <w:ind w:left="0" w:firstLine="240" w:firstLineChars="100"/>
        <w:rPr>
          <w:sz w:val="24"/>
          <w:szCs w:val="24"/>
        </w:rPr>
      </w:pPr>
      <w:r>
        <w:rPr>
          <w:rFonts w:hint="eastAsia"/>
          <w:sz w:val="24"/>
          <w:szCs w:val="24"/>
        </w:rPr>
        <w:t>（</w:t>
      </w:r>
      <w:r>
        <w:rPr>
          <w:sz w:val="24"/>
          <w:szCs w:val="24"/>
          <w:lang w:val="en-US"/>
        </w:rPr>
        <w:t>5</w:t>
      </w:r>
      <w:r>
        <w:rPr>
          <w:rFonts w:hint="eastAsia"/>
          <w:sz w:val="24"/>
          <w:szCs w:val="24"/>
          <w:lang w:val="en-US"/>
        </w:rPr>
        <w:t>）</w:t>
      </w:r>
      <w:r>
        <w:rPr>
          <w:rFonts w:hint="eastAsia"/>
          <w:sz w:val="24"/>
          <w:szCs w:val="24"/>
        </w:rPr>
        <w:t>信誉要求：见投标人须知前附表</w:t>
      </w:r>
      <w:r>
        <w:rPr>
          <w:sz w:val="24"/>
          <w:szCs w:val="24"/>
        </w:rPr>
        <w:t>;</w:t>
      </w:r>
    </w:p>
    <w:p>
      <w:pPr>
        <w:pStyle w:val="58"/>
        <w:tabs>
          <w:tab w:val="left" w:pos="1222"/>
        </w:tabs>
        <w:spacing w:line="360" w:lineRule="auto"/>
        <w:ind w:left="0" w:firstLine="240" w:firstLineChars="100"/>
        <w:rPr>
          <w:sz w:val="24"/>
          <w:szCs w:val="24"/>
        </w:rPr>
      </w:pPr>
      <w:r>
        <w:rPr>
          <w:rFonts w:hint="eastAsia"/>
          <w:sz w:val="24"/>
          <w:szCs w:val="24"/>
        </w:rPr>
        <w:t>（</w:t>
      </w:r>
      <w:r>
        <w:rPr>
          <w:sz w:val="24"/>
          <w:szCs w:val="24"/>
          <w:lang w:val="en-US"/>
        </w:rPr>
        <w:t>6</w:t>
      </w:r>
      <w:r>
        <w:rPr>
          <w:rFonts w:hint="eastAsia"/>
          <w:sz w:val="24"/>
          <w:szCs w:val="24"/>
          <w:lang w:val="en-US"/>
        </w:rPr>
        <w:t>）</w:t>
      </w:r>
      <w:r>
        <w:rPr>
          <w:rFonts w:hint="eastAsia"/>
          <w:sz w:val="24"/>
          <w:szCs w:val="24"/>
        </w:rPr>
        <w:t>其他要求：见投标人须知前附表。</w:t>
      </w:r>
    </w:p>
    <w:p>
      <w:pPr>
        <w:pStyle w:val="58"/>
        <w:tabs>
          <w:tab w:val="left" w:pos="1222"/>
        </w:tabs>
        <w:spacing w:line="360" w:lineRule="auto"/>
        <w:ind w:left="0" w:firstLine="240" w:firstLineChars="100"/>
        <w:rPr>
          <w:sz w:val="24"/>
          <w:szCs w:val="24"/>
        </w:rPr>
      </w:pPr>
      <w:r>
        <w:rPr>
          <w:sz w:val="24"/>
          <w:szCs w:val="24"/>
          <w:lang w:val="en-US"/>
        </w:rPr>
        <w:t>1.4.2.</w:t>
      </w:r>
      <w:r>
        <w:rPr>
          <w:rFonts w:hint="eastAsia"/>
          <w:spacing w:val="1"/>
          <w:sz w:val="24"/>
          <w:szCs w:val="24"/>
        </w:rPr>
        <w:t>投标人须知前附表规定接受联合体投标的，除应符合本章第</w:t>
      </w:r>
      <w:r>
        <w:rPr>
          <w:spacing w:val="1"/>
          <w:sz w:val="24"/>
          <w:szCs w:val="24"/>
        </w:rPr>
        <w:t xml:space="preserve"> </w:t>
      </w:r>
      <w:r>
        <w:rPr>
          <w:sz w:val="24"/>
          <w:szCs w:val="24"/>
        </w:rPr>
        <w:t>1.4.1</w:t>
      </w:r>
      <w:r>
        <w:rPr>
          <w:rFonts w:hint="eastAsia"/>
          <w:sz w:val="24"/>
          <w:szCs w:val="24"/>
        </w:rPr>
        <w:t>项和投标人须知前附表的要求外，还应遵守以下规定：</w:t>
      </w:r>
    </w:p>
    <w:p>
      <w:pPr>
        <w:pStyle w:val="58"/>
        <w:tabs>
          <w:tab w:val="left" w:pos="1222"/>
        </w:tabs>
        <w:spacing w:line="360" w:lineRule="auto"/>
        <w:ind w:left="0" w:firstLine="240" w:firstLineChars="100"/>
        <w:rPr>
          <w:sz w:val="24"/>
          <w:szCs w:val="24"/>
        </w:rPr>
      </w:pPr>
      <w:r>
        <w:rPr>
          <w:rFonts w:hint="eastAsia"/>
          <w:sz w:val="24"/>
          <w:szCs w:val="24"/>
        </w:rPr>
        <w:t>（</w:t>
      </w:r>
      <w:r>
        <w:rPr>
          <w:sz w:val="24"/>
          <w:szCs w:val="24"/>
          <w:lang w:val="en-US"/>
        </w:rPr>
        <w:t>1</w:t>
      </w:r>
      <w:r>
        <w:rPr>
          <w:rFonts w:hint="eastAsia"/>
          <w:sz w:val="24"/>
          <w:szCs w:val="24"/>
          <w:lang w:val="en-US"/>
        </w:rPr>
        <w:t>）</w:t>
      </w:r>
      <w:r>
        <w:rPr>
          <w:rFonts w:hint="eastAsia"/>
          <w:spacing w:val="-1"/>
          <w:sz w:val="24"/>
          <w:szCs w:val="24"/>
        </w:rPr>
        <w:t>联合体各方应按招标文件提供的格式签订联合体协议书，明确联合体牵</w:t>
      </w:r>
      <w:r>
        <w:rPr>
          <w:rFonts w:hint="eastAsia"/>
          <w:sz w:val="24"/>
          <w:szCs w:val="24"/>
        </w:rPr>
        <w:t>头人和各方权利义务；</w:t>
      </w:r>
    </w:p>
    <w:p>
      <w:pPr>
        <w:pStyle w:val="58"/>
        <w:tabs>
          <w:tab w:val="left" w:pos="1222"/>
        </w:tabs>
        <w:spacing w:line="360" w:lineRule="auto"/>
        <w:ind w:left="0" w:firstLine="240" w:firstLineChars="100"/>
        <w:rPr>
          <w:sz w:val="24"/>
          <w:szCs w:val="24"/>
        </w:rPr>
      </w:pPr>
      <w:r>
        <w:rPr>
          <w:rFonts w:hint="eastAsia"/>
          <w:sz w:val="24"/>
          <w:szCs w:val="24"/>
        </w:rPr>
        <w:t>（</w:t>
      </w:r>
      <w:r>
        <w:rPr>
          <w:sz w:val="24"/>
          <w:szCs w:val="24"/>
          <w:lang w:val="en-US"/>
        </w:rPr>
        <w:t>2</w:t>
      </w:r>
      <w:r>
        <w:rPr>
          <w:rFonts w:hint="eastAsia"/>
          <w:sz w:val="24"/>
          <w:szCs w:val="24"/>
          <w:lang w:val="en-US"/>
        </w:rPr>
        <w:t>）</w:t>
      </w:r>
      <w:r>
        <w:rPr>
          <w:rFonts w:hint="eastAsia"/>
          <w:sz w:val="24"/>
          <w:szCs w:val="24"/>
        </w:rPr>
        <w:t>联合体各方不得再以自己名义单独或参加其他联合体在同一标段中投标。</w:t>
      </w:r>
    </w:p>
    <w:p>
      <w:pPr>
        <w:pStyle w:val="58"/>
        <w:tabs>
          <w:tab w:val="left" w:pos="1222"/>
        </w:tabs>
        <w:spacing w:line="360" w:lineRule="auto"/>
        <w:ind w:hanging="324" w:hangingChars="135"/>
        <w:rPr>
          <w:color w:val="FF0000"/>
          <w:sz w:val="24"/>
          <w:szCs w:val="24"/>
        </w:rPr>
      </w:pPr>
      <w:r>
        <w:rPr>
          <w:color w:val="FF0000"/>
          <w:sz w:val="24"/>
          <w:szCs w:val="24"/>
          <w:lang w:val="en-US"/>
        </w:rPr>
        <w:t>1.4.3</w:t>
      </w:r>
      <w:r>
        <w:rPr>
          <w:rFonts w:hint="eastAsia"/>
          <w:color w:val="FF0000"/>
          <w:sz w:val="24"/>
          <w:szCs w:val="24"/>
        </w:rPr>
        <w:t>投标人不得存在下列情形之一：</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1</w:t>
      </w:r>
      <w:r>
        <w:rPr>
          <w:rFonts w:hint="eastAsia"/>
          <w:sz w:val="24"/>
          <w:szCs w:val="24"/>
          <w:lang w:val="en-US"/>
        </w:rPr>
        <w:t>）为招标人不具有独立法人资格的附属机构（单位）；</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2</w:t>
      </w:r>
      <w:r>
        <w:rPr>
          <w:rFonts w:hint="eastAsia"/>
          <w:sz w:val="24"/>
          <w:szCs w:val="24"/>
          <w:lang w:val="en-US"/>
        </w:rPr>
        <w:t>）与招标人存在利害关系且可能影响招标公正性；</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3</w:t>
      </w:r>
      <w:r>
        <w:rPr>
          <w:rFonts w:hint="eastAsia"/>
          <w:sz w:val="24"/>
          <w:szCs w:val="24"/>
          <w:lang w:val="en-US"/>
        </w:rPr>
        <w:t>）与本招标项目的其他投标人为同一个单位负责人；</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4</w:t>
      </w:r>
      <w:r>
        <w:rPr>
          <w:rFonts w:hint="eastAsia"/>
          <w:sz w:val="24"/>
          <w:szCs w:val="24"/>
          <w:lang w:val="en-US"/>
        </w:rPr>
        <w:t>）与本招标项目的其他投标人存在控股、管理关系；</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5</w:t>
      </w:r>
      <w:r>
        <w:rPr>
          <w:rFonts w:hint="eastAsia"/>
          <w:sz w:val="24"/>
          <w:szCs w:val="24"/>
          <w:lang w:val="en-US"/>
        </w:rPr>
        <w:t>）为本招标项目的代建人；</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6</w:t>
      </w:r>
      <w:r>
        <w:rPr>
          <w:rFonts w:hint="eastAsia"/>
          <w:sz w:val="24"/>
          <w:szCs w:val="24"/>
          <w:lang w:val="en-US"/>
        </w:rPr>
        <w:t>）为本招标项目的招标代理机构；</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7</w:t>
      </w:r>
      <w:r>
        <w:rPr>
          <w:rFonts w:hint="eastAsia"/>
          <w:sz w:val="24"/>
          <w:szCs w:val="24"/>
          <w:lang w:val="en-US"/>
        </w:rPr>
        <w:t>）与本招标项目的代建人或招标代理机构同为一个法定代表人；</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8</w:t>
      </w:r>
      <w:r>
        <w:rPr>
          <w:rFonts w:hint="eastAsia"/>
          <w:sz w:val="24"/>
          <w:szCs w:val="24"/>
          <w:lang w:val="en-US"/>
        </w:rPr>
        <w:t>）与本招标项目的代建人或招标代理机构存在控股或参股关系；</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9</w:t>
      </w:r>
      <w:r>
        <w:rPr>
          <w:rFonts w:hint="eastAsia"/>
          <w:sz w:val="24"/>
          <w:szCs w:val="24"/>
          <w:lang w:val="en-US"/>
        </w:rPr>
        <w:t>）与本招标项目的施工承包人以及建筑材料、建筑构配件和设备供应商有隶属关系或者其他利害关系；</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10</w:t>
      </w:r>
      <w:r>
        <w:rPr>
          <w:rFonts w:hint="eastAsia"/>
          <w:sz w:val="24"/>
          <w:szCs w:val="24"/>
          <w:lang w:val="en-US"/>
        </w:rPr>
        <w:t>）被依法暂停或者取消投标资格；</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11</w:t>
      </w:r>
      <w:r>
        <w:rPr>
          <w:rFonts w:hint="eastAsia"/>
          <w:sz w:val="24"/>
          <w:szCs w:val="24"/>
          <w:lang w:val="en-US"/>
        </w:rPr>
        <w:t>）被责令停产停业、暂扣或者吊销许可证、暂扣或者吊销执照；</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12</w:t>
      </w:r>
      <w:r>
        <w:rPr>
          <w:rFonts w:hint="eastAsia"/>
          <w:sz w:val="24"/>
          <w:szCs w:val="24"/>
          <w:lang w:val="en-US"/>
        </w:rPr>
        <w:t>）进入清算程序，或被宣告破产，或其他丧失履约能力的情形；</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13</w:t>
      </w:r>
      <w:r>
        <w:rPr>
          <w:rFonts w:hint="eastAsia"/>
          <w:sz w:val="24"/>
          <w:szCs w:val="24"/>
          <w:lang w:val="en-US"/>
        </w:rPr>
        <w:t>）在最近三年内发生重大监理质量问题（以相关行业主管部门的行政处罚决定或司法机关出具的有关法律文书为准）；</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14</w:t>
      </w:r>
      <w:r>
        <w:rPr>
          <w:rFonts w:hint="eastAsia"/>
          <w:sz w:val="24"/>
          <w:szCs w:val="24"/>
          <w:lang w:val="en-US"/>
        </w:rPr>
        <w:t>）被工商行政管理机关在全国企业信用信息公示系统中列入严重违法失信企业名单；</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15</w:t>
      </w:r>
      <w:r>
        <w:rPr>
          <w:rFonts w:hint="eastAsia"/>
          <w:sz w:val="24"/>
          <w:szCs w:val="24"/>
          <w:lang w:val="en-US"/>
        </w:rPr>
        <w:t>）被最高人民法院在“信用中国”网站（</w:t>
      </w:r>
      <w:r>
        <w:rPr>
          <w:sz w:val="24"/>
          <w:szCs w:val="24"/>
          <w:lang w:val="en-US"/>
        </w:rPr>
        <w:t>www.creditchina.gov.cn</w:t>
      </w:r>
      <w:r>
        <w:rPr>
          <w:rFonts w:hint="eastAsia"/>
          <w:sz w:val="24"/>
          <w:szCs w:val="24"/>
          <w:lang w:val="en-US"/>
        </w:rPr>
        <w:t>）或各级信用信息共享平台中列入失信被执行人名单；</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16</w:t>
      </w:r>
      <w:r>
        <w:rPr>
          <w:rFonts w:hint="eastAsia"/>
          <w:sz w:val="24"/>
          <w:szCs w:val="24"/>
          <w:lang w:val="en-US"/>
        </w:rPr>
        <w:t>）与招标人存在利害关系且可能影响招标公正性的；</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17</w:t>
      </w:r>
      <w:r>
        <w:rPr>
          <w:rFonts w:hint="eastAsia"/>
          <w:sz w:val="24"/>
          <w:szCs w:val="24"/>
          <w:lang w:val="en-US"/>
        </w:rPr>
        <w:t>）在最近三年内投标人或其法定代表人、拟委任的项目经理及技术负责人有行贿、围标、串标及其他违法违规行为事实的；</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18</w:t>
      </w:r>
      <w:r>
        <w:rPr>
          <w:rFonts w:hint="eastAsia"/>
          <w:sz w:val="24"/>
          <w:szCs w:val="24"/>
          <w:lang w:val="en-US"/>
        </w:rPr>
        <w:t>）在最近一年内投标人拟委任的项目经理因违反《注册建造师管理规定》被建设主管部门或者其他有关部门行政处罚的；</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19</w:t>
      </w:r>
      <w:r>
        <w:rPr>
          <w:rFonts w:hint="eastAsia"/>
          <w:sz w:val="24"/>
          <w:szCs w:val="24"/>
          <w:lang w:val="en-US"/>
        </w:rPr>
        <w:t>）单位负责人为同一人或者存在控股、管理关系的不同单位，不得在同一标段或未划分标段的同一项目中同时投标。</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20</w:t>
      </w:r>
      <w:r>
        <w:rPr>
          <w:rFonts w:hint="eastAsia"/>
          <w:sz w:val="24"/>
          <w:szCs w:val="24"/>
          <w:lang w:val="en-US"/>
        </w:rPr>
        <w:t>）拟任项目经理在参加本项目投标时（指提交投标文件截止时间）在其他项目担任项目经理的（在本项目其他标段担任项目经理的除外）。</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21</w:t>
      </w:r>
      <w:r>
        <w:rPr>
          <w:rFonts w:hint="eastAsia"/>
          <w:sz w:val="24"/>
          <w:szCs w:val="24"/>
          <w:lang w:val="en-US"/>
        </w:rPr>
        <w:t>）根据国家或行政区域内有关部门制定的联合惩戒措施规范性文件（联合惩戒措施包括限制参与工程招投标或限制参与政府采购活动），被列为联合惩戒对象的；</w:t>
      </w:r>
    </w:p>
    <w:p>
      <w:pPr>
        <w:pStyle w:val="58"/>
        <w:tabs>
          <w:tab w:val="left" w:pos="1222"/>
        </w:tabs>
        <w:spacing w:line="360" w:lineRule="auto"/>
        <w:ind w:left="0" w:firstLine="240" w:firstLineChars="100"/>
        <w:rPr>
          <w:sz w:val="24"/>
          <w:szCs w:val="24"/>
          <w:lang w:val="en-US"/>
        </w:rPr>
      </w:pPr>
      <w:r>
        <w:rPr>
          <w:rFonts w:hint="eastAsia"/>
          <w:sz w:val="24"/>
          <w:szCs w:val="24"/>
          <w:lang w:val="en-US"/>
        </w:rPr>
        <w:t>注：除此之外招标人不得另行增加其他限制投标情形。</w:t>
      </w:r>
    </w:p>
    <w:p>
      <w:pPr>
        <w:pStyle w:val="58"/>
        <w:tabs>
          <w:tab w:val="left" w:pos="1222"/>
        </w:tabs>
        <w:spacing w:line="360" w:lineRule="auto"/>
        <w:ind w:left="0" w:firstLine="240" w:firstLineChars="100"/>
        <w:rPr>
          <w:sz w:val="24"/>
          <w:szCs w:val="24"/>
          <w:lang w:val="en-US"/>
        </w:rPr>
      </w:pPr>
      <w:r>
        <w:rPr>
          <w:rFonts w:hint="eastAsia"/>
          <w:sz w:val="24"/>
          <w:szCs w:val="24"/>
          <w:lang w:val="en-US"/>
        </w:rPr>
        <w:t>本条规定的事项，应以有关行政主管部门出具的行政处罚决定书或司法部门出具的已生效的裁判文书为依据，“近三年”“近一年”应以行政处罚决定书或裁判文书的出具时间起算。</w:t>
      </w:r>
    </w:p>
    <w:p>
      <w:pPr>
        <w:pStyle w:val="58"/>
        <w:tabs>
          <w:tab w:val="left" w:pos="1222"/>
        </w:tabs>
        <w:spacing w:line="360" w:lineRule="auto"/>
        <w:ind w:left="0" w:firstLine="240" w:firstLineChars="100"/>
        <w:rPr>
          <w:sz w:val="24"/>
          <w:szCs w:val="24"/>
          <w:lang w:val="en-US"/>
        </w:rPr>
      </w:pPr>
      <w:r>
        <w:rPr>
          <w:rFonts w:hint="eastAsia"/>
          <w:sz w:val="24"/>
          <w:szCs w:val="24"/>
          <w:lang w:val="en-US"/>
        </w:rPr>
        <w:t>“被暂停或取消投标资格的”是指：投标人存在被行政主管部门依据法律、法规、规章作出暂停或取消一定时期投标资格的已生效行政处罚，其限制投标范围与所依据的法律、法规、规章适用范围相同，与行政处罚规定的限制投标行政区域无关。</w:t>
      </w:r>
    </w:p>
    <w:p>
      <w:pPr>
        <w:pStyle w:val="58"/>
        <w:tabs>
          <w:tab w:val="left" w:pos="1222"/>
        </w:tabs>
        <w:spacing w:line="360" w:lineRule="auto"/>
        <w:ind w:left="0" w:firstLine="240" w:firstLineChars="100"/>
        <w:rPr>
          <w:sz w:val="24"/>
          <w:szCs w:val="24"/>
          <w:lang w:val="en-US"/>
        </w:rPr>
      </w:pPr>
      <w:r>
        <w:rPr>
          <w:rFonts w:hint="eastAsia"/>
          <w:sz w:val="24"/>
          <w:szCs w:val="24"/>
          <w:lang w:val="en-US"/>
        </w:rPr>
        <w:t>骗取中标是指投标人实施了以弄虚作假的行为作为谋取中标的手段，投标人只要具有弄虚作假的行为，无论结果是否中标，都属于骗取中标。</w:t>
      </w:r>
    </w:p>
    <w:p>
      <w:pPr>
        <w:pStyle w:val="58"/>
        <w:tabs>
          <w:tab w:val="left" w:pos="1222"/>
        </w:tabs>
        <w:spacing w:line="360" w:lineRule="auto"/>
        <w:ind w:left="0" w:firstLine="240" w:firstLineChars="100"/>
        <w:rPr>
          <w:sz w:val="24"/>
          <w:szCs w:val="24"/>
          <w:lang w:val="en-US"/>
        </w:rPr>
      </w:pPr>
      <w:r>
        <w:rPr>
          <w:rFonts w:hint="eastAsia"/>
          <w:sz w:val="24"/>
          <w:szCs w:val="24"/>
          <w:lang w:val="en-US"/>
        </w:rPr>
        <w:t>“严重违约”是指：</w:t>
      </w:r>
      <w:r>
        <w:rPr>
          <w:sz w:val="24"/>
          <w:szCs w:val="24"/>
          <w:lang w:val="en-US"/>
        </w:rPr>
        <w:t xml:space="preserve">                          </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1</w:t>
      </w:r>
      <w:r>
        <w:rPr>
          <w:rFonts w:hint="eastAsia"/>
          <w:sz w:val="24"/>
          <w:szCs w:val="24"/>
          <w:lang w:val="en-US"/>
        </w:rPr>
        <w:t>）在经营活动中，被行政监督部门或司法机关认定为情节严重的或严重违约的。</w:t>
      </w:r>
    </w:p>
    <w:p>
      <w:pPr>
        <w:pStyle w:val="58"/>
        <w:tabs>
          <w:tab w:val="left" w:pos="1222"/>
        </w:tabs>
        <w:spacing w:line="360" w:lineRule="auto"/>
        <w:ind w:left="0" w:firstLine="240" w:firstLineChars="100"/>
        <w:rPr>
          <w:sz w:val="24"/>
          <w:szCs w:val="24"/>
          <w:lang w:val="en-US"/>
        </w:rPr>
      </w:pPr>
      <w:r>
        <w:rPr>
          <w:rFonts w:hint="eastAsia"/>
          <w:sz w:val="24"/>
          <w:szCs w:val="24"/>
          <w:lang w:val="en-US"/>
        </w:rPr>
        <w:t>（</w:t>
      </w:r>
      <w:r>
        <w:rPr>
          <w:sz w:val="24"/>
          <w:szCs w:val="24"/>
          <w:lang w:val="en-US"/>
        </w:rPr>
        <w:t>2</w:t>
      </w:r>
      <w:r>
        <w:rPr>
          <w:rFonts w:hint="eastAsia"/>
          <w:sz w:val="24"/>
          <w:szCs w:val="24"/>
          <w:lang w:val="en-US"/>
        </w:rPr>
        <w:t>）在既往工程建设项目中，转包的。</w:t>
      </w:r>
    </w:p>
    <w:p>
      <w:pPr>
        <w:pStyle w:val="58"/>
        <w:tabs>
          <w:tab w:val="left" w:pos="1222"/>
        </w:tabs>
        <w:spacing w:line="360" w:lineRule="auto"/>
        <w:ind w:left="0" w:firstLine="240" w:firstLineChars="100"/>
        <w:rPr>
          <w:color w:val="FF0000"/>
          <w:sz w:val="24"/>
          <w:szCs w:val="24"/>
        </w:rPr>
      </w:pPr>
      <w:r>
        <w:rPr>
          <w:rFonts w:hint="eastAsia"/>
          <w:sz w:val="24"/>
          <w:szCs w:val="24"/>
          <w:lang w:val="en-US"/>
        </w:rPr>
        <w:t>（</w:t>
      </w:r>
      <w:r>
        <w:rPr>
          <w:sz w:val="24"/>
          <w:szCs w:val="24"/>
          <w:lang w:val="en-US"/>
        </w:rPr>
        <w:t>3</w:t>
      </w:r>
      <w:r>
        <w:rPr>
          <w:rFonts w:hint="eastAsia"/>
          <w:sz w:val="24"/>
          <w:szCs w:val="24"/>
          <w:lang w:val="en-US"/>
        </w:rPr>
        <w:t>）在既往工程建设项目中，违法分包</w:t>
      </w:r>
      <w:r>
        <w:rPr>
          <w:sz w:val="24"/>
          <w:szCs w:val="24"/>
          <w:lang w:val="en-US"/>
        </w:rPr>
        <w:t>2</w:t>
      </w:r>
      <w:r>
        <w:rPr>
          <w:rFonts w:hint="eastAsia"/>
          <w:sz w:val="24"/>
          <w:szCs w:val="24"/>
          <w:lang w:val="en-US"/>
        </w:rPr>
        <w:t>次以上的。</w:t>
      </w:r>
    </w:p>
    <w:p>
      <w:pPr>
        <w:pStyle w:val="7"/>
        <w:tabs>
          <w:tab w:val="left" w:pos="1031"/>
        </w:tabs>
        <w:spacing w:line="360" w:lineRule="auto"/>
        <w:ind w:left="0" w:firstLine="0"/>
        <w:rPr>
          <w:rFonts w:ascii="宋体" w:hAnsi="宋体" w:eastAsia="宋体" w:cs="宋体"/>
        </w:rPr>
      </w:pPr>
      <w:r>
        <w:rPr>
          <w:rFonts w:ascii="宋体" w:hAnsi="宋体" w:eastAsia="宋体" w:cs="宋体"/>
          <w:lang w:val="en-US"/>
        </w:rPr>
        <w:t>1.5</w:t>
      </w:r>
      <w:r>
        <w:rPr>
          <w:rFonts w:hint="eastAsia" w:ascii="宋体" w:hAnsi="宋体" w:eastAsia="宋体" w:cs="宋体"/>
        </w:rPr>
        <w:t>费用承担</w:t>
      </w:r>
    </w:p>
    <w:p>
      <w:pPr>
        <w:pStyle w:val="18"/>
        <w:spacing w:line="360" w:lineRule="auto"/>
        <w:ind w:firstLine="480" w:firstLineChars="200"/>
      </w:pPr>
      <w:r>
        <w:rPr>
          <w:rFonts w:hint="eastAsia"/>
        </w:rPr>
        <w:t>投标人准备和参加投标活动发生的费用自理。</w:t>
      </w:r>
    </w:p>
    <w:p>
      <w:pPr>
        <w:pStyle w:val="7"/>
        <w:tabs>
          <w:tab w:val="left" w:pos="1031"/>
        </w:tabs>
        <w:spacing w:line="360" w:lineRule="auto"/>
        <w:ind w:left="0" w:firstLine="0"/>
        <w:rPr>
          <w:rFonts w:ascii="宋体" w:hAnsi="宋体" w:eastAsia="宋体" w:cs="宋体"/>
          <w:lang w:val="en-US"/>
        </w:rPr>
      </w:pPr>
      <w:r>
        <w:rPr>
          <w:rFonts w:ascii="宋体" w:hAnsi="宋体" w:eastAsia="宋体" w:cs="宋体"/>
          <w:lang w:val="en-US"/>
        </w:rPr>
        <w:t>1.6</w:t>
      </w:r>
      <w:r>
        <w:rPr>
          <w:rFonts w:hint="eastAsia" w:ascii="宋体" w:hAnsi="宋体" w:eastAsia="宋体" w:cs="宋体"/>
          <w:lang w:val="en-US"/>
        </w:rPr>
        <w:t>保密</w:t>
      </w:r>
    </w:p>
    <w:p>
      <w:pPr>
        <w:pStyle w:val="7"/>
        <w:tabs>
          <w:tab w:val="left" w:pos="1031"/>
        </w:tabs>
        <w:spacing w:line="360" w:lineRule="auto"/>
        <w:ind w:left="0" w:firstLine="240" w:firstLineChars="100"/>
        <w:rPr>
          <w:rFonts w:ascii="宋体" w:hAnsi="宋体" w:eastAsia="宋体" w:cs="宋体"/>
          <w:b w:val="0"/>
          <w:bCs w:val="0"/>
          <w:lang w:val="en-US"/>
        </w:rPr>
      </w:pPr>
      <w:r>
        <w:rPr>
          <w:rFonts w:hint="eastAsia" w:ascii="宋体" w:hAnsi="宋体" w:eastAsia="宋体" w:cs="宋体"/>
          <w:b w:val="0"/>
          <w:bCs w:val="0"/>
          <w:lang w:val="en-US"/>
        </w:rPr>
        <w:t>参与招标投标活动的各方应对招标文件和投标文件中的商业和技术等秘密保密，违者应对</w:t>
      </w:r>
    </w:p>
    <w:p>
      <w:pPr>
        <w:pStyle w:val="7"/>
        <w:tabs>
          <w:tab w:val="left" w:pos="1031"/>
        </w:tabs>
        <w:spacing w:line="360" w:lineRule="auto"/>
        <w:ind w:left="0" w:firstLine="0"/>
        <w:rPr>
          <w:rFonts w:ascii="宋体" w:hAnsi="宋体" w:eastAsia="宋体" w:cs="宋体"/>
          <w:b w:val="0"/>
          <w:bCs w:val="0"/>
          <w:lang w:val="en-US"/>
        </w:rPr>
      </w:pPr>
      <w:r>
        <w:rPr>
          <w:rFonts w:hint="eastAsia" w:ascii="宋体" w:hAnsi="宋体" w:eastAsia="宋体" w:cs="宋体"/>
          <w:b w:val="0"/>
          <w:bCs w:val="0"/>
          <w:lang w:val="en-US"/>
        </w:rPr>
        <w:t>此造成的后果承担法律责任。</w:t>
      </w:r>
    </w:p>
    <w:p>
      <w:pPr>
        <w:pStyle w:val="7"/>
        <w:tabs>
          <w:tab w:val="left" w:pos="1031"/>
        </w:tabs>
        <w:spacing w:line="360" w:lineRule="auto"/>
        <w:ind w:left="0" w:firstLine="0"/>
        <w:rPr>
          <w:rFonts w:ascii="宋体" w:hAnsi="宋体" w:eastAsia="宋体" w:cs="宋体"/>
        </w:rPr>
      </w:pPr>
      <w:r>
        <w:rPr>
          <w:rFonts w:ascii="宋体" w:hAnsi="宋体" w:eastAsia="宋体" w:cs="宋体"/>
          <w:lang w:val="en-US"/>
        </w:rPr>
        <w:t>1.7</w:t>
      </w:r>
      <w:r>
        <w:rPr>
          <w:rFonts w:hint="eastAsia" w:ascii="宋体" w:hAnsi="宋体" w:eastAsia="宋体" w:cs="宋体"/>
        </w:rPr>
        <w:t>语言文字</w:t>
      </w:r>
    </w:p>
    <w:p>
      <w:pPr>
        <w:pStyle w:val="7"/>
        <w:tabs>
          <w:tab w:val="left" w:pos="1031"/>
        </w:tabs>
        <w:spacing w:line="360" w:lineRule="auto"/>
        <w:ind w:left="0" w:firstLine="448" w:firstLineChars="200"/>
        <w:rPr>
          <w:rFonts w:ascii="宋体" w:hAnsi="宋体" w:eastAsia="宋体" w:cs="宋体"/>
          <w:b w:val="0"/>
          <w:bCs w:val="0"/>
        </w:rPr>
      </w:pPr>
      <w:r>
        <w:rPr>
          <w:rFonts w:hint="eastAsia" w:ascii="宋体" w:hAnsi="宋体" w:eastAsia="宋体" w:cs="宋体"/>
          <w:b w:val="0"/>
          <w:bCs w:val="0"/>
          <w:spacing w:val="-8"/>
        </w:rPr>
        <w:t>除专用术语外，与招标投标有关的语言均使用中文。必要时专用术语应附有中</w:t>
      </w:r>
      <w:r>
        <w:rPr>
          <w:rFonts w:hint="eastAsia" w:ascii="宋体" w:hAnsi="宋体" w:eastAsia="宋体" w:cs="宋体"/>
          <w:b w:val="0"/>
          <w:bCs w:val="0"/>
        </w:rPr>
        <w:t>文注释。</w:t>
      </w:r>
    </w:p>
    <w:p>
      <w:pPr>
        <w:pStyle w:val="7"/>
        <w:tabs>
          <w:tab w:val="left" w:pos="1031"/>
        </w:tabs>
        <w:spacing w:line="360" w:lineRule="auto"/>
        <w:ind w:left="0" w:firstLine="0"/>
        <w:rPr>
          <w:rFonts w:ascii="宋体" w:hAnsi="宋体" w:eastAsia="宋体" w:cs="宋体"/>
        </w:rPr>
      </w:pPr>
      <w:r>
        <w:rPr>
          <w:rFonts w:ascii="宋体" w:hAnsi="宋体" w:eastAsia="宋体" w:cs="宋体"/>
          <w:lang w:val="en-US"/>
        </w:rPr>
        <w:t>1.8</w:t>
      </w:r>
      <w:r>
        <w:rPr>
          <w:rFonts w:hint="eastAsia" w:ascii="宋体" w:hAnsi="宋体" w:eastAsia="宋体" w:cs="宋体"/>
        </w:rPr>
        <w:t>计量单位</w:t>
      </w:r>
    </w:p>
    <w:p>
      <w:pPr>
        <w:pStyle w:val="18"/>
        <w:spacing w:line="360" w:lineRule="auto"/>
      </w:pPr>
      <w:r>
        <w:rPr>
          <w:rFonts w:hint="eastAsia"/>
        </w:rPr>
        <w:t>所有计量均采用中华人民共和国法定计量单位。</w:t>
      </w:r>
    </w:p>
    <w:p>
      <w:pPr>
        <w:pStyle w:val="7"/>
        <w:tabs>
          <w:tab w:val="left" w:pos="1031"/>
        </w:tabs>
        <w:spacing w:line="360" w:lineRule="auto"/>
        <w:ind w:left="0" w:firstLine="0"/>
        <w:rPr>
          <w:rFonts w:ascii="宋体" w:hAnsi="宋体" w:eastAsia="宋体" w:cs="宋体"/>
          <w:lang w:val="en-US"/>
        </w:rPr>
      </w:pPr>
      <w:r>
        <w:rPr>
          <w:rFonts w:ascii="宋体" w:hAnsi="宋体" w:eastAsia="宋体" w:cs="宋体"/>
          <w:lang w:val="en-US"/>
        </w:rPr>
        <w:t>1.9</w:t>
      </w:r>
      <w:r>
        <w:rPr>
          <w:rFonts w:hint="eastAsia" w:ascii="宋体" w:hAnsi="宋体" w:eastAsia="宋体" w:cs="宋体"/>
          <w:lang w:val="en-US"/>
        </w:rPr>
        <w:t>踏勘现场</w:t>
      </w:r>
    </w:p>
    <w:p>
      <w:pPr>
        <w:pStyle w:val="7"/>
        <w:tabs>
          <w:tab w:val="left" w:pos="1031"/>
        </w:tabs>
        <w:spacing w:line="360" w:lineRule="auto"/>
        <w:ind w:left="0" w:firstLine="480" w:firstLineChars="200"/>
        <w:rPr>
          <w:rFonts w:ascii="宋体" w:hAnsi="宋体" w:eastAsia="宋体" w:cs="宋体"/>
          <w:b w:val="0"/>
          <w:bCs w:val="0"/>
        </w:rPr>
      </w:pPr>
      <w:r>
        <w:rPr>
          <w:rFonts w:ascii="宋体" w:hAnsi="宋体" w:eastAsia="宋体" w:cs="宋体"/>
          <w:b w:val="0"/>
          <w:bCs w:val="0"/>
          <w:lang w:val="en-US"/>
        </w:rPr>
        <w:t>1.9.1</w:t>
      </w:r>
      <w:r>
        <w:rPr>
          <w:rFonts w:hint="eastAsia" w:ascii="宋体" w:hAnsi="宋体" w:eastAsia="宋体" w:cs="宋体"/>
          <w:b w:val="0"/>
          <w:bCs w:val="0"/>
        </w:rPr>
        <w:t>投标人须知前附表规定组织踏勘现场的，招标人按投标人须知前附表规定的时间、地点组织投标人踏勘工程现场。</w:t>
      </w:r>
    </w:p>
    <w:p>
      <w:pPr>
        <w:pStyle w:val="7"/>
        <w:tabs>
          <w:tab w:val="left" w:pos="1031"/>
        </w:tabs>
        <w:spacing w:line="360" w:lineRule="auto"/>
        <w:ind w:left="0" w:firstLine="480" w:firstLineChars="200"/>
        <w:rPr>
          <w:rFonts w:ascii="宋体" w:hAnsi="宋体" w:eastAsia="宋体" w:cs="宋体"/>
          <w:b w:val="0"/>
          <w:bCs w:val="0"/>
          <w:lang w:val="en-US"/>
        </w:rPr>
      </w:pPr>
      <w:r>
        <w:rPr>
          <w:rFonts w:ascii="宋体" w:hAnsi="宋体" w:eastAsia="宋体" w:cs="宋体"/>
          <w:b w:val="0"/>
          <w:bCs w:val="0"/>
          <w:lang w:val="en-US"/>
        </w:rPr>
        <w:t>1.9.2</w:t>
      </w:r>
      <w:r>
        <w:rPr>
          <w:rFonts w:hint="eastAsia" w:ascii="宋体" w:hAnsi="宋体" w:eastAsia="宋体" w:cs="宋体"/>
          <w:b w:val="0"/>
          <w:bCs w:val="0"/>
          <w:lang w:val="en-US"/>
        </w:rPr>
        <w:t>投标人踏勘现场发生的费用自理。</w:t>
      </w:r>
    </w:p>
    <w:p>
      <w:pPr>
        <w:pStyle w:val="7"/>
        <w:tabs>
          <w:tab w:val="left" w:pos="1031"/>
        </w:tabs>
        <w:spacing w:line="360" w:lineRule="auto"/>
        <w:ind w:left="0" w:firstLine="480" w:firstLineChars="200"/>
        <w:rPr>
          <w:rFonts w:ascii="宋体" w:hAnsi="宋体" w:eastAsia="宋体" w:cs="宋体"/>
          <w:b w:val="0"/>
          <w:bCs w:val="0"/>
          <w:lang w:val="en-US"/>
        </w:rPr>
      </w:pPr>
      <w:r>
        <w:rPr>
          <w:rFonts w:ascii="宋体" w:hAnsi="宋体" w:eastAsia="宋体" w:cs="宋体"/>
          <w:b w:val="0"/>
          <w:bCs w:val="0"/>
          <w:lang w:val="en-US"/>
        </w:rPr>
        <w:t>1.9.3</w:t>
      </w:r>
      <w:r>
        <w:rPr>
          <w:rFonts w:hint="eastAsia" w:ascii="宋体" w:hAnsi="宋体" w:eastAsia="宋体" w:cs="宋体"/>
          <w:b w:val="0"/>
          <w:bCs w:val="0"/>
          <w:lang w:val="en-US"/>
        </w:rPr>
        <w:t>除招标人的原因外，投标人自行负责在踏勘现场中所发生的人员伤亡和财产损失。</w:t>
      </w:r>
    </w:p>
    <w:p>
      <w:pPr>
        <w:pStyle w:val="7"/>
        <w:tabs>
          <w:tab w:val="left" w:pos="1031"/>
        </w:tabs>
        <w:spacing w:line="360" w:lineRule="auto"/>
        <w:ind w:left="0" w:firstLine="480" w:firstLineChars="200"/>
        <w:rPr>
          <w:rFonts w:ascii="宋体" w:hAnsi="宋体" w:eastAsia="宋体" w:cs="宋体"/>
          <w:b w:val="0"/>
          <w:bCs w:val="0"/>
        </w:rPr>
      </w:pPr>
      <w:r>
        <w:rPr>
          <w:rFonts w:ascii="宋体" w:hAnsi="宋体" w:eastAsia="宋体" w:cs="宋体"/>
          <w:b w:val="0"/>
          <w:bCs w:val="0"/>
          <w:lang w:val="en-US"/>
        </w:rPr>
        <w:t>1.9.4</w:t>
      </w:r>
      <w:r>
        <w:rPr>
          <w:rFonts w:hint="eastAsia" w:ascii="宋体" w:hAnsi="宋体" w:eastAsia="宋体" w:cs="宋体"/>
          <w:b w:val="0"/>
          <w:bCs w:val="0"/>
        </w:rPr>
        <w:t>投标人应对本工程场地和周围环境进行考察，如现场地表的形态、气候</w:t>
      </w:r>
      <w:r>
        <w:rPr>
          <w:rFonts w:hint="eastAsia" w:ascii="宋体" w:hAnsi="宋体" w:eastAsia="宋体" w:cs="宋体"/>
          <w:b w:val="0"/>
          <w:bCs w:val="0"/>
          <w:spacing w:val="-6"/>
        </w:rPr>
        <w:t>条件、土壤情况、</w:t>
      </w:r>
      <w:r>
        <w:rPr>
          <w:rFonts w:hint="eastAsia" w:ascii="宋体" w:hAnsi="宋体" w:eastAsia="宋体" w:cs="宋体"/>
          <w:b w:val="0"/>
          <w:bCs w:val="0"/>
        </w:rPr>
        <w:t>现场的水源和电源、取土和弃土场地、进入现场的交通和道路条件、工人生活基地的安排以及临时工程用地条件等，以获取有关准备投标文件和签署合同所需要的资料和信息。招标人在踏勘现场中介绍的工程场地和相关的周边环境情况，供投标人在编制投标文件时参考，招标人不对投标人据此作出的判断和决策负责。</w:t>
      </w:r>
    </w:p>
    <w:p>
      <w:pPr>
        <w:pStyle w:val="7"/>
        <w:tabs>
          <w:tab w:val="left" w:pos="1031"/>
        </w:tabs>
        <w:spacing w:line="360" w:lineRule="auto"/>
        <w:ind w:left="0" w:firstLine="0"/>
        <w:rPr>
          <w:rFonts w:ascii="宋体" w:hAnsi="宋体" w:eastAsia="宋体" w:cs="宋体"/>
          <w:lang w:val="en-US"/>
        </w:rPr>
      </w:pPr>
      <w:r>
        <w:rPr>
          <w:rFonts w:ascii="宋体" w:hAnsi="宋体" w:eastAsia="宋体" w:cs="宋体"/>
          <w:lang w:val="en-US"/>
        </w:rPr>
        <w:t>1.10</w:t>
      </w:r>
      <w:r>
        <w:rPr>
          <w:rFonts w:hint="eastAsia" w:ascii="宋体" w:hAnsi="宋体" w:eastAsia="宋体" w:cs="宋体"/>
          <w:lang w:val="en-US"/>
        </w:rPr>
        <w:t>投标预备会</w:t>
      </w:r>
    </w:p>
    <w:p>
      <w:pPr>
        <w:pStyle w:val="7"/>
        <w:tabs>
          <w:tab w:val="left" w:pos="1130"/>
        </w:tabs>
        <w:spacing w:line="360" w:lineRule="auto"/>
        <w:ind w:left="0" w:firstLine="464" w:firstLineChars="200"/>
        <w:rPr>
          <w:rFonts w:ascii="宋体" w:hAnsi="宋体" w:eastAsia="宋体" w:cs="宋体"/>
          <w:b w:val="0"/>
          <w:bCs w:val="0"/>
          <w:spacing w:val="-4"/>
          <w:lang w:val="en-US"/>
        </w:rPr>
      </w:pPr>
      <w:r>
        <w:rPr>
          <w:rFonts w:ascii="宋体" w:hAnsi="宋体" w:eastAsia="宋体" w:cs="宋体"/>
          <w:b w:val="0"/>
          <w:bCs w:val="0"/>
          <w:spacing w:val="-4"/>
          <w:lang w:val="en-US"/>
        </w:rPr>
        <w:t>1.10.1</w:t>
      </w:r>
      <w:r>
        <w:rPr>
          <w:rFonts w:hint="eastAsia" w:ascii="宋体" w:hAnsi="宋体" w:eastAsia="宋体" w:cs="宋体"/>
          <w:b w:val="0"/>
          <w:bCs w:val="0"/>
          <w:spacing w:val="-4"/>
          <w:lang w:val="en-US"/>
        </w:rPr>
        <w:t>投标人须知前附表规定召开投标预备会的，招标人按投标人须知前附表规定的时间和点召开投标预备会，澄清投标人提出的问题。</w:t>
      </w:r>
    </w:p>
    <w:p>
      <w:pPr>
        <w:pStyle w:val="7"/>
        <w:tabs>
          <w:tab w:val="left" w:pos="1130"/>
        </w:tabs>
        <w:spacing w:line="360" w:lineRule="auto"/>
        <w:ind w:left="0" w:firstLine="464" w:firstLineChars="200"/>
        <w:rPr>
          <w:rFonts w:ascii="宋体" w:hAnsi="宋体" w:eastAsia="宋体" w:cs="宋体"/>
          <w:b w:val="0"/>
          <w:bCs w:val="0"/>
          <w:spacing w:val="-4"/>
          <w:lang w:val="en-US"/>
        </w:rPr>
      </w:pPr>
      <w:r>
        <w:rPr>
          <w:rFonts w:ascii="宋体" w:hAnsi="宋体" w:eastAsia="宋体" w:cs="宋体"/>
          <w:b w:val="0"/>
          <w:bCs w:val="0"/>
          <w:spacing w:val="-4"/>
          <w:lang w:val="en-US"/>
        </w:rPr>
        <w:t>1.10.2</w:t>
      </w:r>
      <w:r>
        <w:rPr>
          <w:rFonts w:hint="eastAsia" w:ascii="宋体" w:hAnsi="宋体" w:eastAsia="宋体" w:cs="宋体"/>
          <w:b w:val="0"/>
          <w:bCs w:val="0"/>
          <w:spacing w:val="-4"/>
          <w:lang w:val="en-US"/>
        </w:rPr>
        <w:t>投标人应在投标人须知前附表规定的时间前，通过电子化平台将提出的问题送达招标人，以便招标人在会议期间澄清。</w:t>
      </w:r>
    </w:p>
    <w:p>
      <w:pPr>
        <w:pStyle w:val="7"/>
        <w:tabs>
          <w:tab w:val="left" w:pos="1130"/>
        </w:tabs>
        <w:spacing w:line="360" w:lineRule="auto"/>
        <w:ind w:left="0" w:firstLine="464" w:firstLineChars="200"/>
        <w:rPr>
          <w:rFonts w:ascii="宋体" w:hAnsi="宋体" w:eastAsia="宋体" w:cs="宋体"/>
          <w:b w:val="0"/>
          <w:bCs w:val="0"/>
          <w:spacing w:val="-4"/>
        </w:rPr>
      </w:pPr>
      <w:r>
        <w:rPr>
          <w:rFonts w:ascii="宋体" w:hAnsi="宋体" w:eastAsia="宋体" w:cs="宋体"/>
          <w:b w:val="0"/>
          <w:bCs w:val="0"/>
          <w:spacing w:val="-4"/>
          <w:lang w:val="en-US"/>
        </w:rPr>
        <w:t>1.10.3</w:t>
      </w:r>
      <w:r>
        <w:rPr>
          <w:rFonts w:hint="eastAsia" w:ascii="宋体" w:hAnsi="宋体" w:eastAsia="宋体" w:cs="宋体"/>
          <w:b w:val="0"/>
          <w:bCs w:val="0"/>
          <w:spacing w:val="-4"/>
        </w:rPr>
        <w:t>投标预备会后，招标人在投标人须知前附表规定的时间内，将对投标人所提问题的澄清，通过电子化平台通知所有获取招标文件的投标人。该澄清内容为招标文件的组成部分。</w:t>
      </w:r>
    </w:p>
    <w:p>
      <w:pPr>
        <w:pStyle w:val="7"/>
        <w:tabs>
          <w:tab w:val="left" w:pos="1031"/>
        </w:tabs>
        <w:spacing w:line="360" w:lineRule="auto"/>
        <w:ind w:left="0" w:firstLine="0"/>
        <w:rPr>
          <w:rFonts w:ascii="宋体" w:hAnsi="宋体" w:eastAsia="宋体" w:cs="宋体"/>
          <w:lang w:val="en-US"/>
        </w:rPr>
      </w:pPr>
      <w:r>
        <w:rPr>
          <w:rFonts w:ascii="宋体" w:hAnsi="宋体" w:eastAsia="宋体" w:cs="宋体"/>
          <w:lang w:val="en-US"/>
        </w:rPr>
        <w:t>1.11</w:t>
      </w:r>
      <w:r>
        <w:rPr>
          <w:rFonts w:hint="eastAsia" w:ascii="宋体" w:hAnsi="宋体" w:eastAsia="宋体" w:cs="宋体"/>
          <w:lang w:val="en-US"/>
        </w:rPr>
        <w:t>分包</w:t>
      </w:r>
    </w:p>
    <w:p>
      <w:pPr>
        <w:pStyle w:val="7"/>
        <w:tabs>
          <w:tab w:val="left" w:pos="1031"/>
        </w:tabs>
        <w:spacing w:line="360" w:lineRule="auto"/>
        <w:ind w:left="0" w:firstLine="240" w:firstLineChars="100"/>
        <w:rPr>
          <w:rFonts w:ascii="宋体" w:hAnsi="宋体" w:eastAsia="宋体" w:cs="宋体"/>
          <w:b w:val="0"/>
          <w:bCs w:val="0"/>
        </w:rPr>
      </w:pPr>
      <w:r>
        <w:rPr>
          <w:rFonts w:hint="eastAsia" w:ascii="宋体" w:hAnsi="宋体" w:eastAsia="宋体" w:cs="宋体"/>
          <w:b w:val="0"/>
          <w:bCs w:val="0"/>
        </w:rPr>
        <w:t>投标人拟在中标后将中标工程的部分非主体、非关键性工作进行分包的，应符合投标人须知前附表规定的分包内容、分包金额和接受分包的第三人资质要求等限制性条件。</w:t>
      </w:r>
    </w:p>
    <w:p>
      <w:pPr>
        <w:pStyle w:val="7"/>
        <w:tabs>
          <w:tab w:val="left" w:pos="1031"/>
        </w:tabs>
        <w:spacing w:line="360" w:lineRule="auto"/>
        <w:ind w:left="0" w:firstLine="0"/>
        <w:rPr>
          <w:rFonts w:ascii="宋体" w:hAnsi="宋体" w:eastAsia="宋体" w:cs="宋体"/>
          <w:b w:val="0"/>
          <w:bCs w:val="0"/>
        </w:rPr>
      </w:pPr>
      <w:r>
        <w:rPr>
          <w:rFonts w:ascii="宋体" w:hAnsi="宋体" w:eastAsia="宋体" w:cs="宋体"/>
          <w:lang w:val="en-US"/>
        </w:rPr>
        <w:t>1.12</w:t>
      </w:r>
      <w:r>
        <w:rPr>
          <w:rFonts w:hint="eastAsia" w:ascii="宋体" w:hAnsi="宋体" w:eastAsia="宋体" w:cs="宋体"/>
        </w:rPr>
        <w:t>偏离</w:t>
      </w:r>
    </w:p>
    <w:p>
      <w:pPr>
        <w:pStyle w:val="7"/>
        <w:tabs>
          <w:tab w:val="left" w:pos="1130"/>
        </w:tabs>
        <w:spacing w:line="360" w:lineRule="auto"/>
        <w:ind w:left="0" w:firstLine="464" w:firstLineChars="200"/>
        <w:rPr>
          <w:rFonts w:ascii="宋体" w:hAnsi="宋体" w:eastAsia="宋体" w:cs="宋体"/>
        </w:rPr>
      </w:pPr>
      <w:r>
        <w:rPr>
          <w:rFonts w:hint="eastAsia" w:ascii="宋体" w:hAnsi="宋体" w:eastAsia="宋体" w:cs="宋体"/>
          <w:b w:val="0"/>
          <w:bCs w:val="0"/>
          <w:spacing w:val="-4"/>
        </w:rPr>
        <w:t>投标人须知前附表允许投标文件偏离招标文件某些要求的，偏离应当符合招标</w:t>
      </w:r>
      <w:r>
        <w:rPr>
          <w:rFonts w:hint="eastAsia" w:ascii="宋体" w:hAnsi="宋体" w:eastAsia="宋体" w:cs="宋体"/>
          <w:b w:val="0"/>
          <w:bCs w:val="0"/>
        </w:rPr>
        <w:t>文件规定的偏离范围和幅度。</w:t>
      </w:r>
    </w:p>
    <w:p>
      <w:pPr>
        <w:pStyle w:val="4"/>
        <w:tabs>
          <w:tab w:val="left" w:pos="1031"/>
        </w:tabs>
        <w:spacing w:line="360" w:lineRule="auto"/>
        <w:ind w:left="0"/>
        <w:rPr>
          <w:rFonts w:ascii="宋体" w:hAnsi="宋体" w:eastAsia="宋体" w:cs="宋体"/>
          <w:sz w:val="24"/>
          <w:szCs w:val="24"/>
        </w:rPr>
      </w:pPr>
      <w:r>
        <w:rPr>
          <w:rFonts w:ascii="宋体" w:hAnsi="宋体" w:eastAsia="宋体" w:cs="宋体"/>
          <w:sz w:val="24"/>
          <w:szCs w:val="24"/>
          <w:lang w:val="en-US"/>
        </w:rPr>
        <w:t>2.</w:t>
      </w:r>
      <w:r>
        <w:rPr>
          <w:rFonts w:hint="eastAsia" w:ascii="宋体" w:hAnsi="宋体" w:eastAsia="宋体" w:cs="宋体"/>
          <w:sz w:val="24"/>
          <w:szCs w:val="24"/>
        </w:rPr>
        <w:t>招标文件</w:t>
      </w:r>
    </w:p>
    <w:p>
      <w:pPr>
        <w:pStyle w:val="4"/>
        <w:tabs>
          <w:tab w:val="left" w:pos="1031"/>
        </w:tabs>
        <w:spacing w:line="360" w:lineRule="auto"/>
        <w:ind w:left="0"/>
        <w:rPr>
          <w:rFonts w:ascii="宋体" w:hAnsi="宋体" w:eastAsia="宋体" w:cs="宋体"/>
          <w:sz w:val="24"/>
          <w:szCs w:val="24"/>
        </w:rPr>
      </w:pPr>
      <w:r>
        <w:rPr>
          <w:rFonts w:ascii="宋体" w:hAnsi="宋体" w:eastAsia="宋体" w:cs="宋体"/>
          <w:spacing w:val="-3"/>
          <w:sz w:val="24"/>
          <w:szCs w:val="24"/>
          <w:lang w:val="en-US"/>
        </w:rPr>
        <w:t>2.1</w:t>
      </w:r>
      <w:r>
        <w:rPr>
          <w:rFonts w:hint="eastAsia" w:ascii="宋体" w:hAnsi="宋体" w:eastAsia="宋体" w:cs="宋体"/>
          <w:spacing w:val="-3"/>
          <w:sz w:val="24"/>
          <w:szCs w:val="24"/>
        </w:rPr>
        <w:t>招标文件的组成</w:t>
      </w:r>
      <w:r>
        <w:rPr>
          <w:rFonts w:hint="eastAsia" w:ascii="宋体" w:hAnsi="宋体" w:eastAsia="宋体" w:cs="宋体"/>
          <w:sz w:val="24"/>
          <w:szCs w:val="24"/>
        </w:rPr>
        <w:t>本招标文件包括：</w:t>
      </w:r>
    </w:p>
    <w:p>
      <w:pPr>
        <w:pStyle w:val="58"/>
        <w:tabs>
          <w:tab w:val="left" w:pos="1222"/>
        </w:tabs>
        <w:spacing w:line="360" w:lineRule="auto"/>
        <w:ind w:left="0" w:firstLine="480" w:firstLineChars="200"/>
        <w:rPr>
          <w:sz w:val="24"/>
          <w:szCs w:val="24"/>
        </w:rPr>
      </w:pPr>
      <w:r>
        <w:rPr>
          <w:rFonts w:hint="eastAsia"/>
          <w:sz w:val="24"/>
          <w:szCs w:val="24"/>
        </w:rPr>
        <w:t>（</w:t>
      </w:r>
      <w:r>
        <w:rPr>
          <w:sz w:val="24"/>
          <w:szCs w:val="24"/>
        </w:rPr>
        <w:t>1</w:t>
      </w:r>
      <w:r>
        <w:rPr>
          <w:rFonts w:hint="eastAsia"/>
          <w:sz w:val="24"/>
          <w:szCs w:val="24"/>
        </w:rPr>
        <w:t>）招标公告（或投标邀请书</w:t>
      </w:r>
      <w:r>
        <w:rPr>
          <w:rFonts w:hint="eastAsia"/>
          <w:spacing w:val="-120"/>
          <w:sz w:val="24"/>
          <w:szCs w:val="24"/>
        </w:rPr>
        <w:t>）</w:t>
      </w:r>
      <w:r>
        <w:rPr>
          <w:rFonts w:hint="eastAsia"/>
          <w:sz w:val="24"/>
          <w:szCs w:val="24"/>
        </w:rPr>
        <w:t>；</w:t>
      </w:r>
    </w:p>
    <w:p>
      <w:pPr>
        <w:pStyle w:val="58"/>
        <w:tabs>
          <w:tab w:val="left" w:pos="1222"/>
        </w:tabs>
        <w:spacing w:line="360" w:lineRule="auto"/>
        <w:ind w:left="0" w:firstLine="480" w:firstLineChars="200"/>
        <w:rPr>
          <w:sz w:val="24"/>
          <w:szCs w:val="24"/>
        </w:rPr>
      </w:pPr>
      <w:r>
        <w:rPr>
          <w:rFonts w:hint="eastAsia"/>
          <w:sz w:val="24"/>
          <w:szCs w:val="24"/>
        </w:rPr>
        <w:t>（</w:t>
      </w:r>
      <w:r>
        <w:rPr>
          <w:sz w:val="24"/>
          <w:szCs w:val="24"/>
        </w:rPr>
        <w:t>2</w:t>
      </w:r>
      <w:r>
        <w:rPr>
          <w:rFonts w:hint="eastAsia"/>
          <w:sz w:val="24"/>
          <w:szCs w:val="24"/>
        </w:rPr>
        <w:t>）投标人须知；</w:t>
      </w:r>
    </w:p>
    <w:p>
      <w:pPr>
        <w:pStyle w:val="58"/>
        <w:tabs>
          <w:tab w:val="left" w:pos="1222"/>
        </w:tabs>
        <w:spacing w:line="360" w:lineRule="auto"/>
        <w:ind w:left="0" w:firstLine="480" w:firstLineChars="200"/>
        <w:rPr>
          <w:sz w:val="24"/>
          <w:szCs w:val="24"/>
        </w:rPr>
      </w:pPr>
      <w:r>
        <w:rPr>
          <w:rFonts w:hint="eastAsia"/>
          <w:sz w:val="24"/>
          <w:szCs w:val="24"/>
        </w:rPr>
        <w:t>（</w:t>
      </w:r>
      <w:r>
        <w:rPr>
          <w:sz w:val="24"/>
          <w:szCs w:val="24"/>
        </w:rPr>
        <w:t>3</w:t>
      </w:r>
      <w:r>
        <w:rPr>
          <w:rFonts w:hint="eastAsia"/>
          <w:sz w:val="24"/>
          <w:szCs w:val="24"/>
        </w:rPr>
        <w:t>）评标办法；</w:t>
      </w:r>
    </w:p>
    <w:p>
      <w:pPr>
        <w:pStyle w:val="58"/>
        <w:tabs>
          <w:tab w:val="left" w:pos="1222"/>
        </w:tabs>
        <w:spacing w:line="360" w:lineRule="auto"/>
        <w:ind w:left="0" w:firstLine="480" w:firstLineChars="200"/>
        <w:rPr>
          <w:sz w:val="24"/>
          <w:szCs w:val="24"/>
        </w:rPr>
      </w:pPr>
      <w:r>
        <w:rPr>
          <w:rFonts w:hint="eastAsia"/>
          <w:sz w:val="24"/>
          <w:szCs w:val="24"/>
        </w:rPr>
        <w:t>（</w:t>
      </w:r>
      <w:r>
        <w:rPr>
          <w:sz w:val="24"/>
          <w:szCs w:val="24"/>
        </w:rPr>
        <w:t>4</w:t>
      </w:r>
      <w:r>
        <w:rPr>
          <w:rFonts w:hint="eastAsia"/>
          <w:sz w:val="24"/>
          <w:szCs w:val="24"/>
        </w:rPr>
        <w:t>）合同条款及格式；</w:t>
      </w:r>
    </w:p>
    <w:p>
      <w:pPr>
        <w:pStyle w:val="58"/>
        <w:tabs>
          <w:tab w:val="left" w:pos="1222"/>
        </w:tabs>
        <w:spacing w:line="360" w:lineRule="auto"/>
        <w:ind w:left="0" w:firstLine="480" w:firstLineChars="200"/>
        <w:rPr>
          <w:sz w:val="24"/>
          <w:szCs w:val="24"/>
        </w:rPr>
      </w:pPr>
      <w:r>
        <w:rPr>
          <w:rFonts w:hint="eastAsia"/>
          <w:sz w:val="24"/>
          <w:szCs w:val="24"/>
        </w:rPr>
        <w:t>（</w:t>
      </w:r>
      <w:r>
        <w:rPr>
          <w:sz w:val="24"/>
          <w:szCs w:val="24"/>
        </w:rPr>
        <w:t>5</w:t>
      </w:r>
      <w:r>
        <w:rPr>
          <w:rFonts w:hint="eastAsia"/>
          <w:sz w:val="24"/>
          <w:szCs w:val="24"/>
        </w:rPr>
        <w:t>）招标工程量清单；</w:t>
      </w:r>
    </w:p>
    <w:p>
      <w:pPr>
        <w:pStyle w:val="58"/>
        <w:tabs>
          <w:tab w:val="left" w:pos="1222"/>
        </w:tabs>
        <w:spacing w:line="360" w:lineRule="auto"/>
        <w:ind w:left="0" w:firstLine="480" w:firstLineChars="200"/>
        <w:rPr>
          <w:sz w:val="24"/>
          <w:szCs w:val="24"/>
        </w:rPr>
      </w:pPr>
      <w:r>
        <w:rPr>
          <w:rFonts w:hint="eastAsia"/>
          <w:sz w:val="24"/>
          <w:szCs w:val="24"/>
        </w:rPr>
        <w:t>（</w:t>
      </w:r>
      <w:r>
        <w:rPr>
          <w:sz w:val="24"/>
          <w:szCs w:val="24"/>
        </w:rPr>
        <w:t>6</w:t>
      </w:r>
      <w:r>
        <w:rPr>
          <w:rFonts w:hint="eastAsia"/>
          <w:sz w:val="24"/>
          <w:szCs w:val="24"/>
        </w:rPr>
        <w:t>）图纸；</w:t>
      </w:r>
    </w:p>
    <w:p>
      <w:pPr>
        <w:pStyle w:val="58"/>
        <w:tabs>
          <w:tab w:val="left" w:pos="1222"/>
        </w:tabs>
        <w:spacing w:line="360" w:lineRule="auto"/>
        <w:ind w:left="0" w:firstLine="480" w:firstLineChars="200"/>
        <w:rPr>
          <w:color w:val="FFFFFF"/>
          <w:sz w:val="24"/>
          <w:szCs w:val="24"/>
        </w:rPr>
      </w:pPr>
      <w:r>
        <w:rPr>
          <w:rFonts w:hint="eastAsia"/>
          <w:sz w:val="24"/>
          <w:szCs w:val="24"/>
        </w:rPr>
        <w:t>（</w:t>
      </w:r>
      <w:r>
        <w:rPr>
          <w:sz w:val="24"/>
          <w:szCs w:val="24"/>
        </w:rPr>
        <w:t>7</w:t>
      </w:r>
      <w:r>
        <w:rPr>
          <w:rFonts w:hint="eastAsia"/>
          <w:sz w:val="24"/>
          <w:szCs w:val="24"/>
        </w:rPr>
        <w:t>）技术标准和要求；</w:t>
      </w:r>
    </w:p>
    <w:p>
      <w:pPr>
        <w:pStyle w:val="7"/>
        <w:tabs>
          <w:tab w:val="left" w:pos="1130"/>
        </w:tabs>
        <w:spacing w:line="360" w:lineRule="auto"/>
        <w:ind w:left="0" w:firstLine="464" w:firstLineChars="200"/>
        <w:rPr>
          <w:rFonts w:ascii="宋体" w:hAnsi="宋体" w:eastAsia="宋体" w:cs="宋体"/>
          <w:b w:val="0"/>
          <w:bCs w:val="0"/>
          <w:spacing w:val="-4"/>
        </w:rPr>
      </w:pPr>
      <w:r>
        <w:rPr>
          <w:rFonts w:hint="eastAsia" w:ascii="宋体" w:hAnsi="宋体" w:eastAsia="宋体" w:cs="宋体"/>
          <w:b w:val="0"/>
          <w:bCs w:val="0"/>
          <w:spacing w:val="-4"/>
        </w:rPr>
        <w:t>（</w:t>
      </w:r>
      <w:r>
        <w:rPr>
          <w:rFonts w:ascii="宋体" w:hAnsi="宋体" w:eastAsia="宋体" w:cs="宋体"/>
          <w:b w:val="0"/>
          <w:bCs w:val="0"/>
          <w:spacing w:val="-4"/>
        </w:rPr>
        <w:t>8</w:t>
      </w:r>
      <w:r>
        <w:rPr>
          <w:rFonts w:hint="eastAsia" w:ascii="宋体" w:hAnsi="宋体" w:eastAsia="宋体" w:cs="宋体"/>
          <w:b w:val="0"/>
          <w:bCs w:val="0"/>
          <w:spacing w:val="-4"/>
        </w:rPr>
        <w:t>）投标文件格式；</w:t>
      </w:r>
    </w:p>
    <w:p>
      <w:pPr>
        <w:pStyle w:val="7"/>
        <w:tabs>
          <w:tab w:val="left" w:pos="1130"/>
        </w:tabs>
        <w:spacing w:line="360" w:lineRule="auto"/>
        <w:ind w:left="0" w:firstLine="464" w:firstLineChars="200"/>
        <w:rPr>
          <w:rFonts w:ascii="宋体" w:hAnsi="宋体" w:eastAsia="宋体" w:cs="宋体"/>
          <w:b w:val="0"/>
          <w:bCs w:val="0"/>
          <w:spacing w:val="-4"/>
        </w:rPr>
      </w:pPr>
      <w:r>
        <w:rPr>
          <w:rFonts w:hint="eastAsia" w:ascii="宋体" w:hAnsi="宋体" w:eastAsia="宋体" w:cs="宋体"/>
          <w:b w:val="0"/>
          <w:bCs w:val="0"/>
          <w:spacing w:val="-4"/>
        </w:rPr>
        <w:t>（9）投标人须知前附表规定的其他材料。</w:t>
      </w:r>
    </w:p>
    <w:p>
      <w:pPr>
        <w:pStyle w:val="7"/>
        <w:tabs>
          <w:tab w:val="left" w:pos="1130"/>
        </w:tabs>
        <w:spacing w:line="360" w:lineRule="auto"/>
        <w:ind w:left="0" w:firstLine="464" w:firstLineChars="200"/>
        <w:rPr>
          <w:rFonts w:ascii="宋体" w:hAnsi="宋体" w:eastAsia="宋体" w:cs="宋体"/>
          <w:b w:val="0"/>
          <w:bCs w:val="0"/>
          <w:spacing w:val="-4"/>
        </w:rPr>
      </w:pPr>
      <w:r>
        <w:rPr>
          <w:rFonts w:hint="eastAsia" w:ascii="宋体" w:hAnsi="宋体" w:eastAsia="宋体" w:cs="宋体"/>
          <w:b w:val="0"/>
          <w:bCs w:val="0"/>
          <w:spacing w:val="-4"/>
        </w:rPr>
        <w:t>根据本章第</w:t>
      </w:r>
      <w:r>
        <w:rPr>
          <w:rFonts w:ascii="宋体" w:hAnsi="宋体" w:eastAsia="宋体" w:cs="宋体"/>
          <w:b w:val="0"/>
          <w:bCs w:val="0"/>
          <w:spacing w:val="-4"/>
        </w:rPr>
        <w:t xml:space="preserve"> 2.1 </w:t>
      </w:r>
      <w:r>
        <w:rPr>
          <w:rFonts w:hint="eastAsia" w:ascii="宋体" w:hAnsi="宋体" w:eastAsia="宋体" w:cs="宋体"/>
          <w:b w:val="0"/>
          <w:bCs w:val="0"/>
          <w:spacing w:val="-4"/>
        </w:rPr>
        <w:t>款、第</w:t>
      </w:r>
      <w:r>
        <w:rPr>
          <w:rFonts w:ascii="宋体" w:hAnsi="宋体" w:eastAsia="宋体" w:cs="宋体"/>
          <w:b w:val="0"/>
          <w:bCs w:val="0"/>
          <w:spacing w:val="-4"/>
        </w:rPr>
        <w:t xml:space="preserve"> 2.2 </w:t>
      </w:r>
      <w:r>
        <w:rPr>
          <w:rFonts w:hint="eastAsia" w:ascii="宋体" w:hAnsi="宋体" w:eastAsia="宋体" w:cs="宋体"/>
          <w:b w:val="0"/>
          <w:bCs w:val="0"/>
          <w:spacing w:val="-4"/>
        </w:rPr>
        <w:t>款和第</w:t>
      </w:r>
      <w:r>
        <w:rPr>
          <w:rFonts w:ascii="宋体" w:hAnsi="宋体" w:eastAsia="宋体" w:cs="宋体"/>
          <w:b w:val="0"/>
          <w:bCs w:val="0"/>
          <w:spacing w:val="-4"/>
        </w:rPr>
        <w:t xml:space="preserve"> 2.3 </w:t>
      </w:r>
      <w:r>
        <w:rPr>
          <w:rFonts w:hint="eastAsia" w:ascii="宋体" w:hAnsi="宋体" w:eastAsia="宋体" w:cs="宋体"/>
          <w:b w:val="0"/>
          <w:bCs w:val="0"/>
          <w:spacing w:val="-4"/>
        </w:rPr>
        <w:t>款对招标文件所作的澄清、修改，构成招标文件的组成部分。</w:t>
      </w:r>
    </w:p>
    <w:p>
      <w:pPr>
        <w:pStyle w:val="7"/>
        <w:tabs>
          <w:tab w:val="left" w:pos="1130"/>
        </w:tabs>
        <w:spacing w:line="360" w:lineRule="auto"/>
        <w:ind w:left="0" w:firstLine="464" w:firstLineChars="200"/>
        <w:rPr>
          <w:rFonts w:ascii="宋体" w:hAnsi="宋体" w:eastAsia="宋体" w:cs="宋体"/>
          <w:b w:val="0"/>
          <w:bCs w:val="0"/>
          <w:spacing w:val="-4"/>
        </w:rPr>
      </w:pPr>
      <w:r>
        <w:rPr>
          <w:rFonts w:hint="eastAsia" w:ascii="宋体" w:hAnsi="宋体" w:eastAsia="宋体" w:cs="宋体"/>
          <w:b w:val="0"/>
          <w:bCs w:val="0"/>
          <w:spacing w:val="-4"/>
        </w:rPr>
        <w:t>招标文件所附的图纸和技术资料仅用于投标人编制投标文件之目的，未经招标人书面许可，投标人不得将上述文件用于其他目的，也不得将招标文件泄漏给任何第三方。凡获得招标文件者，无论中标与否，均应对招标文件保密，并承担因其泄密而引起的一切责任。招标人有权追究因投标人侵犯招标人的知识产权或泄密而引起的一切责任。</w:t>
      </w:r>
    </w:p>
    <w:p>
      <w:pPr>
        <w:pStyle w:val="7"/>
        <w:tabs>
          <w:tab w:val="left" w:pos="1031"/>
        </w:tabs>
        <w:spacing w:line="360" w:lineRule="auto"/>
        <w:ind w:left="0" w:firstLine="0"/>
        <w:rPr>
          <w:rFonts w:ascii="宋体" w:hAnsi="宋体" w:eastAsia="宋体" w:cs="宋体"/>
        </w:rPr>
      </w:pPr>
      <w:r>
        <w:rPr>
          <w:rFonts w:ascii="宋体" w:hAnsi="宋体" w:eastAsia="宋体" w:cs="宋体"/>
          <w:lang w:val="en-US"/>
        </w:rPr>
        <w:t>2.2</w:t>
      </w:r>
      <w:r>
        <w:rPr>
          <w:rFonts w:hint="eastAsia" w:ascii="宋体" w:hAnsi="宋体" w:eastAsia="宋体" w:cs="宋体"/>
        </w:rPr>
        <w:t>招标文件的澄清</w:t>
      </w:r>
    </w:p>
    <w:p>
      <w:pPr>
        <w:pStyle w:val="7"/>
        <w:tabs>
          <w:tab w:val="left" w:pos="1130"/>
        </w:tabs>
        <w:spacing w:line="360" w:lineRule="auto"/>
        <w:ind w:left="0" w:firstLine="464" w:firstLineChars="200"/>
        <w:rPr>
          <w:rFonts w:ascii="宋体" w:hAnsi="宋体" w:eastAsia="宋体" w:cs="宋体"/>
          <w:b w:val="0"/>
          <w:bCs w:val="0"/>
          <w:spacing w:val="-4"/>
        </w:rPr>
      </w:pPr>
      <w:r>
        <w:rPr>
          <w:rFonts w:ascii="宋体" w:hAnsi="宋体" w:eastAsia="宋体" w:cs="宋体"/>
          <w:b w:val="0"/>
          <w:bCs w:val="0"/>
          <w:spacing w:val="-4"/>
          <w:lang w:val="en-US"/>
        </w:rPr>
        <w:t>2.2.1</w:t>
      </w:r>
      <w:r>
        <w:rPr>
          <w:rFonts w:hint="eastAsia" w:ascii="宋体" w:hAnsi="宋体" w:eastAsia="宋体" w:cs="宋体"/>
          <w:b w:val="0"/>
          <w:bCs w:val="0"/>
          <w:spacing w:val="-4"/>
        </w:rPr>
        <w:t>投标人应仔细阅读和检查招标文件的全部内容。如发现缺页或附件不全，应及时向招标人提出，以便补齐。如有疑问，应在投标人须知前附表规定的时间前通过电子化平台递交要求招标人对招标文件予以澄清。</w:t>
      </w:r>
    </w:p>
    <w:p>
      <w:pPr>
        <w:pStyle w:val="7"/>
        <w:tabs>
          <w:tab w:val="left" w:pos="1130"/>
        </w:tabs>
        <w:spacing w:line="360" w:lineRule="auto"/>
        <w:ind w:left="0" w:firstLine="464" w:firstLineChars="200"/>
        <w:rPr>
          <w:rFonts w:ascii="宋体" w:hAnsi="宋体" w:eastAsia="宋体" w:cs="宋体"/>
          <w:b w:val="0"/>
          <w:bCs w:val="0"/>
          <w:spacing w:val="-4"/>
        </w:rPr>
      </w:pPr>
      <w:r>
        <w:rPr>
          <w:rFonts w:ascii="宋体" w:hAnsi="宋体" w:eastAsia="宋体" w:cs="宋体"/>
          <w:b w:val="0"/>
          <w:bCs w:val="0"/>
          <w:spacing w:val="-4"/>
          <w:lang w:val="en-US"/>
        </w:rPr>
        <w:t>2.2.2</w:t>
      </w:r>
      <w:r>
        <w:rPr>
          <w:rFonts w:hint="eastAsia" w:ascii="宋体" w:hAnsi="宋体" w:eastAsia="宋体" w:cs="宋体"/>
          <w:b w:val="0"/>
          <w:bCs w:val="0"/>
          <w:spacing w:val="-4"/>
        </w:rPr>
        <w:t>招标文件的澄清在投标人须知前附表规定的投标截止时间</w:t>
      </w:r>
      <w:r>
        <w:rPr>
          <w:rFonts w:ascii="宋体" w:hAnsi="宋体" w:eastAsia="宋体" w:cs="宋体"/>
          <w:b w:val="0"/>
          <w:bCs w:val="0"/>
          <w:spacing w:val="-4"/>
        </w:rPr>
        <w:t>15</w:t>
      </w:r>
      <w:r>
        <w:rPr>
          <w:rFonts w:hint="eastAsia" w:ascii="宋体" w:hAnsi="宋体" w:eastAsia="宋体" w:cs="宋体"/>
          <w:b w:val="0"/>
          <w:bCs w:val="0"/>
          <w:spacing w:val="-4"/>
        </w:rPr>
        <w:t>天前通过电子化平台发给所有购买招标文件的投标人，但不指明澄清问题的来源。如果澄清发出的时间距投标截止时间不足</w:t>
      </w:r>
      <w:r>
        <w:rPr>
          <w:rFonts w:ascii="宋体" w:hAnsi="宋体" w:eastAsia="宋体" w:cs="宋体"/>
          <w:b w:val="0"/>
          <w:bCs w:val="0"/>
          <w:spacing w:val="-4"/>
        </w:rPr>
        <w:t xml:space="preserve"> 15 </w:t>
      </w:r>
      <w:r>
        <w:rPr>
          <w:rFonts w:hint="eastAsia" w:ascii="宋体" w:hAnsi="宋体" w:eastAsia="宋体" w:cs="宋体"/>
          <w:b w:val="0"/>
          <w:bCs w:val="0"/>
          <w:spacing w:val="-4"/>
        </w:rPr>
        <w:t>天，相应延长投标截止时间。</w:t>
      </w:r>
    </w:p>
    <w:p>
      <w:pPr>
        <w:pStyle w:val="7"/>
        <w:tabs>
          <w:tab w:val="left" w:pos="1130"/>
        </w:tabs>
        <w:spacing w:line="360" w:lineRule="auto"/>
        <w:ind w:left="0" w:firstLine="464" w:firstLineChars="200"/>
        <w:rPr>
          <w:rFonts w:ascii="宋体" w:hAnsi="宋体" w:eastAsia="宋体" w:cs="宋体"/>
          <w:b w:val="0"/>
          <w:bCs w:val="0"/>
          <w:spacing w:val="-4"/>
        </w:rPr>
      </w:pPr>
      <w:r>
        <w:rPr>
          <w:rFonts w:ascii="宋体" w:hAnsi="宋体" w:eastAsia="宋体" w:cs="宋体"/>
          <w:b w:val="0"/>
          <w:bCs w:val="0"/>
          <w:spacing w:val="-4"/>
          <w:lang w:val="en-US"/>
        </w:rPr>
        <w:t>2.2.3</w:t>
      </w:r>
      <w:r>
        <w:rPr>
          <w:rFonts w:hint="eastAsia" w:ascii="宋体" w:hAnsi="宋体" w:eastAsia="宋体" w:cs="宋体"/>
          <w:b w:val="0"/>
          <w:bCs w:val="0"/>
          <w:spacing w:val="-4"/>
        </w:rPr>
        <w:t>投标人在收到澄清后，应在投标人须知前附表规定的时间内通过电子化平台通知招标人，确认已收到该澄清。</w:t>
      </w:r>
    </w:p>
    <w:p>
      <w:pPr>
        <w:pStyle w:val="7"/>
        <w:tabs>
          <w:tab w:val="left" w:pos="1130"/>
        </w:tabs>
        <w:spacing w:line="360" w:lineRule="auto"/>
        <w:ind w:left="0" w:firstLine="464" w:firstLineChars="200"/>
        <w:rPr>
          <w:rFonts w:ascii="宋体" w:hAnsi="宋体" w:eastAsia="宋体" w:cs="宋体"/>
          <w:b w:val="0"/>
          <w:bCs w:val="0"/>
          <w:spacing w:val="-4"/>
        </w:rPr>
      </w:pPr>
      <w:r>
        <w:rPr>
          <w:rFonts w:ascii="宋体" w:hAnsi="宋体" w:eastAsia="宋体" w:cs="宋体"/>
          <w:b w:val="0"/>
          <w:bCs w:val="0"/>
          <w:spacing w:val="-4"/>
          <w:lang w:val="en-US"/>
        </w:rPr>
        <w:t>2.2.4</w:t>
      </w:r>
      <w:r>
        <w:rPr>
          <w:rFonts w:hint="eastAsia" w:ascii="宋体" w:hAnsi="宋体" w:eastAsia="宋体" w:cs="宋体"/>
          <w:b w:val="0"/>
          <w:bCs w:val="0"/>
          <w:spacing w:val="-4"/>
        </w:rPr>
        <w:t>澄清文件与原招标文件具有同等的效力，若澄清文件与原招标文件的内容不一致时，以日期在后者为准。</w:t>
      </w:r>
    </w:p>
    <w:p>
      <w:pPr>
        <w:pStyle w:val="7"/>
        <w:tabs>
          <w:tab w:val="left" w:pos="1031"/>
        </w:tabs>
        <w:spacing w:line="360" w:lineRule="auto"/>
        <w:ind w:left="0" w:firstLine="0"/>
        <w:rPr>
          <w:rFonts w:ascii="宋体" w:hAnsi="宋体" w:eastAsia="宋体" w:cs="宋体"/>
          <w:lang w:val="en-US"/>
        </w:rPr>
      </w:pPr>
      <w:r>
        <w:rPr>
          <w:rFonts w:ascii="宋体" w:hAnsi="宋体" w:eastAsia="宋体" w:cs="宋体"/>
          <w:lang w:val="en-US"/>
        </w:rPr>
        <w:t>2.3</w:t>
      </w:r>
      <w:r>
        <w:rPr>
          <w:rFonts w:hint="eastAsia" w:ascii="宋体" w:hAnsi="宋体" w:eastAsia="宋体" w:cs="宋体"/>
          <w:lang w:val="en-US"/>
        </w:rPr>
        <w:t>招标文件的修改</w:t>
      </w:r>
    </w:p>
    <w:p>
      <w:pPr>
        <w:pStyle w:val="7"/>
        <w:tabs>
          <w:tab w:val="left" w:pos="1130"/>
        </w:tabs>
        <w:spacing w:line="360" w:lineRule="auto"/>
        <w:ind w:left="0" w:firstLine="464" w:firstLineChars="200"/>
        <w:rPr>
          <w:rFonts w:ascii="宋体" w:hAnsi="宋体" w:eastAsia="宋体" w:cs="宋体"/>
          <w:b w:val="0"/>
          <w:bCs w:val="0"/>
          <w:spacing w:val="-4"/>
          <w:lang w:val="en-US"/>
        </w:rPr>
      </w:pPr>
      <w:r>
        <w:rPr>
          <w:rFonts w:ascii="宋体" w:hAnsi="宋体" w:eastAsia="宋体" w:cs="宋体"/>
          <w:b w:val="0"/>
          <w:bCs w:val="0"/>
          <w:spacing w:val="-4"/>
          <w:lang w:val="en-US"/>
        </w:rPr>
        <w:t>2.3.1</w:t>
      </w:r>
      <w:r>
        <w:rPr>
          <w:rFonts w:hint="eastAsia" w:ascii="宋体" w:hAnsi="宋体" w:eastAsia="宋体" w:cs="宋体"/>
          <w:b w:val="0"/>
          <w:bCs w:val="0"/>
          <w:spacing w:val="-4"/>
          <w:lang w:val="en-US"/>
        </w:rPr>
        <w:t>在投标截止时间</w:t>
      </w:r>
      <w:r>
        <w:rPr>
          <w:rFonts w:ascii="宋体" w:hAnsi="宋体" w:eastAsia="宋体" w:cs="宋体"/>
          <w:b w:val="0"/>
          <w:bCs w:val="0"/>
          <w:spacing w:val="-4"/>
          <w:lang w:val="en-US"/>
        </w:rPr>
        <w:t xml:space="preserve"> 15</w:t>
      </w:r>
      <w:r>
        <w:rPr>
          <w:rFonts w:hint="eastAsia" w:ascii="宋体" w:hAnsi="宋体" w:eastAsia="宋体" w:cs="宋体"/>
          <w:b w:val="0"/>
          <w:bCs w:val="0"/>
          <w:spacing w:val="-4"/>
          <w:lang w:val="en-US"/>
        </w:rPr>
        <w:t>天前，招标人可通过电子化平台修改招标文件，修改的部分将通过</w:t>
      </w:r>
      <w:r>
        <w:rPr>
          <w:rFonts w:hint="eastAsia" w:ascii="宋体" w:hAnsi="宋体" w:eastAsia="宋体" w:cs="宋体"/>
          <w:b w:val="0"/>
          <w:bCs w:val="0"/>
          <w:spacing w:val="-4"/>
        </w:rPr>
        <w:t>子化</w:t>
      </w:r>
      <w:r>
        <w:rPr>
          <w:rFonts w:hint="eastAsia" w:ascii="宋体" w:hAnsi="宋体" w:eastAsia="宋体" w:cs="宋体"/>
          <w:b w:val="0"/>
          <w:bCs w:val="0"/>
          <w:spacing w:val="-4"/>
          <w:lang w:val="en-US"/>
        </w:rPr>
        <w:t>平台发给所有获得招标文件的投标人。如果修改招标文件的时间距投标截止时间不足</w:t>
      </w:r>
      <w:r>
        <w:rPr>
          <w:rFonts w:ascii="宋体" w:hAnsi="宋体" w:eastAsia="宋体" w:cs="宋体"/>
          <w:b w:val="0"/>
          <w:bCs w:val="0"/>
          <w:spacing w:val="-4"/>
          <w:lang w:val="en-US"/>
        </w:rPr>
        <w:t xml:space="preserve"> 15 </w:t>
      </w:r>
      <w:r>
        <w:rPr>
          <w:rFonts w:hint="eastAsia" w:ascii="宋体" w:hAnsi="宋体" w:eastAsia="宋体" w:cs="宋体"/>
          <w:b w:val="0"/>
          <w:bCs w:val="0"/>
          <w:spacing w:val="-4"/>
          <w:lang w:val="en-US"/>
        </w:rPr>
        <w:t>天，相应延长投标截止时间。</w:t>
      </w:r>
    </w:p>
    <w:p>
      <w:pPr>
        <w:pStyle w:val="7"/>
        <w:tabs>
          <w:tab w:val="left" w:pos="1130"/>
        </w:tabs>
        <w:spacing w:line="360" w:lineRule="auto"/>
        <w:ind w:left="0" w:firstLine="464" w:firstLineChars="200"/>
        <w:rPr>
          <w:rFonts w:ascii="宋体" w:hAnsi="宋体" w:eastAsia="宋体" w:cs="宋体"/>
          <w:b w:val="0"/>
          <w:bCs w:val="0"/>
          <w:spacing w:val="-4"/>
          <w:lang w:val="en-US"/>
        </w:rPr>
      </w:pPr>
      <w:r>
        <w:rPr>
          <w:rFonts w:ascii="宋体" w:hAnsi="宋体" w:eastAsia="宋体" w:cs="宋体"/>
          <w:b w:val="0"/>
          <w:bCs w:val="0"/>
          <w:spacing w:val="-4"/>
          <w:lang w:val="en-US"/>
        </w:rPr>
        <w:t>2.3.2</w:t>
      </w:r>
      <w:r>
        <w:rPr>
          <w:rFonts w:hint="eastAsia" w:ascii="宋体" w:hAnsi="宋体" w:eastAsia="宋体" w:cs="宋体"/>
          <w:b w:val="0"/>
          <w:bCs w:val="0"/>
          <w:spacing w:val="-4"/>
          <w:lang w:val="en-US"/>
        </w:rPr>
        <w:t>投标人收到修改内容后，应在投标人须知前附表规定的时间内通过电子化平台通知招标人，确认已收到该修改。</w:t>
      </w:r>
    </w:p>
    <w:p>
      <w:pPr>
        <w:pStyle w:val="7"/>
        <w:tabs>
          <w:tab w:val="left" w:pos="1130"/>
        </w:tabs>
        <w:spacing w:line="360" w:lineRule="auto"/>
        <w:ind w:left="0" w:firstLine="480" w:firstLineChars="200"/>
        <w:rPr>
          <w:rFonts w:ascii="宋体" w:hAnsi="宋体" w:eastAsia="宋体" w:cs="宋体"/>
          <w:b w:val="0"/>
          <w:bCs w:val="0"/>
          <w:spacing w:val="-4"/>
          <w:lang w:val="en-US"/>
        </w:rPr>
      </w:pPr>
      <w:r>
        <w:rPr>
          <w:lang w:val="en-US"/>
        </w:rPr>
        <w:pict>
          <v:shape id="image1.png" o:spid="_x0000_s1026" o:spt="75" type="#_x0000_t75" style="position:absolute;left:0pt;margin-left:123.2pt;margin-top:3.8pt;height:16pt;width:100.95pt;mso-position-horizontal-relative:page;z-index:-251649024;mso-width-relative:page;mso-height-relative:page;" filled="f" o:preferrelative="t" stroked="f" coordsize="21600,21600">
            <v:path/>
            <v:fill on="f" focussize="0,0"/>
            <v:stroke on="f" joinstyle="miter"/>
            <v:imagedata r:id="rId33" o:title=""/>
            <o:lock v:ext="edit" aspectratio="t"/>
          </v:shape>
        </w:pict>
      </w:r>
      <w:r>
        <w:rPr>
          <w:rFonts w:ascii="宋体" w:hAnsi="宋体" w:eastAsia="宋体" w:cs="宋体"/>
          <w:b w:val="0"/>
          <w:bCs w:val="0"/>
          <w:spacing w:val="-4"/>
          <w:lang w:val="en-US"/>
        </w:rPr>
        <w:t>2.3.3</w:t>
      </w:r>
      <w:r>
        <w:rPr>
          <w:rFonts w:hint="eastAsia" w:ascii="宋体" w:hAnsi="宋体" w:eastAsia="宋体" w:cs="宋体"/>
          <w:b w:val="0"/>
          <w:bCs w:val="0"/>
          <w:spacing w:val="-4"/>
          <w:lang w:val="en-US"/>
        </w:rPr>
        <w:t>修改内容与原招标文件具有同等的效力，若修改内容与原招标文件的内容有矛盾时，以日期在后者为准。</w:t>
      </w:r>
    </w:p>
    <w:p>
      <w:pPr>
        <w:pStyle w:val="7"/>
        <w:tabs>
          <w:tab w:val="left" w:pos="1031"/>
        </w:tabs>
        <w:spacing w:line="360" w:lineRule="auto"/>
        <w:ind w:left="0" w:firstLine="0"/>
        <w:rPr>
          <w:rFonts w:ascii="宋体" w:hAnsi="宋体" w:eastAsia="宋体" w:cs="宋体"/>
          <w:lang w:val="en-US"/>
        </w:rPr>
      </w:pPr>
      <w:r>
        <w:rPr>
          <w:rFonts w:ascii="宋体" w:hAnsi="宋体" w:eastAsia="宋体" w:cs="宋体"/>
          <w:lang w:val="en-US"/>
        </w:rPr>
        <w:t>3.</w:t>
      </w:r>
      <w:r>
        <w:rPr>
          <w:rFonts w:hint="eastAsia" w:ascii="宋体" w:hAnsi="宋体" w:eastAsia="宋体" w:cs="宋体"/>
          <w:lang w:val="en-US"/>
        </w:rPr>
        <w:t>投标文件</w:t>
      </w:r>
    </w:p>
    <w:p>
      <w:pPr>
        <w:pStyle w:val="7"/>
        <w:tabs>
          <w:tab w:val="left" w:pos="1031"/>
        </w:tabs>
        <w:spacing w:line="360" w:lineRule="auto"/>
        <w:ind w:left="0" w:firstLine="0"/>
        <w:rPr>
          <w:rFonts w:ascii="宋体" w:hAnsi="宋体" w:eastAsia="宋体" w:cs="宋体"/>
          <w:lang w:val="en-US"/>
        </w:rPr>
      </w:pPr>
      <w:r>
        <w:rPr>
          <w:rFonts w:ascii="宋体" w:hAnsi="宋体" w:eastAsia="宋体" w:cs="宋体"/>
          <w:lang w:val="en-US"/>
        </w:rPr>
        <w:t>3.1</w:t>
      </w:r>
      <w:r>
        <w:rPr>
          <w:rFonts w:hint="eastAsia" w:ascii="宋体" w:hAnsi="宋体" w:eastAsia="宋体" w:cs="宋体"/>
          <w:lang w:val="en-US"/>
        </w:rPr>
        <w:t>投标文件的组成</w:t>
      </w:r>
    </w:p>
    <w:p>
      <w:pPr>
        <w:pStyle w:val="7"/>
        <w:tabs>
          <w:tab w:val="left" w:pos="1031"/>
        </w:tabs>
        <w:spacing w:line="360" w:lineRule="auto"/>
        <w:ind w:left="0" w:firstLine="240" w:firstLineChars="100"/>
        <w:rPr>
          <w:rFonts w:ascii="宋体" w:hAnsi="宋体" w:eastAsia="宋体" w:cs="宋体"/>
          <w:b w:val="0"/>
          <w:bCs w:val="0"/>
        </w:rPr>
      </w:pPr>
      <w:r>
        <w:rPr>
          <w:rFonts w:ascii="宋体" w:hAnsi="宋体" w:eastAsia="宋体" w:cs="宋体"/>
          <w:b w:val="0"/>
          <w:bCs w:val="0"/>
          <w:lang w:val="en-US"/>
        </w:rPr>
        <w:t>3.1.1</w:t>
      </w:r>
      <w:r>
        <w:rPr>
          <w:rFonts w:hint="eastAsia" w:ascii="宋体" w:hAnsi="宋体" w:eastAsia="宋体" w:cs="宋体"/>
          <w:b w:val="0"/>
          <w:bCs w:val="0"/>
        </w:rPr>
        <w:t>投标文件应包括下列内容：</w:t>
      </w:r>
    </w:p>
    <w:p>
      <w:pPr>
        <w:pStyle w:val="58"/>
        <w:tabs>
          <w:tab w:val="left" w:pos="1188"/>
        </w:tabs>
        <w:spacing w:line="360" w:lineRule="auto"/>
        <w:ind w:left="0" w:firstLine="720" w:firstLineChars="300"/>
        <w:rPr>
          <w:sz w:val="24"/>
          <w:szCs w:val="24"/>
          <w:lang w:val="en-US"/>
        </w:rPr>
      </w:pPr>
      <w:r>
        <w:rPr>
          <w:rFonts w:hint="eastAsia"/>
          <w:sz w:val="24"/>
          <w:szCs w:val="24"/>
          <w:lang w:val="en-US"/>
        </w:rPr>
        <w:t>（</w:t>
      </w:r>
      <w:r>
        <w:rPr>
          <w:sz w:val="24"/>
          <w:szCs w:val="24"/>
          <w:lang w:val="en-US"/>
        </w:rPr>
        <w:t>1</w:t>
      </w:r>
      <w:r>
        <w:rPr>
          <w:rFonts w:hint="eastAsia"/>
          <w:sz w:val="24"/>
          <w:szCs w:val="24"/>
          <w:lang w:val="en-US"/>
        </w:rPr>
        <w:t>）投标函及投标函附录；</w:t>
      </w:r>
    </w:p>
    <w:p>
      <w:pPr>
        <w:pStyle w:val="58"/>
        <w:tabs>
          <w:tab w:val="left" w:pos="1188"/>
        </w:tabs>
        <w:spacing w:line="360" w:lineRule="auto"/>
        <w:ind w:left="0" w:firstLine="240" w:firstLineChars="100"/>
        <w:rPr>
          <w:sz w:val="24"/>
          <w:szCs w:val="24"/>
          <w:lang w:val="en-US"/>
        </w:rPr>
      </w:pPr>
      <w:r>
        <w:rPr>
          <w:sz w:val="24"/>
          <w:szCs w:val="24"/>
          <w:lang w:val="en-US"/>
        </w:rPr>
        <w:t xml:space="preserve">    </w:t>
      </w:r>
      <w:r>
        <w:rPr>
          <w:rFonts w:hint="eastAsia"/>
          <w:sz w:val="24"/>
          <w:szCs w:val="24"/>
          <w:lang w:val="en-US"/>
        </w:rPr>
        <w:t>（</w:t>
      </w:r>
      <w:r>
        <w:rPr>
          <w:sz w:val="24"/>
          <w:szCs w:val="24"/>
          <w:lang w:val="en-US"/>
        </w:rPr>
        <w:t>2</w:t>
      </w:r>
      <w:r>
        <w:rPr>
          <w:rFonts w:hint="eastAsia"/>
          <w:sz w:val="24"/>
          <w:szCs w:val="24"/>
          <w:lang w:val="en-US"/>
        </w:rPr>
        <w:t>）法定代表人身份证明或附有法定代表人身份证明的授权委托书；</w:t>
      </w:r>
    </w:p>
    <w:p>
      <w:pPr>
        <w:pStyle w:val="58"/>
        <w:tabs>
          <w:tab w:val="left" w:pos="1188"/>
        </w:tabs>
        <w:spacing w:line="360" w:lineRule="auto"/>
        <w:ind w:left="0" w:firstLine="240" w:firstLineChars="100"/>
        <w:rPr>
          <w:sz w:val="24"/>
          <w:szCs w:val="24"/>
          <w:lang w:val="en-US"/>
        </w:rPr>
      </w:pPr>
      <w:r>
        <w:rPr>
          <w:sz w:val="24"/>
          <w:szCs w:val="24"/>
          <w:lang w:val="en-US"/>
        </w:rPr>
        <w:t xml:space="preserve">    </w:t>
      </w:r>
      <w:r>
        <w:rPr>
          <w:rFonts w:hint="eastAsia"/>
          <w:sz w:val="24"/>
          <w:szCs w:val="24"/>
          <w:lang w:val="en-US"/>
        </w:rPr>
        <w:t>（</w:t>
      </w:r>
      <w:r>
        <w:rPr>
          <w:sz w:val="24"/>
          <w:szCs w:val="24"/>
          <w:lang w:val="en-US"/>
        </w:rPr>
        <w:t>3</w:t>
      </w:r>
      <w:r>
        <w:rPr>
          <w:rFonts w:hint="eastAsia"/>
          <w:sz w:val="24"/>
          <w:szCs w:val="24"/>
          <w:lang w:val="en-US"/>
        </w:rPr>
        <w:t>）联合体协议书；</w:t>
      </w:r>
    </w:p>
    <w:p>
      <w:pPr>
        <w:pStyle w:val="58"/>
        <w:tabs>
          <w:tab w:val="left" w:pos="1188"/>
        </w:tabs>
        <w:spacing w:line="360" w:lineRule="auto"/>
        <w:ind w:left="0" w:firstLine="240" w:firstLineChars="100"/>
        <w:rPr>
          <w:sz w:val="24"/>
          <w:szCs w:val="24"/>
          <w:lang w:val="en-US"/>
        </w:rPr>
      </w:pPr>
      <w:r>
        <w:rPr>
          <w:sz w:val="24"/>
          <w:szCs w:val="24"/>
          <w:lang w:val="en-US"/>
        </w:rPr>
        <w:t xml:space="preserve">    </w:t>
      </w:r>
      <w:r>
        <w:rPr>
          <w:rFonts w:hint="eastAsia"/>
          <w:sz w:val="24"/>
          <w:szCs w:val="24"/>
          <w:lang w:val="en-US"/>
        </w:rPr>
        <w:t>（</w:t>
      </w:r>
      <w:r>
        <w:rPr>
          <w:sz w:val="24"/>
          <w:szCs w:val="24"/>
          <w:lang w:val="en-US"/>
        </w:rPr>
        <w:t>4</w:t>
      </w:r>
      <w:r>
        <w:rPr>
          <w:rFonts w:hint="eastAsia"/>
          <w:sz w:val="24"/>
          <w:szCs w:val="24"/>
          <w:lang w:val="en-US"/>
        </w:rPr>
        <w:t>）投标保证金；</w:t>
      </w:r>
    </w:p>
    <w:p>
      <w:pPr>
        <w:pStyle w:val="58"/>
        <w:tabs>
          <w:tab w:val="left" w:pos="1188"/>
        </w:tabs>
        <w:spacing w:line="360" w:lineRule="auto"/>
        <w:ind w:left="0" w:firstLine="240" w:firstLineChars="100"/>
        <w:rPr>
          <w:sz w:val="24"/>
          <w:szCs w:val="24"/>
          <w:lang w:val="en-US"/>
        </w:rPr>
      </w:pPr>
      <w:r>
        <w:rPr>
          <w:sz w:val="24"/>
          <w:szCs w:val="24"/>
          <w:lang w:val="en-US"/>
        </w:rPr>
        <w:t xml:space="preserve">    </w:t>
      </w:r>
      <w:r>
        <w:rPr>
          <w:rFonts w:hint="eastAsia"/>
          <w:sz w:val="24"/>
          <w:szCs w:val="24"/>
          <w:lang w:val="en-US"/>
        </w:rPr>
        <w:t>（</w:t>
      </w:r>
      <w:r>
        <w:rPr>
          <w:sz w:val="24"/>
          <w:szCs w:val="24"/>
          <w:lang w:val="en-US"/>
        </w:rPr>
        <w:t>5</w:t>
      </w:r>
      <w:r>
        <w:rPr>
          <w:rFonts w:hint="eastAsia"/>
          <w:sz w:val="24"/>
          <w:szCs w:val="24"/>
          <w:lang w:val="en-US"/>
        </w:rPr>
        <w:t>）已标价工程量清单；</w:t>
      </w:r>
    </w:p>
    <w:p>
      <w:pPr>
        <w:pStyle w:val="58"/>
        <w:tabs>
          <w:tab w:val="left" w:pos="1188"/>
        </w:tabs>
        <w:spacing w:line="360" w:lineRule="auto"/>
        <w:ind w:left="0" w:firstLine="240" w:firstLineChars="100"/>
        <w:rPr>
          <w:sz w:val="24"/>
          <w:szCs w:val="24"/>
          <w:lang w:val="en-US"/>
        </w:rPr>
      </w:pPr>
      <w:r>
        <w:rPr>
          <w:sz w:val="24"/>
          <w:szCs w:val="24"/>
          <w:lang w:val="en-US"/>
        </w:rPr>
        <w:t xml:space="preserve">    </w:t>
      </w:r>
      <w:r>
        <w:rPr>
          <w:rFonts w:hint="eastAsia"/>
          <w:sz w:val="24"/>
          <w:szCs w:val="24"/>
          <w:lang w:val="en-US"/>
        </w:rPr>
        <w:t>（</w:t>
      </w:r>
      <w:r>
        <w:rPr>
          <w:sz w:val="24"/>
          <w:szCs w:val="24"/>
          <w:lang w:val="en-US"/>
        </w:rPr>
        <w:t>6</w:t>
      </w:r>
      <w:r>
        <w:rPr>
          <w:rFonts w:hint="eastAsia"/>
          <w:sz w:val="24"/>
          <w:szCs w:val="24"/>
          <w:lang w:val="en-US"/>
        </w:rPr>
        <w:t>）施工组织设计；</w:t>
      </w:r>
    </w:p>
    <w:p>
      <w:pPr>
        <w:pStyle w:val="58"/>
        <w:tabs>
          <w:tab w:val="left" w:pos="1188"/>
        </w:tabs>
        <w:spacing w:line="360" w:lineRule="auto"/>
        <w:ind w:left="0" w:firstLine="240" w:firstLineChars="100"/>
        <w:rPr>
          <w:sz w:val="24"/>
          <w:szCs w:val="24"/>
          <w:lang w:val="en-US"/>
        </w:rPr>
      </w:pPr>
      <w:r>
        <w:rPr>
          <w:sz w:val="24"/>
          <w:szCs w:val="24"/>
          <w:lang w:val="en-US"/>
        </w:rPr>
        <w:t xml:space="preserve">    </w:t>
      </w:r>
      <w:r>
        <w:rPr>
          <w:rFonts w:hint="eastAsia"/>
          <w:sz w:val="24"/>
          <w:szCs w:val="24"/>
          <w:lang w:val="en-US"/>
        </w:rPr>
        <w:t>（</w:t>
      </w:r>
      <w:r>
        <w:rPr>
          <w:sz w:val="24"/>
          <w:szCs w:val="24"/>
          <w:lang w:val="en-US"/>
        </w:rPr>
        <w:t>7</w:t>
      </w:r>
      <w:r>
        <w:rPr>
          <w:rFonts w:hint="eastAsia"/>
          <w:sz w:val="24"/>
          <w:szCs w:val="24"/>
          <w:lang w:val="en-US"/>
        </w:rPr>
        <w:t>）项目管理机构；</w:t>
      </w:r>
    </w:p>
    <w:p>
      <w:pPr>
        <w:pStyle w:val="58"/>
        <w:tabs>
          <w:tab w:val="left" w:pos="1188"/>
        </w:tabs>
        <w:spacing w:line="360" w:lineRule="auto"/>
        <w:ind w:left="0" w:firstLine="240" w:firstLineChars="100"/>
        <w:rPr>
          <w:sz w:val="24"/>
          <w:szCs w:val="24"/>
          <w:lang w:val="en-US"/>
        </w:rPr>
      </w:pPr>
      <w:r>
        <w:rPr>
          <w:sz w:val="24"/>
          <w:szCs w:val="24"/>
          <w:lang w:val="en-US"/>
        </w:rPr>
        <w:t xml:space="preserve">    </w:t>
      </w:r>
      <w:r>
        <w:rPr>
          <w:rFonts w:hint="eastAsia"/>
          <w:sz w:val="24"/>
          <w:szCs w:val="24"/>
          <w:lang w:val="en-US"/>
        </w:rPr>
        <w:t>（</w:t>
      </w:r>
      <w:r>
        <w:rPr>
          <w:sz w:val="24"/>
          <w:szCs w:val="24"/>
          <w:lang w:val="en-US"/>
        </w:rPr>
        <w:t>8</w:t>
      </w:r>
      <w:r>
        <w:rPr>
          <w:rFonts w:hint="eastAsia"/>
          <w:sz w:val="24"/>
          <w:szCs w:val="24"/>
          <w:lang w:val="en-US"/>
        </w:rPr>
        <w:t>）拟分包项目情况表；</w:t>
      </w:r>
    </w:p>
    <w:p>
      <w:pPr>
        <w:pStyle w:val="58"/>
        <w:tabs>
          <w:tab w:val="left" w:pos="1188"/>
        </w:tabs>
        <w:spacing w:line="360" w:lineRule="auto"/>
        <w:ind w:left="0" w:firstLine="240" w:firstLineChars="100"/>
        <w:rPr>
          <w:sz w:val="24"/>
          <w:szCs w:val="24"/>
          <w:lang w:val="en-US"/>
        </w:rPr>
      </w:pPr>
      <w:r>
        <w:rPr>
          <w:sz w:val="24"/>
          <w:szCs w:val="24"/>
          <w:lang w:val="en-US"/>
        </w:rPr>
        <w:t xml:space="preserve">    </w:t>
      </w:r>
      <w:r>
        <w:rPr>
          <w:rFonts w:hint="eastAsia"/>
          <w:sz w:val="24"/>
          <w:szCs w:val="24"/>
          <w:lang w:val="en-US"/>
        </w:rPr>
        <w:t>（</w:t>
      </w:r>
      <w:r>
        <w:rPr>
          <w:sz w:val="24"/>
          <w:szCs w:val="24"/>
          <w:lang w:val="en-US"/>
        </w:rPr>
        <w:t>9</w:t>
      </w:r>
      <w:r>
        <w:rPr>
          <w:rFonts w:hint="eastAsia"/>
          <w:sz w:val="24"/>
          <w:szCs w:val="24"/>
          <w:lang w:val="en-US"/>
        </w:rPr>
        <w:t>）资格审查资料；</w:t>
      </w:r>
    </w:p>
    <w:p>
      <w:pPr>
        <w:pStyle w:val="58"/>
        <w:tabs>
          <w:tab w:val="left" w:pos="1188"/>
        </w:tabs>
        <w:spacing w:line="360" w:lineRule="auto"/>
        <w:ind w:left="0" w:firstLine="240" w:firstLineChars="100"/>
        <w:rPr>
          <w:sz w:val="24"/>
          <w:szCs w:val="24"/>
        </w:rPr>
      </w:pPr>
      <w:r>
        <w:rPr>
          <w:sz w:val="24"/>
          <w:szCs w:val="24"/>
          <w:lang w:val="en-US"/>
        </w:rPr>
        <w:t xml:space="preserve">    </w:t>
      </w:r>
      <w:r>
        <w:rPr>
          <w:rFonts w:hint="eastAsia"/>
          <w:sz w:val="24"/>
          <w:szCs w:val="24"/>
          <w:lang w:val="en-US"/>
        </w:rPr>
        <w:t>（</w:t>
      </w:r>
      <w:r>
        <w:rPr>
          <w:sz w:val="24"/>
          <w:szCs w:val="24"/>
          <w:lang w:val="en-US"/>
        </w:rPr>
        <w:t>10</w:t>
      </w:r>
      <w:r>
        <w:rPr>
          <w:rFonts w:hint="eastAsia"/>
          <w:sz w:val="24"/>
          <w:szCs w:val="24"/>
          <w:lang w:val="en-US"/>
        </w:rPr>
        <w:t>）投标人须知前附表规定的其他材料。</w:t>
      </w:r>
    </w:p>
    <w:p>
      <w:pPr>
        <w:pStyle w:val="58"/>
        <w:tabs>
          <w:tab w:val="left" w:pos="1188"/>
        </w:tabs>
        <w:spacing w:line="360" w:lineRule="auto"/>
        <w:ind w:left="0" w:firstLine="480" w:firstLineChars="200"/>
        <w:rPr>
          <w:sz w:val="24"/>
          <w:szCs w:val="24"/>
        </w:rPr>
      </w:pPr>
      <w:r>
        <w:rPr>
          <w:sz w:val="24"/>
          <w:szCs w:val="24"/>
          <w:lang w:val="en-US"/>
        </w:rPr>
        <w:t>3.1.2</w:t>
      </w:r>
      <w:r>
        <w:rPr>
          <w:rFonts w:hint="eastAsia"/>
          <w:sz w:val="24"/>
          <w:szCs w:val="24"/>
        </w:rPr>
        <w:t>投标人须知前附表规定不接受联合体投标的，或投标人没有组成联合体的，投标文件不包括本章第</w:t>
      </w:r>
      <w:r>
        <w:rPr>
          <w:sz w:val="24"/>
          <w:szCs w:val="24"/>
        </w:rPr>
        <w:t xml:space="preserve"> 3.1.1</w:t>
      </w:r>
      <w:r>
        <w:rPr>
          <w:rFonts w:hint="eastAsia"/>
          <w:sz w:val="24"/>
          <w:szCs w:val="24"/>
        </w:rPr>
        <w:t>（</w:t>
      </w:r>
      <w:r>
        <w:rPr>
          <w:sz w:val="24"/>
          <w:szCs w:val="24"/>
        </w:rPr>
        <w:t>4</w:t>
      </w:r>
      <w:r>
        <w:rPr>
          <w:rFonts w:hint="eastAsia"/>
          <w:sz w:val="24"/>
          <w:szCs w:val="24"/>
        </w:rPr>
        <w:t>）目所指的联合体协议书。</w:t>
      </w:r>
    </w:p>
    <w:p>
      <w:pPr>
        <w:pStyle w:val="58"/>
        <w:tabs>
          <w:tab w:val="left" w:pos="1188"/>
        </w:tabs>
        <w:spacing w:line="360" w:lineRule="auto"/>
        <w:ind w:left="0" w:firstLine="482" w:firstLineChars="200"/>
        <w:rPr>
          <w:b/>
          <w:sz w:val="24"/>
          <w:szCs w:val="24"/>
        </w:rPr>
      </w:pPr>
      <w:r>
        <w:rPr>
          <w:b/>
          <w:sz w:val="24"/>
          <w:szCs w:val="24"/>
          <w:lang w:val="en-US"/>
        </w:rPr>
        <w:t>3.2</w:t>
      </w:r>
      <w:r>
        <w:rPr>
          <w:rFonts w:hint="eastAsia"/>
          <w:b/>
          <w:sz w:val="24"/>
          <w:szCs w:val="24"/>
        </w:rPr>
        <w:t>投标报价</w:t>
      </w:r>
    </w:p>
    <w:p>
      <w:pPr>
        <w:pStyle w:val="7"/>
        <w:tabs>
          <w:tab w:val="left" w:pos="1031"/>
        </w:tabs>
        <w:spacing w:line="360" w:lineRule="auto"/>
        <w:ind w:left="0" w:firstLine="480" w:firstLineChars="200"/>
        <w:rPr>
          <w:rFonts w:ascii="宋体" w:hAnsi="宋体" w:eastAsia="宋体" w:cs="宋体"/>
          <w:b w:val="0"/>
          <w:bCs w:val="0"/>
        </w:rPr>
      </w:pPr>
      <w:r>
        <w:rPr>
          <w:rFonts w:ascii="宋体" w:hAnsi="宋体" w:eastAsia="宋体" w:cs="宋体"/>
          <w:b w:val="0"/>
          <w:bCs w:val="0"/>
          <w:lang w:val="en-US"/>
        </w:rPr>
        <w:t>3.2.1</w:t>
      </w:r>
      <w:r>
        <w:rPr>
          <w:rFonts w:hint="eastAsia" w:ascii="宋体" w:hAnsi="宋体" w:eastAsia="宋体" w:cs="宋体"/>
          <w:b w:val="0"/>
          <w:bCs w:val="0"/>
          <w:spacing w:val="-4"/>
        </w:rPr>
        <w:t>工程计价方式见投标人须知前附表。投标人应按第五章</w:t>
      </w:r>
      <w:r>
        <w:rPr>
          <w:rFonts w:hint="eastAsia" w:ascii="宋体" w:hAnsi="宋体" w:eastAsia="宋体" w:cs="宋体"/>
          <w:b w:val="0"/>
          <w:bCs w:val="0"/>
        </w:rPr>
        <w:t>“招标工程量清单</w:t>
      </w:r>
      <w:r>
        <w:rPr>
          <w:rFonts w:hint="eastAsia" w:ascii="宋体" w:hAnsi="宋体" w:eastAsia="宋体" w:cs="宋体"/>
          <w:b w:val="0"/>
          <w:bCs w:val="0"/>
          <w:spacing w:val="-16"/>
        </w:rPr>
        <w:t>”</w:t>
      </w:r>
      <w:r>
        <w:rPr>
          <w:rFonts w:ascii="宋体" w:hAnsi="宋体" w:eastAsia="宋体" w:cs="宋体"/>
          <w:b w:val="0"/>
          <w:bCs w:val="0"/>
          <w:spacing w:val="-16"/>
        </w:rPr>
        <w:t xml:space="preserve"> </w:t>
      </w:r>
      <w:r>
        <w:rPr>
          <w:rFonts w:hint="eastAsia" w:ascii="宋体" w:hAnsi="宋体" w:eastAsia="宋体" w:cs="宋体"/>
          <w:b w:val="0"/>
          <w:bCs w:val="0"/>
        </w:rPr>
        <w:t>的要求填写相应表格。</w:t>
      </w:r>
    </w:p>
    <w:p>
      <w:pPr>
        <w:pStyle w:val="7"/>
        <w:tabs>
          <w:tab w:val="left" w:pos="1031"/>
        </w:tabs>
        <w:spacing w:line="360" w:lineRule="auto"/>
        <w:ind w:left="0" w:firstLine="480" w:firstLineChars="200"/>
        <w:rPr>
          <w:rFonts w:ascii="宋体" w:hAnsi="宋体" w:eastAsia="宋体" w:cs="宋体"/>
          <w:b w:val="0"/>
          <w:bCs w:val="0"/>
        </w:rPr>
      </w:pPr>
      <w:r>
        <w:rPr>
          <w:rFonts w:ascii="宋体" w:hAnsi="宋体" w:eastAsia="宋体" w:cs="宋体"/>
          <w:b w:val="0"/>
          <w:bCs w:val="0"/>
          <w:lang w:val="en-US"/>
        </w:rPr>
        <w:t>3.2.2</w:t>
      </w:r>
      <w:r>
        <w:rPr>
          <w:rFonts w:hint="eastAsia" w:ascii="宋体" w:hAnsi="宋体" w:eastAsia="宋体" w:cs="宋体"/>
          <w:b w:val="0"/>
          <w:bCs w:val="0"/>
        </w:rPr>
        <w:t>投标人在投标截止时间前修改投标函中的投标总报价，应同时修改第五章“招标工程量清单”中的相应报价。此修改须符合本章第</w:t>
      </w:r>
      <w:r>
        <w:rPr>
          <w:rFonts w:ascii="宋体" w:hAnsi="宋体" w:eastAsia="宋体" w:cs="宋体"/>
          <w:b w:val="0"/>
          <w:bCs w:val="0"/>
        </w:rPr>
        <w:t xml:space="preserve"> 4.3 </w:t>
      </w:r>
      <w:r>
        <w:rPr>
          <w:rFonts w:hint="eastAsia" w:ascii="宋体" w:hAnsi="宋体" w:eastAsia="宋体" w:cs="宋体"/>
          <w:b w:val="0"/>
          <w:bCs w:val="0"/>
        </w:rPr>
        <w:t>款的有关要求。</w:t>
      </w:r>
    </w:p>
    <w:p>
      <w:pPr>
        <w:pStyle w:val="7"/>
        <w:tabs>
          <w:tab w:val="left" w:pos="1031"/>
        </w:tabs>
        <w:spacing w:line="360" w:lineRule="auto"/>
        <w:ind w:left="0" w:firstLine="480" w:firstLineChars="200"/>
        <w:rPr>
          <w:rFonts w:ascii="宋体" w:hAnsi="宋体" w:eastAsia="宋体" w:cs="宋体"/>
          <w:b w:val="0"/>
          <w:bCs w:val="0"/>
        </w:rPr>
      </w:pPr>
      <w:r>
        <w:rPr>
          <w:rFonts w:ascii="宋体" w:hAnsi="宋体" w:eastAsia="宋体" w:cs="宋体"/>
          <w:b w:val="0"/>
          <w:bCs w:val="0"/>
          <w:lang w:val="en-US"/>
        </w:rPr>
        <w:t>3.2.3</w:t>
      </w:r>
      <w:r>
        <w:rPr>
          <w:rFonts w:hint="eastAsia" w:ascii="宋体" w:hAnsi="宋体" w:eastAsia="宋体" w:cs="宋体"/>
          <w:b w:val="0"/>
          <w:bCs w:val="0"/>
        </w:rPr>
        <w:t>投标人报价中的安全文明施工费计取应符合相关规定的取费要求。</w:t>
      </w:r>
    </w:p>
    <w:p>
      <w:pPr>
        <w:pStyle w:val="58"/>
        <w:tabs>
          <w:tab w:val="left" w:pos="466"/>
        </w:tabs>
        <w:spacing w:line="360" w:lineRule="auto"/>
        <w:ind w:left="0" w:firstLine="0"/>
        <w:rPr>
          <w:sz w:val="24"/>
          <w:szCs w:val="24"/>
        </w:rPr>
      </w:pPr>
      <w:r>
        <w:rPr>
          <w:sz w:val="24"/>
          <w:szCs w:val="24"/>
          <w:lang w:val="en-US"/>
        </w:rPr>
        <w:t>3.2.4</w:t>
      </w:r>
      <w:r>
        <w:rPr>
          <w:rFonts w:hint="eastAsia"/>
          <w:sz w:val="24"/>
          <w:szCs w:val="24"/>
        </w:rPr>
        <w:t>投标有效期</w:t>
      </w:r>
    </w:p>
    <w:p>
      <w:pPr>
        <w:pStyle w:val="7"/>
        <w:tabs>
          <w:tab w:val="left" w:pos="1130"/>
        </w:tabs>
        <w:spacing w:line="360" w:lineRule="auto"/>
        <w:ind w:left="0" w:firstLine="464" w:firstLineChars="200"/>
        <w:rPr>
          <w:rFonts w:ascii="宋体" w:hAnsi="宋体" w:eastAsia="宋体" w:cs="宋体"/>
          <w:b w:val="0"/>
          <w:bCs w:val="0"/>
          <w:spacing w:val="-4"/>
          <w:lang w:val="en-US"/>
        </w:rPr>
      </w:pPr>
      <w:r>
        <w:rPr>
          <w:rFonts w:ascii="宋体" w:hAnsi="宋体" w:eastAsia="宋体" w:cs="宋体"/>
          <w:b w:val="0"/>
          <w:bCs w:val="0"/>
          <w:spacing w:val="-4"/>
          <w:lang w:val="en-US"/>
        </w:rPr>
        <w:t>3.2.5</w:t>
      </w:r>
      <w:r>
        <w:rPr>
          <w:rFonts w:hint="eastAsia" w:ascii="宋体" w:hAnsi="宋体" w:eastAsia="宋体" w:cs="宋体"/>
          <w:b w:val="0"/>
          <w:bCs w:val="0"/>
          <w:spacing w:val="-4"/>
          <w:lang w:val="en-US"/>
        </w:rPr>
        <w:t>投标有效期的期限见投标人须知前附表，在投标人须知前附表规定的投标有效期内，投标人不得要求撤销或修改其投标文件。</w:t>
      </w:r>
    </w:p>
    <w:p>
      <w:pPr>
        <w:pStyle w:val="7"/>
        <w:tabs>
          <w:tab w:val="left" w:pos="1130"/>
        </w:tabs>
        <w:spacing w:line="360" w:lineRule="auto"/>
        <w:ind w:left="0" w:firstLine="464" w:firstLineChars="200"/>
        <w:rPr>
          <w:rFonts w:ascii="宋体" w:hAnsi="宋体" w:eastAsia="宋体" w:cs="宋体"/>
          <w:b w:val="0"/>
          <w:bCs w:val="0"/>
        </w:rPr>
      </w:pPr>
      <w:r>
        <w:rPr>
          <w:rFonts w:ascii="宋体" w:hAnsi="宋体" w:eastAsia="宋体" w:cs="宋体"/>
          <w:b w:val="0"/>
          <w:bCs w:val="0"/>
          <w:spacing w:val="-4"/>
          <w:lang w:val="en-US"/>
        </w:rPr>
        <w:t>3.2.6</w:t>
      </w:r>
      <w:r>
        <w:rPr>
          <w:rFonts w:hint="eastAsia" w:ascii="宋体" w:hAnsi="宋体" w:eastAsia="宋体" w:cs="宋体"/>
          <w:b w:val="0"/>
          <w:bCs w:val="0"/>
        </w:rPr>
        <w:t>出现特殊情况需要延长投标有效期的，招标人通过电子化平台通知所有</w:t>
      </w:r>
      <w:r>
        <w:rPr>
          <w:rFonts w:hint="eastAsia" w:ascii="宋体" w:hAnsi="宋体" w:eastAsia="宋体" w:cs="宋体"/>
          <w:b w:val="0"/>
          <w:bCs w:val="0"/>
          <w:spacing w:val="-4"/>
        </w:rPr>
        <w:t>投标人延长投标有效期。投标人同意延长的，应相应延长其投标担保的有效期，但不得要求或被允许修改或撤销其投标文件；投标人拒绝延长的，其投标失效，但投</w:t>
      </w:r>
      <w:r>
        <w:rPr>
          <w:rFonts w:hint="eastAsia" w:ascii="宋体" w:hAnsi="宋体" w:eastAsia="宋体" w:cs="宋体"/>
          <w:b w:val="0"/>
          <w:bCs w:val="0"/>
        </w:rPr>
        <w:t>标人有权收回其投标担保。</w:t>
      </w:r>
    </w:p>
    <w:p>
      <w:pPr>
        <w:pStyle w:val="7"/>
        <w:tabs>
          <w:tab w:val="left" w:pos="1031"/>
        </w:tabs>
        <w:spacing w:line="360" w:lineRule="auto"/>
        <w:ind w:left="0" w:firstLine="0"/>
        <w:rPr>
          <w:rFonts w:ascii="宋体" w:hAnsi="宋体" w:eastAsia="宋体" w:cs="宋体"/>
          <w:lang w:val="en-US"/>
        </w:rPr>
      </w:pPr>
      <w:r>
        <w:rPr>
          <w:rFonts w:ascii="宋体" w:hAnsi="宋体" w:eastAsia="宋体" w:cs="宋体"/>
          <w:lang w:val="en-US"/>
        </w:rPr>
        <w:t>3.3</w:t>
      </w:r>
      <w:r>
        <w:rPr>
          <w:rFonts w:hint="eastAsia" w:ascii="宋体" w:hAnsi="宋体" w:eastAsia="宋体" w:cs="宋体"/>
          <w:lang w:val="en-US"/>
        </w:rPr>
        <w:t>投标保证金</w:t>
      </w:r>
    </w:p>
    <w:p>
      <w:pPr>
        <w:pStyle w:val="7"/>
        <w:tabs>
          <w:tab w:val="left" w:pos="1031"/>
        </w:tabs>
        <w:spacing w:line="360" w:lineRule="auto"/>
        <w:ind w:left="0" w:firstLine="480" w:firstLineChars="200"/>
        <w:rPr>
          <w:rFonts w:ascii="宋体" w:hAnsi="宋体" w:eastAsia="宋体" w:cs="宋体"/>
          <w:b w:val="0"/>
          <w:bCs w:val="0"/>
        </w:rPr>
      </w:pPr>
      <w:r>
        <w:rPr>
          <w:rFonts w:ascii="宋体" w:hAnsi="宋体" w:eastAsia="宋体" w:cs="宋体"/>
          <w:b w:val="0"/>
          <w:bCs w:val="0"/>
          <w:lang w:val="en-US"/>
        </w:rPr>
        <w:t>3.3.1</w:t>
      </w:r>
      <w:r>
        <w:rPr>
          <w:rFonts w:hint="eastAsia" w:ascii="宋体" w:hAnsi="宋体" w:eastAsia="宋体" w:cs="宋体"/>
          <w:b w:val="0"/>
          <w:bCs w:val="0"/>
        </w:rPr>
        <w:t>投标人在递交投标文件的同时，应按投标人须知前附表规定的金额、担</w:t>
      </w:r>
      <w:r>
        <w:rPr>
          <w:rFonts w:hint="eastAsia" w:ascii="宋体" w:hAnsi="宋体" w:eastAsia="宋体" w:cs="宋体"/>
          <w:b w:val="0"/>
          <w:bCs w:val="0"/>
          <w:spacing w:val="-4"/>
        </w:rPr>
        <w:t>保形式递交投标保证金，并作为其投标文件的组成部分。联合体投标的，其投标保证金</w:t>
      </w:r>
      <w:r>
        <w:rPr>
          <w:rFonts w:hint="eastAsia" w:ascii="宋体" w:hAnsi="宋体" w:eastAsia="宋体" w:cs="宋体"/>
          <w:b w:val="0"/>
          <w:bCs w:val="0"/>
        </w:rPr>
        <w:t>可由牵头人递交，并应符合投标人须知前附表的规定。</w:t>
      </w:r>
    </w:p>
    <w:p>
      <w:pPr>
        <w:pStyle w:val="7"/>
        <w:tabs>
          <w:tab w:val="left" w:pos="1031"/>
        </w:tabs>
        <w:spacing w:line="360" w:lineRule="auto"/>
        <w:ind w:left="0" w:firstLine="480" w:firstLineChars="200"/>
        <w:rPr>
          <w:rFonts w:ascii="宋体" w:hAnsi="宋体" w:eastAsia="宋体" w:cs="宋体"/>
          <w:b w:val="0"/>
          <w:bCs w:val="0"/>
        </w:rPr>
      </w:pPr>
      <w:r>
        <w:rPr>
          <w:rFonts w:ascii="宋体" w:hAnsi="宋体" w:eastAsia="宋体" w:cs="宋体"/>
          <w:b w:val="0"/>
          <w:bCs w:val="0"/>
          <w:lang w:val="en-US"/>
        </w:rPr>
        <w:t>3.3.2</w:t>
      </w:r>
      <w:r>
        <w:rPr>
          <w:rFonts w:hint="eastAsia" w:ascii="宋体" w:hAnsi="宋体" w:eastAsia="宋体" w:cs="宋体"/>
          <w:b w:val="0"/>
          <w:bCs w:val="0"/>
          <w:spacing w:val="2"/>
        </w:rPr>
        <w:t>投标人不按本章第</w:t>
      </w:r>
      <w:r>
        <w:rPr>
          <w:rFonts w:ascii="宋体" w:hAnsi="宋体" w:eastAsia="宋体" w:cs="宋体"/>
          <w:b w:val="0"/>
          <w:bCs w:val="0"/>
          <w:spacing w:val="2"/>
        </w:rPr>
        <w:t xml:space="preserve"> </w:t>
      </w:r>
      <w:r>
        <w:rPr>
          <w:rFonts w:ascii="宋体" w:hAnsi="宋体" w:eastAsia="宋体" w:cs="宋体"/>
          <w:b w:val="0"/>
          <w:bCs w:val="0"/>
        </w:rPr>
        <w:t>3.4.1</w:t>
      </w:r>
      <w:r>
        <w:rPr>
          <w:rFonts w:hint="eastAsia" w:ascii="宋体" w:hAnsi="宋体" w:eastAsia="宋体" w:cs="宋体"/>
          <w:b w:val="0"/>
          <w:bCs w:val="0"/>
        </w:rPr>
        <w:t>项要求提交投标担保的，其投标文件将被否决或被作为无效投标处理。</w:t>
      </w:r>
    </w:p>
    <w:p>
      <w:pPr>
        <w:pStyle w:val="7"/>
        <w:tabs>
          <w:tab w:val="left" w:pos="1031"/>
        </w:tabs>
        <w:spacing w:line="360" w:lineRule="auto"/>
        <w:ind w:left="0" w:firstLine="480" w:firstLineChars="200"/>
        <w:rPr>
          <w:rFonts w:ascii="宋体" w:hAnsi="宋体" w:eastAsia="宋体" w:cs="宋体"/>
        </w:rPr>
      </w:pPr>
      <w:r>
        <w:rPr>
          <w:rFonts w:ascii="宋体" w:hAnsi="宋体" w:eastAsia="宋体" w:cs="宋体"/>
          <w:b w:val="0"/>
          <w:bCs w:val="0"/>
          <w:lang w:val="en-US"/>
        </w:rPr>
        <w:t>3.2.3</w:t>
      </w:r>
      <w:r>
        <w:rPr>
          <w:rFonts w:hint="eastAsia" w:ascii="宋体" w:hAnsi="宋体" w:eastAsia="宋体" w:cs="宋体"/>
          <w:b w:val="0"/>
          <w:bCs w:val="0"/>
        </w:rPr>
        <w:t>投标人应当将投标担保凭证的“扫描件”放入投标文件中。</w:t>
      </w:r>
    </w:p>
    <w:p>
      <w:pPr>
        <w:pStyle w:val="58"/>
        <w:tabs>
          <w:tab w:val="left" w:pos="1187"/>
        </w:tabs>
        <w:spacing w:line="360" w:lineRule="auto"/>
        <w:ind w:left="0" w:firstLine="0"/>
        <w:jc w:val="both"/>
        <w:rPr>
          <w:sz w:val="24"/>
          <w:szCs w:val="24"/>
        </w:rPr>
      </w:pPr>
      <w:r>
        <w:rPr>
          <w:sz w:val="24"/>
          <w:szCs w:val="24"/>
          <w:lang w:val="en-US"/>
        </w:rPr>
        <w:t>3.2.3</w:t>
      </w:r>
      <w:r>
        <w:rPr>
          <w:rFonts w:hint="eastAsia"/>
          <w:sz w:val="24"/>
          <w:szCs w:val="24"/>
        </w:rPr>
        <w:t>投标担保有效期应当与投标有效期一致。</w:t>
      </w:r>
    </w:p>
    <w:p>
      <w:pPr>
        <w:pStyle w:val="58"/>
        <w:tabs>
          <w:tab w:val="left" w:pos="1187"/>
        </w:tabs>
        <w:spacing w:line="360" w:lineRule="auto"/>
        <w:ind w:left="0" w:firstLine="0"/>
        <w:jc w:val="both"/>
        <w:rPr>
          <w:sz w:val="24"/>
          <w:szCs w:val="24"/>
        </w:rPr>
      </w:pPr>
      <w:r>
        <w:rPr>
          <w:sz w:val="24"/>
          <w:szCs w:val="24"/>
          <w:lang w:val="en-US"/>
        </w:rPr>
        <w:t>3.2.4</w:t>
      </w:r>
      <w:r>
        <w:rPr>
          <w:rFonts w:hint="eastAsia"/>
          <w:sz w:val="24"/>
          <w:szCs w:val="24"/>
        </w:rPr>
        <w:t>有下列情形之一的，投标担保将不予退还：</w:t>
      </w:r>
    </w:p>
    <w:p>
      <w:pPr>
        <w:pStyle w:val="58"/>
        <w:tabs>
          <w:tab w:val="left" w:pos="1188"/>
        </w:tabs>
        <w:spacing w:line="360" w:lineRule="auto"/>
        <w:ind w:left="0" w:firstLine="0"/>
        <w:rPr>
          <w:sz w:val="24"/>
          <w:szCs w:val="24"/>
        </w:rPr>
      </w:pPr>
      <w:r>
        <w:rPr>
          <w:rFonts w:hint="eastAsia"/>
          <w:sz w:val="24"/>
          <w:szCs w:val="24"/>
        </w:rPr>
        <w:t>（</w:t>
      </w:r>
      <w:r>
        <w:rPr>
          <w:sz w:val="24"/>
          <w:szCs w:val="24"/>
          <w:lang w:val="en-US"/>
        </w:rPr>
        <w:t>1</w:t>
      </w:r>
      <w:r>
        <w:rPr>
          <w:rFonts w:hint="eastAsia"/>
          <w:sz w:val="24"/>
          <w:szCs w:val="24"/>
          <w:lang w:val="en-US"/>
        </w:rPr>
        <w:t>）</w:t>
      </w:r>
      <w:r>
        <w:rPr>
          <w:rFonts w:hint="eastAsia"/>
          <w:sz w:val="24"/>
          <w:szCs w:val="24"/>
        </w:rPr>
        <w:t>投标人在规定的投标有效期内撤销或修改其投标文件；</w:t>
      </w:r>
    </w:p>
    <w:p>
      <w:pPr>
        <w:pStyle w:val="7"/>
        <w:tabs>
          <w:tab w:val="left" w:pos="1130"/>
        </w:tabs>
        <w:spacing w:line="360" w:lineRule="auto"/>
        <w:ind w:left="0" w:firstLine="464" w:firstLineChars="200"/>
        <w:rPr>
          <w:rFonts w:ascii="宋体" w:hAnsi="宋体" w:eastAsia="宋体" w:cs="宋体"/>
          <w:b w:val="0"/>
          <w:bCs w:val="0"/>
          <w:spacing w:val="-4"/>
        </w:rPr>
      </w:pPr>
      <w:r>
        <w:rPr>
          <w:rFonts w:hint="eastAsia" w:ascii="宋体" w:hAnsi="宋体" w:eastAsia="宋体" w:cs="宋体"/>
          <w:b w:val="0"/>
          <w:bCs w:val="0"/>
          <w:spacing w:val="-4"/>
        </w:rPr>
        <w:t>（</w:t>
      </w:r>
      <w:r>
        <w:rPr>
          <w:rFonts w:ascii="宋体" w:hAnsi="宋体" w:eastAsia="宋体" w:cs="宋体"/>
          <w:b w:val="0"/>
          <w:bCs w:val="0"/>
          <w:spacing w:val="-4"/>
          <w:lang w:val="en-US"/>
        </w:rPr>
        <w:t>2</w:t>
      </w:r>
      <w:r>
        <w:rPr>
          <w:rFonts w:hint="eastAsia" w:ascii="宋体" w:hAnsi="宋体" w:eastAsia="宋体" w:cs="宋体"/>
          <w:b w:val="0"/>
          <w:bCs w:val="0"/>
          <w:spacing w:val="-4"/>
          <w:lang w:val="en-US"/>
        </w:rPr>
        <w:t>）</w:t>
      </w:r>
      <w:r>
        <w:rPr>
          <w:rFonts w:hint="eastAsia" w:ascii="宋体" w:hAnsi="宋体" w:eastAsia="宋体" w:cs="宋体"/>
          <w:b w:val="0"/>
          <w:bCs w:val="0"/>
          <w:spacing w:val="-4"/>
        </w:rPr>
        <w:t>中标人在收到中标通知书后，无正当理由拒签合同协议书或未按招标文件规定提交履约担保。</w:t>
      </w:r>
    </w:p>
    <w:p>
      <w:pPr>
        <w:pStyle w:val="7"/>
        <w:tabs>
          <w:tab w:val="left" w:pos="1031"/>
        </w:tabs>
        <w:spacing w:line="360" w:lineRule="auto"/>
        <w:ind w:left="0" w:firstLine="0"/>
        <w:rPr>
          <w:rFonts w:ascii="宋体" w:hAnsi="宋体" w:eastAsia="宋体" w:cs="宋体"/>
          <w:lang w:val="en-US"/>
        </w:rPr>
      </w:pPr>
      <w:r>
        <w:rPr>
          <w:rFonts w:ascii="宋体" w:hAnsi="宋体" w:eastAsia="宋体" w:cs="宋体"/>
          <w:lang w:val="en-US"/>
        </w:rPr>
        <w:t>3.4</w:t>
      </w:r>
      <w:r>
        <w:rPr>
          <w:rFonts w:hint="eastAsia" w:ascii="宋体" w:hAnsi="宋体" w:eastAsia="宋体" w:cs="宋体"/>
          <w:lang w:val="en-US"/>
        </w:rPr>
        <w:t>资格审查资料</w:t>
      </w:r>
    </w:p>
    <w:p>
      <w:pPr>
        <w:pStyle w:val="7"/>
        <w:tabs>
          <w:tab w:val="left" w:pos="1031"/>
        </w:tabs>
        <w:spacing w:line="360" w:lineRule="auto"/>
        <w:ind w:left="0" w:firstLine="464" w:firstLineChars="200"/>
        <w:rPr>
          <w:rFonts w:ascii="宋体" w:hAnsi="宋体" w:eastAsia="宋体" w:cs="宋体"/>
          <w:b w:val="0"/>
          <w:bCs w:val="0"/>
          <w:spacing w:val="-4"/>
        </w:rPr>
      </w:pPr>
      <w:r>
        <w:rPr>
          <w:rFonts w:hint="eastAsia" w:ascii="宋体" w:hAnsi="宋体" w:eastAsia="宋体" w:cs="宋体"/>
          <w:b w:val="0"/>
          <w:bCs w:val="0"/>
          <w:spacing w:val="-4"/>
        </w:rPr>
        <w:t>投标人在编制投标文件时，应确保资格审查资料的真实性并对其真实性负责。评标委员会必要时可通过质疑澄清程序，核验资格审查资料的原件。</w:t>
      </w:r>
    </w:p>
    <w:p>
      <w:pPr>
        <w:pStyle w:val="7"/>
        <w:tabs>
          <w:tab w:val="left" w:pos="1031"/>
        </w:tabs>
        <w:spacing w:line="360" w:lineRule="auto"/>
        <w:ind w:left="0" w:firstLine="464" w:firstLineChars="200"/>
        <w:rPr>
          <w:rFonts w:ascii="宋体" w:hAnsi="宋体" w:eastAsia="宋体" w:cs="宋体"/>
          <w:b w:val="0"/>
          <w:bCs w:val="0"/>
          <w:spacing w:val="-4"/>
        </w:rPr>
      </w:pPr>
      <w:r>
        <w:rPr>
          <w:rFonts w:ascii="宋体" w:hAnsi="宋体" w:eastAsia="宋体" w:cs="宋体"/>
          <w:b w:val="0"/>
          <w:bCs w:val="0"/>
          <w:spacing w:val="-4"/>
          <w:lang w:val="en-US"/>
        </w:rPr>
        <w:t>3.4.1</w:t>
      </w:r>
      <w:r>
        <w:rPr>
          <w:rFonts w:ascii="宋体" w:hAnsi="宋体" w:eastAsia="宋体" w:cs="宋体"/>
          <w:b w:val="0"/>
          <w:bCs w:val="0"/>
          <w:spacing w:val="-4"/>
        </w:rPr>
        <w:t xml:space="preserve"> </w:t>
      </w:r>
      <w:r>
        <w:rPr>
          <w:rFonts w:hint="eastAsia" w:ascii="宋体" w:hAnsi="宋体" w:eastAsia="宋体" w:cs="宋体"/>
          <w:b w:val="0"/>
          <w:bCs w:val="0"/>
          <w:spacing w:val="-4"/>
        </w:rPr>
        <w:t>“投标人基本情况表”应附投标人营业执照副本、资质证书副本和安全生产许可证等材料的扫描件。</w:t>
      </w:r>
    </w:p>
    <w:p>
      <w:pPr>
        <w:pStyle w:val="7"/>
        <w:tabs>
          <w:tab w:val="left" w:pos="1031"/>
        </w:tabs>
        <w:spacing w:line="360" w:lineRule="auto"/>
        <w:ind w:left="0" w:firstLine="464" w:firstLineChars="200"/>
        <w:rPr>
          <w:rFonts w:ascii="宋体" w:hAnsi="宋体" w:eastAsia="宋体" w:cs="宋体"/>
          <w:color w:val="FF0000"/>
        </w:rPr>
      </w:pPr>
      <w:r>
        <w:rPr>
          <w:rFonts w:ascii="宋体" w:hAnsi="宋体" w:eastAsia="宋体" w:cs="宋体"/>
          <w:b w:val="0"/>
          <w:bCs w:val="0"/>
          <w:spacing w:val="-4"/>
          <w:lang w:val="en-US"/>
        </w:rPr>
        <w:t>3.4.2</w:t>
      </w:r>
      <w:r>
        <w:rPr>
          <w:rFonts w:ascii="宋体" w:hAnsi="宋体" w:eastAsia="宋体" w:cs="宋体"/>
          <w:b w:val="0"/>
          <w:bCs w:val="0"/>
          <w:spacing w:val="-4"/>
        </w:rPr>
        <w:t xml:space="preserve"> </w:t>
      </w:r>
      <w:r>
        <w:rPr>
          <w:rFonts w:hint="eastAsia" w:ascii="宋体" w:hAnsi="宋体" w:eastAsia="宋体" w:cs="宋体"/>
          <w:b w:val="0"/>
          <w:bCs w:val="0"/>
          <w:spacing w:val="-4"/>
        </w:rPr>
        <w:t>“近年财务状况表”应附经会计师事务所或审计机构审计的财务会计报表，包括资产负债表、现金流量表、利润表和财务情况说明书的扫描件，具体年份要求见投标人须知前附</w:t>
      </w:r>
      <w:r>
        <w:rPr>
          <w:rFonts w:hint="eastAsia" w:ascii="宋体" w:hAnsi="宋体" w:eastAsia="宋体" w:cs="宋体"/>
          <w:b w:val="0"/>
          <w:bCs w:val="0"/>
          <w:color w:val="000000"/>
        </w:rPr>
        <w:t>表</w:t>
      </w:r>
      <w:r>
        <w:rPr>
          <w:rFonts w:hint="eastAsia" w:ascii="宋体" w:hAnsi="宋体" w:eastAsia="宋体" w:cs="宋体"/>
          <w:color w:val="000000"/>
        </w:rPr>
        <w:t>。</w:t>
      </w:r>
    </w:p>
    <w:p>
      <w:pPr>
        <w:pStyle w:val="18"/>
        <w:spacing w:line="360" w:lineRule="auto"/>
        <w:ind w:firstLine="484"/>
        <w:rPr>
          <w:color w:val="000000"/>
        </w:rPr>
      </w:pPr>
      <w:r>
        <w:rPr>
          <w:color w:val="000000"/>
          <w:lang w:val="en-US"/>
        </w:rPr>
        <w:t>3.4.3</w:t>
      </w:r>
      <w:r>
        <w:rPr>
          <w:color w:val="000000"/>
        </w:rPr>
        <w:t xml:space="preserve"> </w:t>
      </w:r>
      <w:r>
        <w:rPr>
          <w:rFonts w:hint="eastAsia"/>
          <w:color w:val="000000"/>
        </w:rPr>
        <w:t>“近年完成的类似项目情况表”应附中标通知书和（或）合同协议书、工程接收证书（工程竣工验收证书）的扫描件，具体年份要求见投标人须知前附表。每张表格只填写一个项目，并标明序号。</w:t>
      </w:r>
    </w:p>
    <w:p>
      <w:pPr>
        <w:pStyle w:val="18"/>
        <w:spacing w:line="360" w:lineRule="auto"/>
        <w:ind w:firstLine="484"/>
        <w:rPr>
          <w:color w:val="000000"/>
        </w:rPr>
      </w:pPr>
      <w:r>
        <w:rPr>
          <w:color w:val="000000"/>
          <w:lang w:val="en-US"/>
        </w:rPr>
        <w:t>3.4.4</w:t>
      </w:r>
      <w:r>
        <w:rPr>
          <w:color w:val="000000"/>
        </w:rPr>
        <w:t xml:space="preserve"> </w:t>
      </w:r>
      <w:r>
        <w:rPr>
          <w:rFonts w:hint="eastAsia"/>
          <w:color w:val="000000"/>
        </w:rPr>
        <w:t>“正在施工和新承接的项目情况表”应附中标通知书和（或）合同协议书扫描件。每张表格只填写一个项目，并标明序号。</w:t>
      </w:r>
    </w:p>
    <w:p>
      <w:pPr>
        <w:pStyle w:val="18"/>
        <w:spacing w:line="360" w:lineRule="auto"/>
        <w:ind w:firstLine="484"/>
        <w:rPr>
          <w:color w:val="000000"/>
        </w:rPr>
      </w:pPr>
      <w:r>
        <w:rPr>
          <w:color w:val="000000"/>
          <w:lang w:val="en-US"/>
        </w:rPr>
        <w:t>3.4.5</w:t>
      </w:r>
      <w:r>
        <w:rPr>
          <w:rFonts w:hint="eastAsia"/>
          <w:color w:val="000000"/>
        </w:rPr>
        <w:t>“近年发生的诉讼及仲裁情况”应说明相关情况，并附法院或仲裁机构作出的判决、裁决等有关法律文书扫描件，具体年份要求见投标人须知前附表。</w:t>
      </w:r>
    </w:p>
    <w:p>
      <w:pPr>
        <w:pStyle w:val="18"/>
        <w:spacing w:line="360" w:lineRule="auto"/>
        <w:ind w:firstLine="484"/>
        <w:rPr>
          <w:color w:val="000000"/>
        </w:rPr>
      </w:pPr>
      <w:r>
        <w:rPr>
          <w:color w:val="000000"/>
          <w:lang w:val="en-US"/>
        </w:rPr>
        <w:t>3.4.5</w:t>
      </w:r>
      <w:r>
        <w:rPr>
          <w:color w:val="000000"/>
        </w:rPr>
        <w:t xml:space="preserve"> </w:t>
      </w:r>
      <w:r>
        <w:rPr>
          <w:rFonts w:hint="eastAsia"/>
          <w:color w:val="000000"/>
        </w:rPr>
        <w:t>投标人须知前附表规定接受联合体投标的，本章第</w:t>
      </w:r>
      <w:r>
        <w:rPr>
          <w:color w:val="000000"/>
        </w:rPr>
        <w:t xml:space="preserve"> 3.5.1 </w:t>
      </w:r>
      <w:r>
        <w:rPr>
          <w:rFonts w:hint="eastAsia"/>
          <w:color w:val="000000"/>
        </w:rPr>
        <w:t>项至第</w:t>
      </w:r>
      <w:r>
        <w:rPr>
          <w:color w:val="000000"/>
        </w:rPr>
        <w:t xml:space="preserve"> 3.5.5 </w:t>
      </w:r>
      <w:r>
        <w:rPr>
          <w:rFonts w:hint="eastAsia"/>
          <w:color w:val="000000"/>
        </w:rPr>
        <w:t>项规定的表格和资料应包括联合体各方相关情况。</w:t>
      </w:r>
    </w:p>
    <w:p>
      <w:pPr>
        <w:pStyle w:val="7"/>
        <w:tabs>
          <w:tab w:val="left" w:pos="1031"/>
        </w:tabs>
        <w:spacing w:line="360" w:lineRule="auto"/>
        <w:ind w:left="0" w:firstLine="0"/>
        <w:rPr>
          <w:rFonts w:ascii="宋体" w:hAnsi="宋体" w:eastAsia="宋体" w:cs="宋体"/>
        </w:rPr>
      </w:pPr>
      <w:r>
        <w:rPr>
          <w:rFonts w:ascii="宋体" w:hAnsi="宋体" w:eastAsia="宋体" w:cs="宋体"/>
          <w:lang w:val="en-US"/>
        </w:rPr>
        <w:t>3.5</w:t>
      </w:r>
      <w:r>
        <w:rPr>
          <w:rFonts w:hint="eastAsia" w:ascii="宋体" w:hAnsi="宋体" w:eastAsia="宋体" w:cs="宋体"/>
        </w:rPr>
        <w:t>备选投标方案</w:t>
      </w:r>
    </w:p>
    <w:p>
      <w:pPr>
        <w:pStyle w:val="7"/>
        <w:tabs>
          <w:tab w:val="left" w:pos="1031"/>
        </w:tabs>
        <w:spacing w:line="360" w:lineRule="auto"/>
        <w:ind w:left="0" w:firstLine="480" w:firstLineChars="200"/>
        <w:rPr>
          <w:rFonts w:ascii="宋体" w:hAnsi="宋体" w:eastAsia="宋体" w:cs="宋体"/>
          <w:b w:val="0"/>
          <w:bCs w:val="0"/>
        </w:rPr>
      </w:pPr>
      <w:r>
        <w:rPr>
          <w:rFonts w:hint="eastAsia" w:ascii="宋体" w:hAnsi="宋体" w:eastAsia="宋体" w:cs="宋体"/>
          <w:b w:val="0"/>
          <w:bCs w:val="0"/>
          <w:color w:val="000000"/>
        </w:rPr>
        <w:t>除投标人须知前附表另有规定外，投标人不得递交备选投标方案。允许投标人递交备选投标方案的，只有中标人所递交的备选投标方案方可予以考虑。评标委员会认为中标人的备选投标方案优于其按照招标文件要求</w:t>
      </w:r>
      <w:r>
        <w:rPr>
          <w:rFonts w:hint="eastAsia" w:ascii="宋体" w:hAnsi="宋体" w:eastAsia="宋体" w:cs="宋体"/>
          <w:b w:val="0"/>
          <w:bCs w:val="0"/>
          <w:spacing w:val="-2"/>
        </w:rPr>
        <w:t>编制的投标方案的，招标人</w:t>
      </w:r>
      <w:r>
        <w:rPr>
          <w:rFonts w:hint="eastAsia" w:ascii="宋体" w:hAnsi="宋体" w:eastAsia="宋体" w:cs="宋体"/>
          <w:b w:val="0"/>
          <w:bCs w:val="0"/>
        </w:rPr>
        <w:t>可以接受该备选投标方案。</w:t>
      </w:r>
    </w:p>
    <w:p>
      <w:pPr>
        <w:pStyle w:val="7"/>
        <w:tabs>
          <w:tab w:val="left" w:pos="1031"/>
        </w:tabs>
        <w:spacing w:line="360" w:lineRule="auto"/>
        <w:ind w:left="0" w:firstLine="0"/>
        <w:rPr>
          <w:rFonts w:ascii="宋体" w:hAnsi="宋体" w:eastAsia="宋体" w:cs="宋体"/>
        </w:rPr>
      </w:pPr>
      <w:r>
        <w:rPr>
          <w:rFonts w:ascii="宋体" w:hAnsi="宋体" w:eastAsia="宋体" w:cs="宋体"/>
          <w:lang w:val="en-US"/>
        </w:rPr>
        <w:t>3.6</w:t>
      </w:r>
      <w:r>
        <w:rPr>
          <w:rFonts w:hint="eastAsia" w:ascii="宋体" w:hAnsi="宋体" w:eastAsia="宋体" w:cs="宋体"/>
        </w:rPr>
        <w:t>投标文件的编制</w:t>
      </w:r>
    </w:p>
    <w:p>
      <w:pPr>
        <w:pStyle w:val="7"/>
        <w:tabs>
          <w:tab w:val="left" w:pos="1031"/>
        </w:tabs>
        <w:spacing w:line="360" w:lineRule="auto"/>
        <w:ind w:left="0" w:firstLine="480" w:firstLineChars="200"/>
        <w:rPr>
          <w:rFonts w:ascii="宋体" w:hAnsi="宋体" w:eastAsia="宋体" w:cs="宋体"/>
          <w:b w:val="0"/>
          <w:bCs w:val="0"/>
          <w:color w:val="000000"/>
          <w:lang w:val="en-US"/>
        </w:rPr>
      </w:pPr>
      <w:r>
        <w:rPr>
          <w:rFonts w:ascii="宋体" w:hAnsi="宋体" w:eastAsia="宋体" w:cs="宋体"/>
          <w:b w:val="0"/>
          <w:bCs w:val="0"/>
          <w:color w:val="000000"/>
          <w:lang w:val="en-US"/>
        </w:rPr>
        <w:t xml:space="preserve">3.6.1 </w:t>
      </w:r>
      <w:r>
        <w:rPr>
          <w:rFonts w:hint="eastAsia" w:ascii="宋体" w:hAnsi="宋体" w:eastAsia="宋体" w:cs="宋体"/>
          <w:b w:val="0"/>
          <w:bCs w:val="0"/>
          <w:color w:val="000000"/>
          <w:lang w:val="en-US"/>
        </w:rPr>
        <w:t>投标文件应按第八章“投标文件格式”进行编写，如有必要，可以增加附页，作为投标文件的组成部分。其中，投标函附录在满足招标文件实质性要求的基础上，可以提出比招标文件要求更有利于招标人的承诺。</w:t>
      </w:r>
    </w:p>
    <w:p>
      <w:pPr>
        <w:pStyle w:val="7"/>
        <w:tabs>
          <w:tab w:val="left" w:pos="1031"/>
        </w:tabs>
        <w:spacing w:line="360" w:lineRule="auto"/>
        <w:ind w:left="0" w:firstLine="480" w:firstLineChars="200"/>
        <w:rPr>
          <w:rFonts w:ascii="宋体" w:hAnsi="宋体" w:eastAsia="宋体" w:cs="宋体"/>
          <w:b w:val="0"/>
          <w:bCs w:val="0"/>
          <w:color w:val="000000"/>
          <w:lang w:val="en-US"/>
        </w:rPr>
      </w:pPr>
      <w:r>
        <w:rPr>
          <w:rFonts w:ascii="宋体" w:hAnsi="宋体" w:eastAsia="宋体" w:cs="宋体"/>
          <w:b w:val="0"/>
          <w:bCs w:val="0"/>
          <w:color w:val="000000"/>
          <w:lang w:val="en-US"/>
        </w:rPr>
        <w:t xml:space="preserve">3.6.2 </w:t>
      </w:r>
      <w:r>
        <w:rPr>
          <w:rFonts w:hint="eastAsia" w:ascii="宋体" w:hAnsi="宋体" w:eastAsia="宋体" w:cs="宋体"/>
          <w:b w:val="0"/>
          <w:bCs w:val="0"/>
          <w:color w:val="000000"/>
          <w:lang w:val="en-US"/>
        </w:rPr>
        <w:t>投标文件应当对招标文件有关工期、投标有效期、质量要求、技术标准和要求、招标范围等实质性内容作出响应。</w:t>
      </w:r>
    </w:p>
    <w:p>
      <w:pPr>
        <w:pStyle w:val="7"/>
        <w:tabs>
          <w:tab w:val="left" w:pos="1031"/>
        </w:tabs>
        <w:spacing w:line="360" w:lineRule="auto"/>
        <w:ind w:left="0" w:firstLine="480" w:firstLineChars="200"/>
        <w:rPr>
          <w:rFonts w:ascii="宋体" w:hAnsi="宋体" w:eastAsia="宋体" w:cs="宋体"/>
          <w:b w:val="0"/>
          <w:bCs w:val="0"/>
          <w:color w:val="000000"/>
          <w:lang w:val="en-US"/>
        </w:rPr>
      </w:pPr>
      <w:r>
        <w:rPr>
          <w:rFonts w:ascii="宋体" w:hAnsi="宋体" w:eastAsia="宋体" w:cs="宋体"/>
          <w:b w:val="0"/>
          <w:bCs w:val="0"/>
          <w:color w:val="000000"/>
          <w:lang w:val="en-US"/>
        </w:rPr>
        <w:t xml:space="preserve">3.6.3 </w:t>
      </w:r>
      <w:r>
        <w:rPr>
          <w:rFonts w:hint="eastAsia" w:ascii="宋体" w:hAnsi="宋体" w:eastAsia="宋体" w:cs="宋体"/>
          <w:b w:val="0"/>
          <w:bCs w:val="0"/>
          <w:color w:val="000000"/>
          <w:lang w:val="en-US"/>
        </w:rPr>
        <w:t>签字或盖章的具体要求见投标人须知前附表。</w:t>
      </w:r>
    </w:p>
    <w:p>
      <w:pPr>
        <w:pStyle w:val="7"/>
        <w:tabs>
          <w:tab w:val="left" w:pos="1031"/>
        </w:tabs>
        <w:spacing w:line="360" w:lineRule="auto"/>
        <w:ind w:left="0" w:firstLine="480" w:firstLineChars="200"/>
        <w:rPr>
          <w:rFonts w:ascii="宋体" w:hAnsi="宋体" w:eastAsia="宋体" w:cs="宋体"/>
          <w:b w:val="0"/>
          <w:bCs w:val="0"/>
          <w:color w:val="000000"/>
          <w:lang w:val="en-US"/>
        </w:rPr>
      </w:pPr>
      <w:r>
        <w:rPr>
          <w:rFonts w:ascii="宋体" w:hAnsi="宋体" w:eastAsia="宋体" w:cs="宋体"/>
          <w:b w:val="0"/>
          <w:bCs w:val="0"/>
          <w:color w:val="000000"/>
          <w:lang w:val="en-US"/>
        </w:rPr>
        <w:t>3.6.4</w:t>
      </w:r>
      <w:r>
        <w:rPr>
          <w:rFonts w:hint="eastAsia" w:ascii="宋体" w:hAnsi="宋体" w:eastAsia="宋体" w:cs="宋体"/>
          <w:b w:val="0"/>
          <w:bCs w:val="0"/>
          <w:color w:val="000000"/>
          <w:lang w:val="en-US"/>
        </w:rPr>
        <w:t>其他要求：</w:t>
      </w:r>
    </w:p>
    <w:p>
      <w:pPr>
        <w:pStyle w:val="7"/>
        <w:tabs>
          <w:tab w:val="left" w:pos="1031"/>
        </w:tabs>
        <w:spacing w:line="360" w:lineRule="auto"/>
        <w:ind w:left="0" w:firstLine="480" w:firstLineChars="200"/>
        <w:rPr>
          <w:rFonts w:cs="宋体"/>
          <w:color w:val="000000"/>
          <w:lang w:val="en-US"/>
        </w:rPr>
      </w:pPr>
      <w:r>
        <w:rPr>
          <w:rFonts w:hint="eastAsia" w:ascii="宋体" w:hAnsi="宋体" w:eastAsia="宋体" w:cs="宋体"/>
          <w:b w:val="0"/>
          <w:bCs w:val="0"/>
          <w:color w:val="000000"/>
          <w:lang w:val="en-US"/>
        </w:rPr>
        <w:t>采用工程量清单作为计量计价依据时，投标文件中应当采用工程量清单数据</w:t>
      </w:r>
      <w:r>
        <w:rPr>
          <w:rFonts w:ascii="宋体" w:hAnsi="宋体" w:eastAsia="宋体" w:cs="宋体"/>
          <w:b w:val="0"/>
          <w:bCs w:val="0"/>
          <w:color w:val="000000"/>
          <w:lang w:val="en-US"/>
        </w:rPr>
        <w:t xml:space="preserve"> XML</w:t>
      </w:r>
      <w:r>
        <w:rPr>
          <w:rFonts w:hint="eastAsia" w:ascii="宋体" w:hAnsi="宋体" w:eastAsia="宋体" w:cs="宋体"/>
          <w:b w:val="0"/>
          <w:bCs w:val="0"/>
          <w:color w:val="000000"/>
          <w:lang w:val="en-US"/>
        </w:rPr>
        <w:t>文件和</w:t>
      </w:r>
      <w:r>
        <w:rPr>
          <w:rFonts w:ascii="宋体" w:hAnsi="宋体" w:eastAsia="宋体" w:cs="宋体"/>
          <w:b w:val="0"/>
          <w:bCs w:val="0"/>
          <w:color w:val="000000"/>
          <w:lang w:val="en-US"/>
        </w:rPr>
        <w:t>PDF</w:t>
      </w:r>
      <w:r>
        <w:rPr>
          <w:rFonts w:hint="eastAsia" w:ascii="宋体" w:hAnsi="宋体" w:eastAsia="宋体" w:cs="宋体"/>
          <w:b w:val="0"/>
          <w:bCs w:val="0"/>
          <w:color w:val="000000"/>
          <w:lang w:val="en-US"/>
        </w:rPr>
        <w:t>格式导入。</w:t>
      </w:r>
    </w:p>
    <w:p>
      <w:pPr>
        <w:pStyle w:val="7"/>
        <w:tabs>
          <w:tab w:val="left" w:pos="1031"/>
        </w:tabs>
        <w:spacing w:line="360" w:lineRule="auto"/>
        <w:ind w:left="0" w:firstLine="0"/>
        <w:jc w:val="both"/>
        <w:rPr>
          <w:rFonts w:ascii="宋体" w:hAnsi="宋体" w:eastAsia="宋体" w:cs="宋体"/>
        </w:rPr>
      </w:pPr>
      <w:r>
        <w:rPr>
          <w:rFonts w:ascii="宋体" w:hAnsi="宋体" w:eastAsia="宋体" w:cs="宋体"/>
          <w:lang w:val="en-US"/>
        </w:rPr>
        <w:t>3.7</w:t>
      </w:r>
      <w:r>
        <w:rPr>
          <w:rFonts w:hint="eastAsia" w:ascii="宋体" w:hAnsi="宋体" w:eastAsia="宋体" w:cs="宋体"/>
        </w:rPr>
        <w:t>投标文件的加密</w:t>
      </w:r>
    </w:p>
    <w:p>
      <w:pPr>
        <w:pStyle w:val="7"/>
        <w:tabs>
          <w:tab w:val="left" w:pos="1031"/>
        </w:tabs>
        <w:spacing w:line="360" w:lineRule="auto"/>
        <w:ind w:left="0" w:firstLine="480" w:firstLineChars="200"/>
        <w:jc w:val="both"/>
        <w:rPr>
          <w:rFonts w:ascii="宋体" w:hAnsi="宋体" w:eastAsia="宋体" w:cs="宋体"/>
        </w:rPr>
      </w:pPr>
      <w:r>
        <w:rPr>
          <w:rFonts w:hint="eastAsia" w:ascii="宋体" w:hAnsi="宋体" w:eastAsia="宋体" w:cs="宋体"/>
          <w:b w:val="0"/>
          <w:bCs w:val="0"/>
          <w:lang w:val="en-US"/>
        </w:rPr>
        <w:t>投标人应当按照招标文件和电子招标投标交易平台的要求加密投标文件，具体要求见投标人须知前附表。</w:t>
      </w:r>
    </w:p>
    <w:p>
      <w:pPr>
        <w:pStyle w:val="7"/>
        <w:tabs>
          <w:tab w:val="left" w:pos="1031"/>
        </w:tabs>
        <w:spacing w:line="360" w:lineRule="auto"/>
        <w:ind w:left="0" w:firstLine="0"/>
        <w:jc w:val="both"/>
        <w:rPr>
          <w:rFonts w:ascii="宋体" w:hAnsi="宋体" w:eastAsia="宋体" w:cs="宋体"/>
        </w:rPr>
      </w:pPr>
      <w:r>
        <w:rPr>
          <w:rFonts w:ascii="宋体" w:hAnsi="宋体" w:eastAsia="宋体" w:cs="宋体"/>
          <w:lang w:val="en-US"/>
        </w:rPr>
        <w:t>3.8</w:t>
      </w:r>
      <w:r>
        <w:rPr>
          <w:rFonts w:hint="eastAsia" w:ascii="宋体" w:hAnsi="宋体" w:eastAsia="宋体" w:cs="宋体"/>
        </w:rPr>
        <w:t>投标文件的递交</w:t>
      </w:r>
    </w:p>
    <w:p>
      <w:pPr>
        <w:pStyle w:val="7"/>
        <w:tabs>
          <w:tab w:val="left" w:pos="1031"/>
        </w:tabs>
        <w:spacing w:line="360" w:lineRule="auto"/>
        <w:ind w:left="0" w:firstLine="480" w:firstLineChars="200"/>
        <w:jc w:val="both"/>
        <w:rPr>
          <w:rFonts w:ascii="宋体" w:hAnsi="宋体" w:eastAsia="宋体" w:cs="宋体"/>
          <w:b w:val="0"/>
          <w:bCs w:val="0"/>
        </w:rPr>
      </w:pPr>
      <w:r>
        <w:rPr>
          <w:rFonts w:ascii="宋体" w:hAnsi="宋体" w:eastAsia="宋体" w:cs="宋体"/>
          <w:b w:val="0"/>
          <w:bCs w:val="0"/>
          <w:lang w:val="en-US"/>
        </w:rPr>
        <w:t>3.8.1</w:t>
      </w:r>
      <w:r>
        <w:rPr>
          <w:rFonts w:hint="eastAsia" w:ascii="宋体" w:hAnsi="宋体" w:eastAsia="宋体" w:cs="宋体"/>
          <w:b w:val="0"/>
          <w:bCs w:val="0"/>
        </w:rPr>
        <w:t>投标人应在投标人须知前附表规定的投标截止时间前在线递交经投标人数字证书加密的数据电文形式投标文件。</w:t>
      </w:r>
    </w:p>
    <w:p>
      <w:pPr>
        <w:pStyle w:val="7"/>
        <w:tabs>
          <w:tab w:val="left" w:pos="1031"/>
        </w:tabs>
        <w:spacing w:line="360" w:lineRule="auto"/>
        <w:ind w:left="0" w:firstLine="480" w:firstLineChars="200"/>
        <w:jc w:val="both"/>
        <w:rPr>
          <w:rFonts w:ascii="宋体" w:hAnsi="宋体" w:eastAsia="宋体" w:cs="宋体"/>
          <w:b w:val="0"/>
          <w:bCs w:val="0"/>
        </w:rPr>
      </w:pPr>
      <w:r>
        <w:rPr>
          <w:rFonts w:ascii="宋体" w:hAnsi="宋体" w:eastAsia="宋体" w:cs="宋体"/>
          <w:b w:val="0"/>
          <w:bCs w:val="0"/>
          <w:lang w:val="en-US"/>
        </w:rPr>
        <w:t>3.8.2</w:t>
      </w:r>
      <w:r>
        <w:rPr>
          <w:rFonts w:ascii="宋体" w:hAnsi="宋体" w:eastAsia="宋体" w:cs="宋体"/>
          <w:b w:val="0"/>
          <w:bCs w:val="0"/>
        </w:rPr>
        <w:t xml:space="preserve"> </w:t>
      </w:r>
      <w:r>
        <w:rPr>
          <w:rFonts w:hint="eastAsia" w:ascii="宋体" w:hAnsi="宋体" w:eastAsia="宋体" w:cs="宋体"/>
          <w:b w:val="0"/>
          <w:bCs w:val="0"/>
        </w:rPr>
        <w:t>投标人递交投标文件的地点：见投标人须知前附表。</w:t>
      </w:r>
    </w:p>
    <w:p>
      <w:pPr>
        <w:pStyle w:val="7"/>
        <w:tabs>
          <w:tab w:val="left" w:pos="1031"/>
        </w:tabs>
        <w:spacing w:line="360" w:lineRule="auto"/>
        <w:ind w:left="0" w:firstLine="480" w:firstLineChars="200"/>
        <w:jc w:val="both"/>
        <w:rPr>
          <w:rFonts w:ascii="宋体" w:hAnsi="宋体" w:eastAsia="宋体" w:cs="宋体"/>
          <w:b w:val="0"/>
          <w:bCs w:val="0"/>
        </w:rPr>
      </w:pPr>
      <w:r>
        <w:rPr>
          <w:rFonts w:ascii="宋体" w:hAnsi="宋体" w:eastAsia="宋体" w:cs="宋体"/>
          <w:b w:val="0"/>
          <w:bCs w:val="0"/>
          <w:lang w:val="en-US"/>
        </w:rPr>
        <w:t>3.8.3</w:t>
      </w:r>
      <w:r>
        <w:rPr>
          <w:rFonts w:hint="eastAsia" w:ascii="宋体" w:hAnsi="宋体" w:eastAsia="宋体" w:cs="宋体"/>
          <w:b w:val="0"/>
          <w:bCs w:val="0"/>
        </w:rPr>
        <w:t>投标人所递交的投标文件不予退还。</w:t>
      </w:r>
    </w:p>
    <w:p>
      <w:pPr>
        <w:pStyle w:val="7"/>
        <w:tabs>
          <w:tab w:val="left" w:pos="1031"/>
        </w:tabs>
        <w:spacing w:line="360" w:lineRule="auto"/>
        <w:ind w:left="0" w:firstLine="0"/>
        <w:rPr>
          <w:rFonts w:ascii="宋体" w:hAnsi="宋体" w:eastAsia="宋体" w:cs="宋体"/>
        </w:rPr>
      </w:pPr>
      <w:r>
        <w:rPr>
          <w:rFonts w:ascii="宋体" w:hAnsi="宋体" w:eastAsia="宋体" w:cs="宋体"/>
          <w:lang w:val="en-US"/>
        </w:rPr>
        <w:t>3.9</w:t>
      </w:r>
      <w:r>
        <w:rPr>
          <w:rFonts w:hint="eastAsia" w:ascii="宋体" w:hAnsi="宋体" w:eastAsia="宋体" w:cs="宋体"/>
        </w:rPr>
        <w:t>投标文件的修改与撤回</w:t>
      </w:r>
    </w:p>
    <w:p>
      <w:pPr>
        <w:pStyle w:val="7"/>
        <w:tabs>
          <w:tab w:val="left" w:pos="1031"/>
        </w:tabs>
        <w:spacing w:line="360" w:lineRule="auto"/>
        <w:ind w:left="0" w:firstLine="480" w:firstLineChars="200"/>
        <w:rPr>
          <w:rFonts w:ascii="宋体" w:hAnsi="宋体" w:eastAsia="宋体" w:cs="宋体"/>
          <w:b w:val="0"/>
          <w:bCs w:val="0"/>
        </w:rPr>
      </w:pPr>
      <w:r>
        <w:rPr>
          <w:rFonts w:ascii="宋体" w:hAnsi="宋体" w:eastAsia="宋体" w:cs="宋体"/>
          <w:b w:val="0"/>
          <w:bCs w:val="0"/>
          <w:lang w:val="en-US"/>
        </w:rPr>
        <w:t>3.9.1</w:t>
      </w:r>
      <w:r>
        <w:rPr>
          <w:rFonts w:hint="eastAsia" w:ascii="宋体" w:hAnsi="宋体" w:eastAsia="宋体" w:cs="宋体"/>
          <w:b w:val="0"/>
          <w:bCs w:val="0"/>
        </w:rPr>
        <w:t>在投标人须知前附表规定的投标截止时间前，投标人可以修改或撤回已递交的数据电文形式投标文件。</w:t>
      </w:r>
    </w:p>
    <w:p>
      <w:pPr>
        <w:pStyle w:val="7"/>
        <w:tabs>
          <w:tab w:val="left" w:pos="1031"/>
        </w:tabs>
        <w:spacing w:line="360" w:lineRule="auto"/>
        <w:ind w:left="0" w:firstLine="480" w:firstLineChars="200"/>
        <w:rPr>
          <w:rFonts w:ascii="宋体" w:hAnsi="宋体" w:eastAsia="宋体" w:cs="宋体"/>
        </w:rPr>
      </w:pPr>
      <w:r>
        <w:rPr>
          <w:rFonts w:ascii="宋体" w:hAnsi="宋体" w:eastAsia="宋体" w:cs="宋体"/>
          <w:b w:val="0"/>
          <w:bCs w:val="0"/>
          <w:lang w:val="en-US"/>
        </w:rPr>
        <w:t>3.9.2</w:t>
      </w:r>
      <w:r>
        <w:rPr>
          <w:rFonts w:hint="eastAsia" w:ascii="宋体" w:hAnsi="宋体" w:eastAsia="宋体" w:cs="宋体"/>
          <w:b w:val="0"/>
          <w:bCs w:val="0"/>
          <w:spacing w:val="-3"/>
        </w:rPr>
        <w:t>投标人在招标文件规定的投标文件递交截止时间前，对已经成功递交的投</w:t>
      </w:r>
      <w:r>
        <w:rPr>
          <w:rFonts w:hint="eastAsia" w:ascii="宋体" w:hAnsi="宋体" w:eastAsia="宋体" w:cs="宋体"/>
          <w:b w:val="0"/>
          <w:bCs w:val="0"/>
          <w:spacing w:val="-5"/>
        </w:rPr>
        <w:t>标文件进行修改、补充的，投标人应当使用“电子标书制作工具”制作成完整的投标文件，并上传电子化平台。电子化平台提供回执。电子投标文件以在招标文件规</w:t>
      </w:r>
      <w:r>
        <w:rPr>
          <w:rFonts w:hint="eastAsia" w:ascii="宋体" w:hAnsi="宋体" w:eastAsia="宋体" w:cs="宋体"/>
          <w:b w:val="0"/>
          <w:bCs w:val="0"/>
        </w:rPr>
        <w:t>定的电子投标文件递交截止时间前，最后上传成功的为准。</w:t>
      </w:r>
      <w:r>
        <w:rPr>
          <w:rFonts w:ascii="宋体" w:hAnsi="宋体" w:eastAsia="宋体" w:cs="宋体"/>
        </w:rPr>
        <w:t xml:space="preserve"> </w:t>
      </w:r>
    </w:p>
    <w:p>
      <w:pPr>
        <w:pStyle w:val="7"/>
        <w:tabs>
          <w:tab w:val="left" w:pos="1031"/>
        </w:tabs>
        <w:spacing w:line="360" w:lineRule="auto"/>
        <w:ind w:left="0" w:firstLine="480" w:firstLineChars="200"/>
        <w:rPr>
          <w:rFonts w:ascii="宋体" w:hAnsi="宋体" w:eastAsia="宋体" w:cs="宋体"/>
          <w:b w:val="0"/>
          <w:bCs w:val="0"/>
        </w:rPr>
      </w:pPr>
      <w:r>
        <w:rPr>
          <w:rFonts w:ascii="宋体" w:hAnsi="宋体" w:eastAsia="宋体" w:cs="宋体"/>
          <w:b w:val="0"/>
          <w:bCs w:val="0"/>
          <w:lang w:val="en-US"/>
        </w:rPr>
        <w:t>3.9.3</w:t>
      </w:r>
      <w:r>
        <w:rPr>
          <w:rFonts w:hint="eastAsia" w:ascii="宋体" w:hAnsi="宋体" w:eastAsia="宋体" w:cs="宋体"/>
          <w:b w:val="0"/>
          <w:bCs w:val="0"/>
          <w:spacing w:val="-4"/>
        </w:rPr>
        <w:t>招标人将拒绝接受在投标截止时间之后提交的投标文件修订本。投标截止</w:t>
      </w:r>
      <w:r>
        <w:rPr>
          <w:rFonts w:hint="eastAsia" w:ascii="宋体" w:hAnsi="宋体" w:eastAsia="宋体" w:cs="宋体"/>
          <w:b w:val="0"/>
          <w:bCs w:val="0"/>
        </w:rPr>
        <w:t>时间至投标有效期满之前，投标人不得撤回其投标文件。</w:t>
      </w:r>
    </w:p>
    <w:p>
      <w:pPr>
        <w:pStyle w:val="7"/>
        <w:tabs>
          <w:tab w:val="left" w:pos="1031"/>
        </w:tabs>
        <w:spacing w:line="360" w:lineRule="auto"/>
        <w:ind w:left="0" w:firstLine="0"/>
        <w:rPr>
          <w:rFonts w:ascii="宋体" w:hAnsi="宋体" w:eastAsia="宋体" w:cs="宋体"/>
          <w:lang w:val="en-US"/>
        </w:rPr>
      </w:pPr>
      <w:r>
        <w:rPr>
          <w:rFonts w:ascii="宋体" w:hAnsi="宋体" w:eastAsia="宋体" w:cs="宋体"/>
          <w:lang w:val="en-US"/>
        </w:rPr>
        <w:t>4.</w:t>
      </w:r>
      <w:r>
        <w:rPr>
          <w:rFonts w:hint="eastAsia" w:ascii="宋体" w:hAnsi="宋体" w:eastAsia="宋体" w:cs="宋体"/>
          <w:lang w:val="en-US"/>
        </w:rPr>
        <w:t>开标</w:t>
      </w:r>
      <w:bookmarkStart w:id="6" w:name="_Toc256000034"/>
    </w:p>
    <w:p>
      <w:pPr>
        <w:pStyle w:val="7"/>
        <w:tabs>
          <w:tab w:val="left" w:pos="1031"/>
        </w:tabs>
        <w:spacing w:line="360" w:lineRule="auto"/>
        <w:ind w:left="0" w:firstLine="0"/>
        <w:rPr>
          <w:rFonts w:ascii="宋体" w:hAnsi="宋体" w:eastAsia="宋体" w:cs="宋体"/>
          <w:lang w:val="en-US"/>
        </w:rPr>
      </w:pPr>
      <w:r>
        <w:rPr>
          <w:rFonts w:ascii="宋体" w:hAnsi="宋体" w:eastAsia="宋体" w:cs="宋体"/>
          <w:lang w:val="en-US"/>
        </w:rPr>
        <w:t>4.1</w:t>
      </w:r>
      <w:r>
        <w:rPr>
          <w:rFonts w:hint="eastAsia" w:ascii="宋体" w:hAnsi="宋体" w:eastAsia="宋体" w:cs="宋体"/>
          <w:lang w:val="en-US"/>
        </w:rPr>
        <w:t>开标时间和地点</w:t>
      </w:r>
      <w:bookmarkEnd w:id="6"/>
    </w:p>
    <w:p>
      <w:pPr>
        <w:pStyle w:val="7"/>
        <w:tabs>
          <w:tab w:val="left" w:pos="1031"/>
        </w:tabs>
        <w:spacing w:line="360" w:lineRule="auto"/>
        <w:ind w:left="0" w:firstLine="480" w:firstLineChars="200"/>
        <w:rPr>
          <w:rFonts w:ascii="宋体" w:hAnsi="宋体" w:eastAsia="宋体" w:cs="宋体"/>
          <w:b w:val="0"/>
          <w:bCs w:val="0"/>
          <w:color w:val="000000"/>
        </w:rPr>
      </w:pPr>
      <w:r>
        <w:rPr>
          <w:rFonts w:hint="eastAsia" w:ascii="宋体" w:hAnsi="宋体" w:eastAsia="宋体" w:cs="宋体"/>
          <w:b w:val="0"/>
          <w:bCs w:val="0"/>
        </w:rPr>
        <w:t>招标人在投标人须知前附表规定的投标截止时间（开标时间）和投标人须知前附表规定的地点公开开标，投标人应在招标文件规定的投标截止时间，用企业</w:t>
      </w:r>
      <w:r>
        <w:rPr>
          <w:rFonts w:ascii="宋体" w:hAnsi="宋体" w:eastAsia="宋体" w:cs="宋体"/>
          <w:b w:val="0"/>
          <w:bCs w:val="0"/>
        </w:rPr>
        <w:t>CA</w:t>
      </w:r>
      <w:r>
        <w:rPr>
          <w:rFonts w:hint="eastAsia" w:ascii="宋体" w:hAnsi="宋体" w:eastAsia="宋体" w:cs="宋体"/>
          <w:b w:val="0"/>
          <w:bCs w:val="0"/>
        </w:rPr>
        <w:t>锁对投标文件进行解密，对投标文件在</w:t>
      </w:r>
      <w:r>
        <w:rPr>
          <w:rFonts w:ascii="宋体" w:hAnsi="宋体" w:eastAsia="宋体" w:cs="宋体"/>
          <w:b w:val="0"/>
          <w:bCs w:val="0"/>
        </w:rPr>
        <w:t xml:space="preserve"> 60 </w:t>
      </w:r>
      <w:r>
        <w:rPr>
          <w:rFonts w:hint="eastAsia" w:ascii="宋体" w:hAnsi="宋体" w:eastAsia="宋体" w:cs="宋体"/>
          <w:b w:val="0"/>
          <w:bCs w:val="0"/>
        </w:rPr>
        <w:t>分钟内不能完成解密或因投标人原因导致无法解密的，</w:t>
      </w:r>
      <w:r>
        <w:rPr>
          <w:rFonts w:hint="eastAsia" w:ascii="宋体" w:hAnsi="宋体" w:eastAsia="宋体" w:cs="宋体"/>
          <w:b w:val="0"/>
          <w:bCs w:val="0"/>
          <w:color w:val="000000"/>
        </w:rPr>
        <w:t>其投标文件按无效投标文件处理。</w:t>
      </w:r>
      <w:bookmarkStart w:id="7" w:name="_Toc256000035"/>
    </w:p>
    <w:p>
      <w:pPr>
        <w:pStyle w:val="7"/>
        <w:tabs>
          <w:tab w:val="left" w:pos="1031"/>
        </w:tabs>
        <w:spacing w:line="360" w:lineRule="auto"/>
        <w:ind w:left="0" w:firstLine="0"/>
        <w:rPr>
          <w:rFonts w:ascii="宋体" w:hAnsi="宋体" w:eastAsia="宋体" w:cs="宋体"/>
          <w:lang w:val="en-US"/>
        </w:rPr>
      </w:pPr>
      <w:r>
        <w:rPr>
          <w:rFonts w:ascii="宋体" w:hAnsi="宋体" w:eastAsia="宋体" w:cs="宋体"/>
          <w:lang w:val="en-US"/>
        </w:rPr>
        <w:t>4.2</w:t>
      </w:r>
      <w:r>
        <w:rPr>
          <w:rFonts w:hint="eastAsia" w:ascii="宋体" w:hAnsi="宋体" w:eastAsia="宋体" w:cs="宋体"/>
          <w:lang w:val="en-US"/>
        </w:rPr>
        <w:t>开标程序</w:t>
      </w:r>
      <w:bookmarkEnd w:id="7"/>
    </w:p>
    <w:p>
      <w:pPr>
        <w:pStyle w:val="7"/>
        <w:tabs>
          <w:tab w:val="left" w:pos="1031"/>
        </w:tabs>
        <w:spacing w:line="360" w:lineRule="auto"/>
        <w:ind w:left="0" w:firstLine="480" w:firstLineChars="200"/>
        <w:rPr>
          <w:rFonts w:ascii="宋体" w:hAnsi="宋体" w:eastAsia="宋体" w:cs="宋体"/>
          <w:b w:val="0"/>
          <w:bCs w:val="0"/>
        </w:rPr>
      </w:pPr>
      <w:r>
        <w:rPr>
          <w:rFonts w:hint="eastAsia" w:ascii="宋体" w:hAnsi="宋体" w:eastAsia="宋体" w:cs="宋体"/>
          <w:b w:val="0"/>
          <w:bCs w:val="0"/>
        </w:rPr>
        <w:t>按投标人须知前附表规定的程序进行开标。</w:t>
      </w:r>
      <w:bookmarkStart w:id="8" w:name="_Toc256000036"/>
    </w:p>
    <w:p>
      <w:pPr>
        <w:pStyle w:val="7"/>
        <w:tabs>
          <w:tab w:val="left" w:pos="1031"/>
        </w:tabs>
        <w:spacing w:line="360" w:lineRule="auto"/>
        <w:ind w:left="0" w:firstLine="0"/>
        <w:rPr>
          <w:rFonts w:ascii="宋体" w:hAnsi="宋体" w:eastAsia="宋体" w:cs="宋体"/>
          <w:lang w:val="en-US"/>
        </w:rPr>
      </w:pPr>
      <w:r>
        <w:rPr>
          <w:rFonts w:ascii="宋体" w:hAnsi="宋体" w:eastAsia="宋体" w:cs="宋体"/>
          <w:lang w:val="en-US"/>
        </w:rPr>
        <w:t>5.</w:t>
      </w:r>
      <w:r>
        <w:rPr>
          <w:rFonts w:hint="eastAsia" w:ascii="宋体" w:hAnsi="宋体" w:eastAsia="宋体" w:cs="宋体"/>
          <w:lang w:val="en-US"/>
        </w:rPr>
        <w:t>评标</w:t>
      </w:r>
      <w:bookmarkEnd w:id="8"/>
      <w:bookmarkStart w:id="9" w:name="_Toc256000037"/>
    </w:p>
    <w:p>
      <w:pPr>
        <w:pStyle w:val="7"/>
        <w:tabs>
          <w:tab w:val="left" w:pos="1031"/>
        </w:tabs>
        <w:spacing w:line="360" w:lineRule="auto"/>
        <w:ind w:left="0" w:firstLine="0"/>
        <w:rPr>
          <w:rFonts w:ascii="宋体" w:hAnsi="宋体" w:eastAsia="宋体" w:cs="宋体"/>
        </w:rPr>
      </w:pPr>
      <w:r>
        <w:rPr>
          <w:rFonts w:ascii="宋体" w:hAnsi="宋体" w:eastAsia="宋体" w:cs="宋体"/>
          <w:lang w:val="en-US"/>
        </w:rPr>
        <w:t>5.1</w:t>
      </w:r>
      <w:r>
        <w:rPr>
          <w:rFonts w:hint="eastAsia" w:ascii="宋体" w:hAnsi="宋体" w:eastAsia="宋体" w:cs="宋体"/>
        </w:rPr>
        <w:t>评标委员会</w:t>
      </w:r>
      <w:bookmarkEnd w:id="9"/>
    </w:p>
    <w:p>
      <w:pPr>
        <w:pStyle w:val="7"/>
        <w:tabs>
          <w:tab w:val="left" w:pos="1031"/>
        </w:tabs>
        <w:spacing w:line="360" w:lineRule="auto"/>
        <w:ind w:left="0" w:firstLine="480" w:firstLineChars="200"/>
        <w:rPr>
          <w:rFonts w:ascii="宋体" w:hAnsi="宋体" w:eastAsia="宋体" w:cs="宋体"/>
          <w:b w:val="0"/>
          <w:bCs w:val="0"/>
        </w:rPr>
      </w:pPr>
      <w:r>
        <w:rPr>
          <w:rFonts w:ascii="宋体" w:hAnsi="宋体" w:eastAsia="宋体" w:cs="宋体"/>
          <w:b w:val="0"/>
          <w:bCs w:val="0"/>
          <w:lang w:val="en-US"/>
        </w:rPr>
        <w:t>5.1.1</w:t>
      </w:r>
      <w:r>
        <w:rPr>
          <w:rFonts w:hint="eastAsia" w:ascii="宋体" w:hAnsi="宋体" w:eastAsia="宋体" w:cs="宋体"/>
          <w:b w:val="0"/>
          <w:bCs w:val="0"/>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Style w:val="7"/>
        <w:tabs>
          <w:tab w:val="left" w:pos="1031"/>
        </w:tabs>
        <w:spacing w:line="360" w:lineRule="auto"/>
        <w:ind w:left="0" w:firstLine="480" w:firstLineChars="200"/>
        <w:rPr>
          <w:rFonts w:ascii="宋体" w:hAnsi="宋体" w:eastAsia="宋体" w:cs="宋体"/>
          <w:b w:val="0"/>
          <w:bCs w:val="0"/>
        </w:rPr>
      </w:pPr>
      <w:r>
        <w:rPr>
          <w:rFonts w:ascii="宋体" w:hAnsi="宋体" w:eastAsia="宋体" w:cs="宋体"/>
          <w:b w:val="0"/>
          <w:bCs w:val="0"/>
          <w:lang w:val="en-US"/>
        </w:rPr>
        <w:t>5.1.2</w:t>
      </w:r>
      <w:r>
        <w:rPr>
          <w:rFonts w:hint="eastAsia" w:ascii="宋体" w:hAnsi="宋体" w:eastAsia="宋体" w:cs="宋体"/>
          <w:b w:val="0"/>
          <w:bCs w:val="0"/>
        </w:rPr>
        <w:t>评标委员会成员有下列情形之一的，应当回避：</w:t>
      </w:r>
    </w:p>
    <w:p>
      <w:pPr>
        <w:autoSpaceDE/>
        <w:autoSpaceDN/>
        <w:spacing w:line="360" w:lineRule="auto"/>
        <w:rPr>
          <w:sz w:val="24"/>
          <w:szCs w:val="24"/>
        </w:rPr>
      </w:pPr>
      <w:r>
        <w:rPr>
          <w:rFonts w:hint="eastAsia"/>
          <w:sz w:val="24"/>
          <w:szCs w:val="24"/>
        </w:rPr>
        <w:t>（</w:t>
      </w:r>
      <w:r>
        <w:rPr>
          <w:sz w:val="24"/>
          <w:szCs w:val="24"/>
        </w:rPr>
        <w:t>1</w:t>
      </w:r>
      <w:r>
        <w:rPr>
          <w:rFonts w:hint="eastAsia"/>
          <w:sz w:val="24"/>
          <w:szCs w:val="24"/>
        </w:rPr>
        <w:t>）招标人或投标人的主要负责人的近亲属；</w:t>
      </w:r>
    </w:p>
    <w:p>
      <w:pPr>
        <w:autoSpaceDE/>
        <w:autoSpaceDN/>
        <w:spacing w:line="360" w:lineRule="auto"/>
        <w:rPr>
          <w:sz w:val="24"/>
          <w:szCs w:val="24"/>
        </w:rPr>
      </w:pPr>
      <w:r>
        <w:rPr>
          <w:rFonts w:hint="eastAsia"/>
          <w:sz w:val="24"/>
          <w:szCs w:val="24"/>
        </w:rPr>
        <w:t>（</w:t>
      </w:r>
      <w:r>
        <w:rPr>
          <w:sz w:val="24"/>
          <w:szCs w:val="24"/>
        </w:rPr>
        <w:t>2</w:t>
      </w:r>
      <w:r>
        <w:rPr>
          <w:rFonts w:hint="eastAsia"/>
          <w:sz w:val="24"/>
          <w:szCs w:val="24"/>
        </w:rPr>
        <w:t>）项目主管部门或者行政监督部门的人员；</w:t>
      </w:r>
    </w:p>
    <w:p>
      <w:pPr>
        <w:autoSpaceDE/>
        <w:autoSpaceDN/>
        <w:spacing w:line="360" w:lineRule="auto"/>
        <w:rPr>
          <w:sz w:val="24"/>
          <w:szCs w:val="24"/>
        </w:rPr>
      </w:pPr>
      <w:r>
        <w:rPr>
          <w:rFonts w:hint="eastAsia"/>
          <w:sz w:val="24"/>
          <w:szCs w:val="24"/>
        </w:rPr>
        <w:t>（</w:t>
      </w:r>
      <w:r>
        <w:rPr>
          <w:sz w:val="24"/>
          <w:szCs w:val="24"/>
        </w:rPr>
        <w:t>3</w:t>
      </w:r>
      <w:r>
        <w:rPr>
          <w:rFonts w:hint="eastAsia"/>
          <w:sz w:val="24"/>
          <w:szCs w:val="24"/>
        </w:rPr>
        <w:t>）与投标人有经济利益关系，可能影响对投标公正评审的；</w:t>
      </w:r>
    </w:p>
    <w:p>
      <w:pPr>
        <w:pStyle w:val="7"/>
        <w:tabs>
          <w:tab w:val="left" w:pos="1031"/>
        </w:tabs>
        <w:spacing w:line="360" w:lineRule="auto"/>
        <w:ind w:left="0" w:firstLine="480" w:firstLineChars="200"/>
        <w:rPr>
          <w:rFonts w:ascii="宋体" w:hAnsi="宋体" w:eastAsia="宋体" w:cs="宋体"/>
          <w:b w:val="0"/>
          <w:bCs w:val="0"/>
        </w:rPr>
      </w:pPr>
      <w:r>
        <w:rPr>
          <w:rFonts w:hint="eastAsia" w:ascii="宋体" w:hAnsi="宋体" w:eastAsia="宋体" w:cs="宋体"/>
          <w:b w:val="0"/>
          <w:bCs w:val="0"/>
        </w:rPr>
        <w:t>（</w:t>
      </w:r>
      <w:r>
        <w:rPr>
          <w:rFonts w:ascii="宋体" w:hAnsi="宋体" w:eastAsia="宋体" w:cs="宋体"/>
          <w:b w:val="0"/>
          <w:bCs w:val="0"/>
        </w:rPr>
        <w:t>4</w:t>
      </w:r>
      <w:r>
        <w:rPr>
          <w:rFonts w:hint="eastAsia" w:ascii="宋体" w:hAnsi="宋体" w:eastAsia="宋体" w:cs="宋体"/>
          <w:b w:val="0"/>
          <w:bCs w:val="0"/>
        </w:rPr>
        <w:t>）曾因在招标、评标以及其他与招标投标有关活动中从事违法行为而受过行政处罚或刑事处罚的。</w:t>
      </w:r>
    </w:p>
    <w:p>
      <w:pPr>
        <w:pStyle w:val="7"/>
        <w:tabs>
          <w:tab w:val="left" w:pos="1031"/>
        </w:tabs>
        <w:spacing w:line="360" w:lineRule="auto"/>
        <w:ind w:left="0" w:firstLine="0"/>
        <w:rPr>
          <w:rFonts w:ascii="宋体" w:hAnsi="宋体" w:eastAsia="宋体" w:cs="宋体"/>
          <w:lang w:val="en-US"/>
        </w:rPr>
      </w:pPr>
      <w:bookmarkStart w:id="10" w:name="_Toc256000038"/>
      <w:r>
        <w:rPr>
          <w:rFonts w:ascii="宋体" w:hAnsi="宋体" w:eastAsia="宋体" w:cs="宋体"/>
          <w:lang w:val="en-US"/>
        </w:rPr>
        <w:t>5.2</w:t>
      </w:r>
      <w:r>
        <w:rPr>
          <w:rFonts w:hint="eastAsia" w:ascii="宋体" w:hAnsi="宋体" w:eastAsia="宋体" w:cs="宋体"/>
          <w:lang w:val="en-US"/>
        </w:rPr>
        <w:t>评标原则</w:t>
      </w:r>
      <w:bookmarkEnd w:id="10"/>
    </w:p>
    <w:p>
      <w:pPr>
        <w:pStyle w:val="7"/>
        <w:tabs>
          <w:tab w:val="left" w:pos="1031"/>
        </w:tabs>
        <w:spacing w:line="360" w:lineRule="auto"/>
        <w:ind w:left="0" w:firstLine="480" w:firstLineChars="200"/>
        <w:rPr>
          <w:rFonts w:ascii="宋体" w:hAnsi="宋体" w:eastAsia="宋体" w:cs="宋体"/>
          <w:b w:val="0"/>
          <w:bCs w:val="0"/>
        </w:rPr>
      </w:pPr>
      <w:r>
        <w:rPr>
          <w:rFonts w:hint="eastAsia" w:ascii="宋体" w:hAnsi="宋体" w:eastAsia="宋体" w:cs="宋体"/>
          <w:b w:val="0"/>
          <w:bCs w:val="0"/>
        </w:rPr>
        <w:t>评标活动遵循公平、公正、科学和择优的原则。</w:t>
      </w:r>
      <w:bookmarkStart w:id="11" w:name="_Toc256000039"/>
    </w:p>
    <w:p>
      <w:pPr>
        <w:pStyle w:val="7"/>
        <w:tabs>
          <w:tab w:val="left" w:pos="1031"/>
        </w:tabs>
        <w:spacing w:line="360" w:lineRule="auto"/>
        <w:ind w:left="0" w:firstLine="0"/>
        <w:rPr>
          <w:rFonts w:ascii="宋体" w:hAnsi="宋体" w:eastAsia="宋体" w:cs="宋体"/>
          <w:lang w:val="en-US"/>
        </w:rPr>
      </w:pPr>
      <w:r>
        <w:rPr>
          <w:rFonts w:ascii="宋体" w:hAnsi="宋体" w:eastAsia="宋体" w:cs="宋体"/>
          <w:lang w:val="en-US"/>
        </w:rPr>
        <w:t>5.3</w:t>
      </w:r>
      <w:r>
        <w:rPr>
          <w:rFonts w:hint="eastAsia" w:ascii="宋体" w:hAnsi="宋体" w:eastAsia="宋体" w:cs="宋体"/>
          <w:lang w:val="en-US"/>
        </w:rPr>
        <w:t>评标</w:t>
      </w:r>
      <w:bookmarkEnd w:id="11"/>
    </w:p>
    <w:p>
      <w:pPr>
        <w:pStyle w:val="7"/>
        <w:tabs>
          <w:tab w:val="left" w:pos="1031"/>
        </w:tabs>
        <w:spacing w:line="360" w:lineRule="auto"/>
        <w:ind w:left="0" w:firstLine="480" w:firstLineChars="200"/>
        <w:rPr>
          <w:rFonts w:ascii="宋体" w:hAnsi="宋体" w:eastAsia="宋体" w:cs="宋体"/>
          <w:b w:val="0"/>
          <w:bCs w:val="0"/>
        </w:rPr>
      </w:pPr>
      <w:r>
        <w:rPr>
          <w:rFonts w:hint="eastAsia" w:ascii="宋体" w:hAnsi="宋体" w:eastAsia="宋体" w:cs="宋体"/>
          <w:b w:val="0"/>
          <w:bCs w:val="0"/>
        </w:rPr>
        <w:t>评标委员会按照第三章“评标办法”规定的方法、评审因素、标准和程序对投标文件进行评审。第三章“评标办法”没有规定的方法、评审因素和标准，不作为评标依据。</w:t>
      </w:r>
    </w:p>
    <w:p>
      <w:pPr>
        <w:pStyle w:val="7"/>
        <w:tabs>
          <w:tab w:val="left" w:pos="1031"/>
        </w:tabs>
        <w:spacing w:line="360" w:lineRule="auto"/>
        <w:ind w:left="0" w:firstLine="0"/>
        <w:rPr>
          <w:rFonts w:ascii="宋体" w:hAnsi="宋体" w:eastAsia="宋体" w:cs="宋体"/>
          <w:lang w:val="en-US"/>
        </w:rPr>
      </w:pPr>
      <w:bookmarkStart w:id="12" w:name="_Toc256000040"/>
      <w:r>
        <w:rPr>
          <w:rFonts w:ascii="宋体" w:hAnsi="宋体" w:eastAsia="宋体" w:cs="宋体"/>
          <w:lang w:val="en-US"/>
        </w:rPr>
        <w:t>6.</w:t>
      </w:r>
      <w:r>
        <w:rPr>
          <w:rFonts w:hint="eastAsia" w:ascii="宋体" w:hAnsi="宋体" w:eastAsia="宋体" w:cs="宋体"/>
          <w:lang w:val="en-US"/>
        </w:rPr>
        <w:t>合同授予</w:t>
      </w:r>
      <w:bookmarkEnd w:id="12"/>
      <w:bookmarkStart w:id="13" w:name="_Toc256000041"/>
    </w:p>
    <w:p>
      <w:pPr>
        <w:pStyle w:val="7"/>
        <w:tabs>
          <w:tab w:val="left" w:pos="1031"/>
        </w:tabs>
        <w:spacing w:line="360" w:lineRule="auto"/>
        <w:ind w:left="0" w:firstLine="0"/>
        <w:rPr>
          <w:rFonts w:ascii="宋体" w:hAnsi="宋体" w:eastAsia="宋体" w:cs="宋体"/>
        </w:rPr>
      </w:pPr>
      <w:r>
        <w:rPr>
          <w:rFonts w:ascii="宋体" w:hAnsi="宋体" w:eastAsia="宋体" w:cs="宋体"/>
          <w:lang w:val="en-US"/>
        </w:rPr>
        <w:t>6.1</w:t>
      </w:r>
      <w:r>
        <w:rPr>
          <w:rFonts w:hint="eastAsia" w:ascii="宋体" w:hAnsi="宋体" w:eastAsia="宋体" w:cs="宋体"/>
        </w:rPr>
        <w:t>定标方式</w:t>
      </w:r>
      <w:bookmarkEnd w:id="13"/>
    </w:p>
    <w:p>
      <w:pPr>
        <w:pStyle w:val="7"/>
        <w:tabs>
          <w:tab w:val="left" w:pos="1031"/>
        </w:tabs>
        <w:spacing w:line="360" w:lineRule="auto"/>
        <w:ind w:left="0" w:firstLine="480" w:firstLineChars="200"/>
        <w:rPr>
          <w:rFonts w:ascii="宋体" w:hAnsi="宋体" w:eastAsia="宋体" w:cs="宋体"/>
          <w:b w:val="0"/>
          <w:bCs w:val="0"/>
        </w:rPr>
      </w:pPr>
      <w:r>
        <w:rPr>
          <w:rFonts w:hint="eastAsia" w:ascii="宋体" w:hAnsi="宋体" w:eastAsia="宋体" w:cs="宋体"/>
          <w:b w:val="0"/>
          <w:bCs w:val="0"/>
        </w:rPr>
        <w:t>除投标人须知前附表规定评标委员会直接确定中标人外，招标人依据评标委员会推荐的中标候选人确定中标人，评标委员会推荐中标候选人的人数见投标人须知前附表。</w:t>
      </w:r>
    </w:p>
    <w:p>
      <w:pPr>
        <w:pStyle w:val="7"/>
        <w:tabs>
          <w:tab w:val="left" w:pos="1031"/>
        </w:tabs>
        <w:spacing w:line="360" w:lineRule="auto"/>
        <w:ind w:left="0" w:firstLine="0"/>
        <w:rPr>
          <w:rFonts w:ascii="宋体" w:hAnsi="宋体" w:eastAsia="宋体" w:cs="宋体"/>
        </w:rPr>
      </w:pPr>
      <w:bookmarkStart w:id="14" w:name="_Toc256000042"/>
      <w:r>
        <w:rPr>
          <w:rFonts w:ascii="宋体" w:hAnsi="宋体" w:eastAsia="宋体" w:cs="宋体"/>
          <w:lang w:val="en-US"/>
        </w:rPr>
        <w:t>6.2</w:t>
      </w:r>
      <w:r>
        <w:rPr>
          <w:rFonts w:hint="eastAsia" w:ascii="宋体" w:hAnsi="宋体" w:eastAsia="宋体" w:cs="宋体"/>
        </w:rPr>
        <w:t>中标通知</w:t>
      </w:r>
      <w:bookmarkEnd w:id="14"/>
    </w:p>
    <w:p>
      <w:pPr>
        <w:pStyle w:val="7"/>
        <w:tabs>
          <w:tab w:val="left" w:pos="1031"/>
        </w:tabs>
        <w:spacing w:line="360" w:lineRule="auto"/>
        <w:ind w:left="0" w:firstLine="480" w:firstLineChars="200"/>
        <w:rPr>
          <w:rFonts w:ascii="宋体" w:hAnsi="宋体" w:eastAsia="宋体" w:cs="宋体"/>
          <w:b w:val="0"/>
          <w:bCs w:val="0"/>
        </w:rPr>
      </w:pPr>
      <w:r>
        <w:rPr>
          <w:rFonts w:hint="eastAsia" w:ascii="宋体" w:hAnsi="宋体" w:eastAsia="宋体" w:cs="宋体"/>
          <w:b w:val="0"/>
          <w:bCs w:val="0"/>
        </w:rPr>
        <w:t>在本章第</w:t>
      </w:r>
      <w:r>
        <w:rPr>
          <w:rFonts w:ascii="宋体" w:hAnsi="宋体" w:eastAsia="宋体" w:cs="宋体"/>
          <w:b w:val="0"/>
          <w:bCs w:val="0"/>
        </w:rPr>
        <w:t xml:space="preserve"> 3.3 </w:t>
      </w:r>
      <w:r>
        <w:rPr>
          <w:rFonts w:hint="eastAsia" w:ascii="宋体" w:hAnsi="宋体" w:eastAsia="宋体" w:cs="宋体"/>
          <w:b w:val="0"/>
          <w:bCs w:val="0"/>
        </w:rPr>
        <w:t>款规定的投标有效期内，招标人向中标人发出中标通知书。</w:t>
      </w:r>
    </w:p>
    <w:p>
      <w:pPr>
        <w:pStyle w:val="7"/>
        <w:tabs>
          <w:tab w:val="left" w:pos="1031"/>
        </w:tabs>
        <w:spacing w:line="360" w:lineRule="auto"/>
        <w:ind w:left="0" w:firstLine="0"/>
        <w:rPr>
          <w:rFonts w:ascii="宋体" w:hAnsi="宋体" w:eastAsia="宋体" w:cs="宋体"/>
        </w:rPr>
      </w:pPr>
      <w:bookmarkStart w:id="15" w:name="_Toc256000043"/>
      <w:r>
        <w:rPr>
          <w:rFonts w:ascii="宋体" w:hAnsi="宋体" w:eastAsia="宋体" w:cs="宋体"/>
          <w:lang w:val="en-US"/>
        </w:rPr>
        <w:t>6.3</w:t>
      </w:r>
      <w:r>
        <w:rPr>
          <w:rFonts w:hint="eastAsia" w:ascii="宋体" w:hAnsi="宋体" w:eastAsia="宋体" w:cs="宋体"/>
        </w:rPr>
        <w:t>履约</w:t>
      </w:r>
      <w:bookmarkEnd w:id="15"/>
      <w:r>
        <w:rPr>
          <w:rFonts w:hint="eastAsia" w:ascii="宋体" w:hAnsi="宋体" w:eastAsia="宋体" w:cs="宋体"/>
        </w:rPr>
        <w:t>保证金</w:t>
      </w:r>
    </w:p>
    <w:p>
      <w:pPr>
        <w:pStyle w:val="7"/>
        <w:tabs>
          <w:tab w:val="left" w:pos="1031"/>
        </w:tabs>
        <w:spacing w:line="360" w:lineRule="auto"/>
        <w:ind w:left="0" w:firstLine="480" w:firstLineChars="200"/>
        <w:rPr>
          <w:rFonts w:ascii="宋体" w:hAnsi="宋体" w:eastAsia="宋体" w:cs="宋体"/>
          <w:b w:val="0"/>
          <w:bCs w:val="0"/>
        </w:rPr>
      </w:pPr>
      <w:r>
        <w:rPr>
          <w:rFonts w:ascii="宋体" w:hAnsi="宋体" w:eastAsia="宋体" w:cs="宋体"/>
          <w:b w:val="0"/>
          <w:bCs w:val="0"/>
          <w:lang w:val="en-US"/>
        </w:rPr>
        <w:t>6.3.1</w:t>
      </w:r>
      <w:r>
        <w:rPr>
          <w:rFonts w:hint="eastAsia" w:ascii="宋体" w:hAnsi="宋体" w:eastAsia="宋体" w:cs="宋体"/>
          <w:b w:val="0"/>
          <w:bCs w:val="0"/>
        </w:rPr>
        <w:t>在签订合同前，中标人应按投标人须知前附表规定的金额、形式和招标文件第四章“合同条款及格式”规定的履约保证金格式向招标人提交履约担保。联合体中标的，其履约保证金由牵头人递交，并应符合投标人须知前附表规定的金额、担保形式和招标文件第四章“合同条款及格式”规定的履约保证金格式要求。</w:t>
      </w:r>
    </w:p>
    <w:p>
      <w:pPr>
        <w:pStyle w:val="7"/>
        <w:tabs>
          <w:tab w:val="left" w:pos="1031"/>
        </w:tabs>
        <w:spacing w:line="360" w:lineRule="auto"/>
        <w:ind w:left="0" w:firstLine="480" w:firstLineChars="200"/>
        <w:rPr>
          <w:rFonts w:ascii="宋体" w:hAnsi="宋体" w:eastAsia="宋体" w:cs="宋体"/>
          <w:b w:val="0"/>
          <w:bCs w:val="0"/>
        </w:rPr>
      </w:pPr>
      <w:r>
        <w:rPr>
          <w:rFonts w:ascii="宋体" w:hAnsi="宋体" w:eastAsia="宋体" w:cs="宋体"/>
          <w:b w:val="0"/>
          <w:bCs w:val="0"/>
          <w:lang w:val="en-US"/>
        </w:rPr>
        <w:t>6.3.2</w:t>
      </w:r>
      <w:r>
        <w:rPr>
          <w:rFonts w:hint="eastAsia" w:ascii="宋体" w:hAnsi="宋体" w:eastAsia="宋体" w:cs="宋体"/>
          <w:b w:val="0"/>
          <w:bCs w:val="0"/>
        </w:rPr>
        <w:t>中标人不能按本章第</w:t>
      </w:r>
      <w:r>
        <w:rPr>
          <w:rFonts w:ascii="宋体" w:hAnsi="宋体" w:eastAsia="宋体" w:cs="宋体"/>
          <w:b w:val="0"/>
          <w:bCs w:val="0"/>
        </w:rPr>
        <w:t xml:space="preserve"> 7.3.1 </w:t>
      </w:r>
      <w:r>
        <w:rPr>
          <w:rFonts w:hint="eastAsia" w:ascii="宋体" w:hAnsi="宋体" w:eastAsia="宋体" w:cs="宋体"/>
          <w:b w:val="0"/>
          <w:bCs w:val="0"/>
        </w:rPr>
        <w:t>项要求提交履约保证金的，视为放弃中标，其投标保证金不予退还，给招标人造成的损失超过投标保证金数额的，中标人还应当对超过部分予以赔偿。</w:t>
      </w:r>
    </w:p>
    <w:p>
      <w:pPr>
        <w:pStyle w:val="7"/>
        <w:tabs>
          <w:tab w:val="left" w:pos="1031"/>
        </w:tabs>
        <w:spacing w:line="360" w:lineRule="auto"/>
        <w:ind w:left="0" w:firstLine="0"/>
        <w:rPr>
          <w:rFonts w:ascii="宋体" w:hAnsi="宋体" w:eastAsia="宋体" w:cs="宋体"/>
        </w:rPr>
      </w:pPr>
      <w:bookmarkStart w:id="16" w:name="_Toc256000044"/>
      <w:r>
        <w:rPr>
          <w:rFonts w:ascii="宋体" w:hAnsi="宋体" w:eastAsia="宋体" w:cs="宋体"/>
          <w:lang w:val="en-US"/>
        </w:rPr>
        <w:t>6.4</w:t>
      </w:r>
      <w:r>
        <w:rPr>
          <w:rFonts w:ascii="宋体" w:hAnsi="宋体" w:eastAsia="宋体" w:cs="宋体"/>
        </w:rPr>
        <w:t xml:space="preserve"> </w:t>
      </w:r>
      <w:r>
        <w:rPr>
          <w:rFonts w:hint="eastAsia" w:ascii="宋体" w:hAnsi="宋体" w:eastAsia="宋体" w:cs="宋体"/>
        </w:rPr>
        <w:t>签订合同</w:t>
      </w:r>
      <w:bookmarkEnd w:id="16"/>
    </w:p>
    <w:p>
      <w:pPr>
        <w:pStyle w:val="7"/>
        <w:tabs>
          <w:tab w:val="left" w:pos="1031"/>
        </w:tabs>
        <w:spacing w:line="360" w:lineRule="auto"/>
        <w:ind w:left="0" w:firstLine="480" w:firstLineChars="200"/>
        <w:rPr>
          <w:rFonts w:ascii="宋体" w:hAnsi="宋体" w:eastAsia="宋体" w:cs="宋体"/>
          <w:b w:val="0"/>
          <w:bCs w:val="0"/>
        </w:rPr>
      </w:pPr>
      <w:r>
        <w:rPr>
          <w:rFonts w:ascii="宋体" w:hAnsi="宋体" w:eastAsia="宋体" w:cs="宋体"/>
          <w:b w:val="0"/>
          <w:bCs w:val="0"/>
          <w:lang w:val="en-US"/>
        </w:rPr>
        <w:t>6.4.1</w:t>
      </w:r>
      <w:r>
        <w:rPr>
          <w:rFonts w:hint="eastAsia" w:ascii="宋体" w:hAnsi="宋体" w:eastAsia="宋体" w:cs="宋体"/>
          <w:b w:val="0"/>
          <w:bCs w:val="0"/>
        </w:rPr>
        <w:t>招标人和中标人应当自中标通知书发出之日起</w:t>
      </w:r>
      <w:r>
        <w:rPr>
          <w:rFonts w:ascii="宋体" w:hAnsi="宋体" w:eastAsia="宋体" w:cs="宋体"/>
          <w:b w:val="0"/>
          <w:bCs w:val="0"/>
        </w:rPr>
        <w:t xml:space="preserve"> 30 </w:t>
      </w:r>
      <w:r>
        <w:rPr>
          <w:rFonts w:hint="eastAsia" w:ascii="宋体" w:hAnsi="宋体" w:eastAsia="宋体" w:cs="宋体"/>
          <w:b w:val="0"/>
          <w:bCs w:val="0"/>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Style w:val="7"/>
        <w:tabs>
          <w:tab w:val="left" w:pos="1031"/>
        </w:tabs>
        <w:spacing w:line="360" w:lineRule="auto"/>
        <w:ind w:left="0" w:firstLine="480" w:firstLineChars="200"/>
        <w:rPr>
          <w:rFonts w:ascii="宋体" w:hAnsi="宋体" w:eastAsia="宋体" w:cs="宋体"/>
        </w:rPr>
      </w:pPr>
      <w:r>
        <w:rPr>
          <w:rFonts w:ascii="宋体" w:hAnsi="宋体" w:eastAsia="宋体" w:cs="宋体"/>
          <w:b w:val="0"/>
          <w:bCs w:val="0"/>
          <w:lang w:val="en-US"/>
        </w:rPr>
        <w:t>6.4.2</w:t>
      </w:r>
      <w:r>
        <w:rPr>
          <w:rFonts w:hint="eastAsia" w:ascii="宋体" w:hAnsi="宋体" w:eastAsia="宋体" w:cs="宋体"/>
          <w:b w:val="0"/>
          <w:bCs w:val="0"/>
        </w:rPr>
        <w:t>发出中标通知书后，招标人无正当理由拒签合同的，招标人向中标人退还投标保证金；给中标人造成损失的，还应当赔偿损失。</w:t>
      </w:r>
    </w:p>
    <w:p>
      <w:pPr>
        <w:pStyle w:val="7"/>
        <w:tabs>
          <w:tab w:val="left" w:pos="1031"/>
        </w:tabs>
        <w:spacing w:line="360" w:lineRule="auto"/>
        <w:ind w:left="0" w:firstLine="0"/>
        <w:rPr>
          <w:rFonts w:ascii="宋体" w:hAnsi="宋体" w:eastAsia="宋体" w:cs="宋体"/>
        </w:rPr>
      </w:pPr>
      <w:bookmarkStart w:id="17" w:name="_Toc256000045"/>
      <w:r>
        <w:rPr>
          <w:rFonts w:ascii="宋体" w:hAnsi="宋体" w:eastAsia="宋体" w:cs="宋体"/>
          <w:lang w:val="en-US"/>
        </w:rPr>
        <w:t>7.</w:t>
      </w:r>
      <w:r>
        <w:rPr>
          <w:rFonts w:hint="eastAsia" w:ascii="宋体" w:hAnsi="宋体" w:eastAsia="宋体" w:cs="宋体"/>
        </w:rPr>
        <w:t>重新招标和不再招标</w:t>
      </w:r>
      <w:bookmarkEnd w:id="17"/>
      <w:bookmarkStart w:id="18" w:name="_Toc256000046"/>
    </w:p>
    <w:p>
      <w:pPr>
        <w:pStyle w:val="7"/>
        <w:tabs>
          <w:tab w:val="left" w:pos="1031"/>
        </w:tabs>
        <w:spacing w:line="360" w:lineRule="auto"/>
        <w:ind w:left="0" w:firstLine="0"/>
        <w:rPr>
          <w:rFonts w:ascii="宋体" w:hAnsi="宋体" w:eastAsia="宋体" w:cs="宋体"/>
        </w:rPr>
      </w:pPr>
      <w:r>
        <w:rPr>
          <w:rFonts w:ascii="宋体" w:hAnsi="宋体" w:eastAsia="宋体" w:cs="宋体"/>
          <w:lang w:val="en-US"/>
        </w:rPr>
        <w:t>7.1</w:t>
      </w:r>
      <w:r>
        <w:rPr>
          <w:rFonts w:hint="eastAsia" w:ascii="宋体" w:hAnsi="宋体" w:eastAsia="宋体" w:cs="宋体"/>
        </w:rPr>
        <w:t>重新招标</w:t>
      </w:r>
      <w:bookmarkEnd w:id="18"/>
    </w:p>
    <w:p>
      <w:pPr>
        <w:pStyle w:val="7"/>
        <w:tabs>
          <w:tab w:val="left" w:pos="1031"/>
        </w:tabs>
        <w:spacing w:line="360" w:lineRule="auto"/>
        <w:ind w:left="0" w:firstLine="480" w:firstLineChars="200"/>
        <w:rPr>
          <w:rFonts w:ascii="宋体" w:hAnsi="宋体" w:eastAsia="宋体" w:cs="宋体"/>
          <w:b w:val="0"/>
          <w:bCs w:val="0"/>
        </w:rPr>
      </w:pPr>
      <w:r>
        <w:rPr>
          <w:rFonts w:hint="eastAsia" w:ascii="宋体" w:hAnsi="宋体" w:eastAsia="宋体" w:cs="宋体"/>
          <w:b w:val="0"/>
          <w:bCs w:val="0"/>
        </w:rPr>
        <w:t>有下列情形之一的，招标人将重新招标：</w:t>
      </w:r>
    </w:p>
    <w:p>
      <w:pPr>
        <w:autoSpaceDE/>
        <w:autoSpaceDN/>
        <w:spacing w:line="360" w:lineRule="auto"/>
        <w:rPr>
          <w:sz w:val="24"/>
          <w:szCs w:val="24"/>
        </w:rPr>
      </w:pPr>
      <w:r>
        <w:rPr>
          <w:rFonts w:hint="eastAsia"/>
          <w:sz w:val="24"/>
          <w:szCs w:val="24"/>
        </w:rPr>
        <w:t>（</w:t>
      </w:r>
      <w:r>
        <w:rPr>
          <w:sz w:val="24"/>
          <w:szCs w:val="24"/>
        </w:rPr>
        <w:t>1</w:t>
      </w:r>
      <w:r>
        <w:rPr>
          <w:rFonts w:hint="eastAsia"/>
          <w:sz w:val="24"/>
          <w:szCs w:val="24"/>
        </w:rPr>
        <w:t>）投标截止时间止，投标人少于</w:t>
      </w:r>
      <w:r>
        <w:rPr>
          <w:sz w:val="24"/>
          <w:szCs w:val="24"/>
        </w:rPr>
        <w:t xml:space="preserve"> 3 </w:t>
      </w:r>
      <w:r>
        <w:rPr>
          <w:rFonts w:hint="eastAsia"/>
          <w:sz w:val="24"/>
          <w:szCs w:val="24"/>
        </w:rPr>
        <w:t>个的；</w:t>
      </w:r>
    </w:p>
    <w:p>
      <w:pPr>
        <w:autoSpaceDE/>
        <w:autoSpaceDN/>
        <w:spacing w:line="360" w:lineRule="auto"/>
        <w:rPr>
          <w:sz w:val="24"/>
          <w:szCs w:val="24"/>
        </w:rPr>
      </w:pPr>
      <w:r>
        <w:rPr>
          <w:rFonts w:hint="eastAsia"/>
          <w:sz w:val="24"/>
          <w:szCs w:val="24"/>
        </w:rPr>
        <w:t>（</w:t>
      </w:r>
      <w:r>
        <w:rPr>
          <w:sz w:val="24"/>
          <w:szCs w:val="24"/>
        </w:rPr>
        <w:t>2</w:t>
      </w:r>
      <w:r>
        <w:rPr>
          <w:rFonts w:hint="eastAsia"/>
          <w:sz w:val="24"/>
          <w:szCs w:val="24"/>
        </w:rPr>
        <w:t>）经评标委员会评审后否决所有投标的。</w:t>
      </w:r>
    </w:p>
    <w:p>
      <w:pPr>
        <w:pStyle w:val="7"/>
        <w:tabs>
          <w:tab w:val="left" w:pos="1031"/>
        </w:tabs>
        <w:spacing w:line="360" w:lineRule="auto"/>
        <w:ind w:left="0" w:firstLine="0"/>
        <w:rPr>
          <w:rFonts w:ascii="宋体" w:hAnsi="宋体" w:eastAsia="宋体" w:cs="宋体"/>
        </w:rPr>
      </w:pPr>
      <w:bookmarkStart w:id="19" w:name="_Toc256000047"/>
      <w:r>
        <w:rPr>
          <w:rFonts w:ascii="宋体" w:hAnsi="宋体" w:eastAsia="宋体" w:cs="宋体"/>
          <w:lang w:val="en-US"/>
        </w:rPr>
        <w:t>7</w:t>
      </w:r>
      <w:r>
        <w:rPr>
          <w:rFonts w:ascii="宋体" w:hAnsi="宋体" w:eastAsia="宋体" w:cs="宋体"/>
        </w:rPr>
        <w:t>.2</w:t>
      </w:r>
      <w:r>
        <w:rPr>
          <w:rFonts w:hint="eastAsia" w:ascii="宋体" w:hAnsi="宋体" w:eastAsia="宋体" w:cs="宋体"/>
        </w:rPr>
        <w:t>不再招标</w:t>
      </w:r>
      <w:bookmarkEnd w:id="19"/>
    </w:p>
    <w:p>
      <w:pPr>
        <w:pStyle w:val="7"/>
        <w:tabs>
          <w:tab w:val="left" w:pos="1031"/>
        </w:tabs>
        <w:spacing w:line="360" w:lineRule="auto"/>
        <w:ind w:left="0" w:firstLine="480" w:firstLineChars="200"/>
        <w:rPr>
          <w:rFonts w:ascii="宋体" w:hAnsi="宋体" w:eastAsia="宋体" w:cs="宋体"/>
          <w:b w:val="0"/>
          <w:bCs w:val="0"/>
        </w:rPr>
      </w:pPr>
      <w:r>
        <w:rPr>
          <w:rFonts w:hint="eastAsia" w:ascii="宋体" w:hAnsi="宋体" w:eastAsia="宋体" w:cs="宋体"/>
          <w:b w:val="0"/>
          <w:bCs w:val="0"/>
        </w:rPr>
        <w:t>重新招标后投标人仍少于</w:t>
      </w:r>
      <w:r>
        <w:rPr>
          <w:rFonts w:ascii="宋体" w:hAnsi="宋体" w:eastAsia="宋体" w:cs="宋体"/>
          <w:b w:val="0"/>
          <w:bCs w:val="0"/>
        </w:rPr>
        <w:t>3</w:t>
      </w:r>
      <w:r>
        <w:rPr>
          <w:rFonts w:hint="eastAsia" w:ascii="宋体" w:hAnsi="宋体" w:eastAsia="宋体" w:cs="宋体"/>
          <w:b w:val="0"/>
          <w:bCs w:val="0"/>
        </w:rPr>
        <w:t>个的，属于必须审批、核准的工程建设项目，报经原审批、核准部门审批、核准后可以不再进行招标；其他工程建设项目，招标人可自行决定不再进行招标。</w:t>
      </w:r>
    </w:p>
    <w:p>
      <w:pPr>
        <w:pStyle w:val="7"/>
        <w:tabs>
          <w:tab w:val="left" w:pos="1031"/>
        </w:tabs>
        <w:spacing w:line="360" w:lineRule="auto"/>
        <w:ind w:left="0" w:firstLine="0"/>
        <w:rPr>
          <w:rFonts w:ascii="宋体" w:hAnsi="宋体" w:eastAsia="宋体" w:cs="宋体"/>
        </w:rPr>
      </w:pPr>
      <w:bookmarkStart w:id="20" w:name="_Toc256000048"/>
      <w:r>
        <w:rPr>
          <w:rFonts w:ascii="宋体" w:hAnsi="宋体" w:eastAsia="宋体" w:cs="宋体"/>
          <w:lang w:val="en-US"/>
        </w:rPr>
        <w:t>8</w:t>
      </w:r>
      <w:r>
        <w:rPr>
          <w:rFonts w:ascii="宋体" w:hAnsi="宋体" w:eastAsia="宋体" w:cs="宋体"/>
        </w:rPr>
        <w:t>.</w:t>
      </w:r>
      <w:r>
        <w:rPr>
          <w:rFonts w:hint="eastAsia" w:ascii="宋体" w:hAnsi="宋体" w:eastAsia="宋体" w:cs="宋体"/>
        </w:rPr>
        <w:t>纪律和监督</w:t>
      </w:r>
      <w:bookmarkEnd w:id="20"/>
    </w:p>
    <w:p>
      <w:pPr>
        <w:pStyle w:val="4"/>
        <w:autoSpaceDE/>
        <w:autoSpaceDN/>
        <w:spacing w:line="360" w:lineRule="auto"/>
        <w:ind w:left="0"/>
        <w:rPr>
          <w:rFonts w:ascii="宋体" w:hAnsi="宋体" w:eastAsia="宋体" w:cs="宋体"/>
          <w:sz w:val="24"/>
          <w:szCs w:val="24"/>
        </w:rPr>
      </w:pPr>
      <w:bookmarkStart w:id="21" w:name="_Toc256000049"/>
      <w:r>
        <w:rPr>
          <w:rFonts w:ascii="宋体" w:hAnsi="宋体" w:eastAsia="宋体" w:cs="宋体"/>
          <w:sz w:val="24"/>
          <w:szCs w:val="24"/>
          <w:lang w:val="en-US"/>
        </w:rPr>
        <w:t>8</w:t>
      </w:r>
      <w:r>
        <w:rPr>
          <w:rFonts w:ascii="宋体" w:hAnsi="宋体" w:eastAsia="宋体" w:cs="宋体"/>
          <w:sz w:val="24"/>
          <w:szCs w:val="24"/>
        </w:rPr>
        <w:t>.1</w:t>
      </w:r>
      <w:r>
        <w:rPr>
          <w:rFonts w:hint="eastAsia" w:ascii="宋体" w:hAnsi="宋体" w:eastAsia="宋体" w:cs="宋体"/>
          <w:sz w:val="24"/>
          <w:szCs w:val="24"/>
        </w:rPr>
        <w:t>对招标人的纪律要求</w:t>
      </w:r>
      <w:bookmarkEnd w:id="21"/>
    </w:p>
    <w:p>
      <w:pPr>
        <w:autoSpaceDE/>
        <w:autoSpaceDN/>
        <w:spacing w:line="360" w:lineRule="auto"/>
        <w:ind w:firstLine="480" w:firstLineChars="200"/>
        <w:rPr>
          <w:sz w:val="24"/>
          <w:szCs w:val="24"/>
        </w:rPr>
      </w:pPr>
      <w:r>
        <w:rPr>
          <w:rFonts w:hint="eastAsia"/>
          <w:sz w:val="24"/>
          <w:szCs w:val="24"/>
        </w:rPr>
        <w:t>招标人不得泄漏招标投标活动中应当保密的情况和资料，不得与投标人串通损害国家利益、社会公共利益或者他人合法权益。</w:t>
      </w:r>
    </w:p>
    <w:p>
      <w:pPr>
        <w:pStyle w:val="4"/>
        <w:autoSpaceDE/>
        <w:autoSpaceDN/>
        <w:spacing w:line="360" w:lineRule="auto"/>
        <w:ind w:left="0"/>
        <w:rPr>
          <w:rFonts w:ascii="宋体" w:hAnsi="宋体" w:eastAsia="宋体" w:cs="宋体"/>
          <w:sz w:val="24"/>
          <w:szCs w:val="24"/>
        </w:rPr>
      </w:pPr>
      <w:bookmarkStart w:id="22" w:name="_Toc256000050"/>
      <w:r>
        <w:rPr>
          <w:rFonts w:ascii="宋体" w:hAnsi="宋体" w:eastAsia="宋体" w:cs="宋体"/>
          <w:sz w:val="24"/>
          <w:szCs w:val="24"/>
          <w:lang w:val="en-US"/>
        </w:rPr>
        <w:t>8</w:t>
      </w:r>
      <w:r>
        <w:rPr>
          <w:rFonts w:ascii="宋体" w:hAnsi="宋体" w:eastAsia="宋体" w:cs="宋体"/>
          <w:sz w:val="24"/>
          <w:szCs w:val="24"/>
        </w:rPr>
        <w:t xml:space="preserve">.2  </w:t>
      </w:r>
      <w:r>
        <w:rPr>
          <w:rFonts w:hint="eastAsia" w:ascii="宋体" w:hAnsi="宋体" w:eastAsia="宋体" w:cs="宋体"/>
          <w:sz w:val="24"/>
          <w:szCs w:val="24"/>
        </w:rPr>
        <w:t>对投标人的纪律要求</w:t>
      </w:r>
      <w:bookmarkEnd w:id="22"/>
    </w:p>
    <w:p>
      <w:pPr>
        <w:autoSpaceDE/>
        <w:autoSpaceDN/>
        <w:spacing w:line="360" w:lineRule="auto"/>
        <w:ind w:firstLine="424" w:firstLineChars="177"/>
        <w:rPr>
          <w:sz w:val="24"/>
          <w:szCs w:val="24"/>
        </w:rPr>
      </w:pPr>
      <w:r>
        <w:rPr>
          <w:rFonts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autoSpaceDE/>
        <w:autoSpaceDN/>
        <w:spacing w:line="360" w:lineRule="auto"/>
        <w:ind w:left="0"/>
        <w:rPr>
          <w:rFonts w:ascii="宋体" w:hAnsi="宋体" w:eastAsia="宋体" w:cs="宋体"/>
          <w:sz w:val="24"/>
          <w:szCs w:val="24"/>
        </w:rPr>
      </w:pPr>
      <w:bookmarkStart w:id="23" w:name="_Toc256000051"/>
      <w:r>
        <w:rPr>
          <w:rFonts w:ascii="宋体" w:hAnsi="宋体" w:eastAsia="宋体" w:cs="宋体"/>
          <w:sz w:val="24"/>
          <w:szCs w:val="24"/>
          <w:lang w:val="en-US"/>
        </w:rPr>
        <w:t>8</w:t>
      </w:r>
      <w:r>
        <w:rPr>
          <w:rFonts w:ascii="宋体" w:hAnsi="宋体" w:eastAsia="宋体" w:cs="宋体"/>
          <w:sz w:val="24"/>
          <w:szCs w:val="24"/>
        </w:rPr>
        <w:t xml:space="preserve">.3  </w:t>
      </w:r>
      <w:r>
        <w:rPr>
          <w:rFonts w:hint="eastAsia" w:ascii="宋体" w:hAnsi="宋体" w:eastAsia="宋体" w:cs="宋体"/>
          <w:sz w:val="24"/>
          <w:szCs w:val="24"/>
        </w:rPr>
        <w:t>对评标委员会成员的纪律要求</w:t>
      </w:r>
      <w:bookmarkEnd w:id="23"/>
    </w:p>
    <w:p>
      <w:pPr>
        <w:autoSpaceDE/>
        <w:autoSpaceDN/>
        <w:spacing w:line="360" w:lineRule="auto"/>
        <w:ind w:firstLine="424" w:firstLineChars="177"/>
        <w:rPr>
          <w:sz w:val="24"/>
          <w:szCs w:val="24"/>
        </w:rPr>
      </w:pPr>
      <w:r>
        <w:rPr>
          <w:rFonts w:hint="eastAsia"/>
          <w:sz w:val="24"/>
          <w:szCs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autoSpaceDE/>
        <w:autoSpaceDN/>
        <w:spacing w:line="360" w:lineRule="auto"/>
        <w:ind w:left="0"/>
        <w:rPr>
          <w:rFonts w:ascii="宋体" w:hAnsi="宋体" w:eastAsia="宋体" w:cs="宋体"/>
          <w:sz w:val="24"/>
          <w:szCs w:val="24"/>
        </w:rPr>
      </w:pPr>
      <w:bookmarkStart w:id="24" w:name="_Toc256000052"/>
      <w:r>
        <w:rPr>
          <w:rFonts w:ascii="宋体" w:hAnsi="宋体" w:eastAsia="宋体" w:cs="宋体"/>
          <w:sz w:val="24"/>
          <w:szCs w:val="24"/>
          <w:lang w:val="en-US"/>
        </w:rPr>
        <w:t>8</w:t>
      </w:r>
      <w:r>
        <w:rPr>
          <w:rFonts w:ascii="宋体" w:hAnsi="宋体" w:eastAsia="宋体" w:cs="宋体"/>
          <w:sz w:val="24"/>
          <w:szCs w:val="24"/>
        </w:rPr>
        <w:t xml:space="preserve">.4  </w:t>
      </w:r>
      <w:r>
        <w:rPr>
          <w:rFonts w:hint="eastAsia" w:ascii="宋体" w:hAnsi="宋体" w:eastAsia="宋体" w:cs="宋体"/>
          <w:sz w:val="24"/>
          <w:szCs w:val="24"/>
        </w:rPr>
        <w:t>对与评标活动有关的工作人员的纪律要求</w:t>
      </w:r>
      <w:bookmarkEnd w:id="24"/>
    </w:p>
    <w:p>
      <w:pPr>
        <w:autoSpaceDE/>
        <w:autoSpaceDN/>
        <w:spacing w:line="360" w:lineRule="auto"/>
        <w:ind w:firstLine="424" w:firstLineChars="177"/>
        <w:rPr>
          <w:sz w:val="24"/>
          <w:szCs w:val="24"/>
        </w:rPr>
      </w:pPr>
      <w:r>
        <w:rPr>
          <w:rFonts w:hint="eastAsia"/>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autoSpaceDE/>
        <w:autoSpaceDN/>
        <w:spacing w:line="360" w:lineRule="auto"/>
        <w:ind w:left="0"/>
        <w:rPr>
          <w:rFonts w:ascii="宋体" w:hAnsi="宋体" w:eastAsia="宋体" w:cs="宋体"/>
          <w:sz w:val="24"/>
          <w:szCs w:val="24"/>
        </w:rPr>
      </w:pPr>
      <w:bookmarkStart w:id="25" w:name="_Toc256000053"/>
      <w:r>
        <w:rPr>
          <w:rFonts w:ascii="宋体" w:hAnsi="宋体" w:eastAsia="宋体" w:cs="宋体"/>
          <w:sz w:val="24"/>
          <w:szCs w:val="24"/>
          <w:lang w:val="en-US"/>
        </w:rPr>
        <w:t>8</w:t>
      </w:r>
      <w:r>
        <w:rPr>
          <w:rFonts w:ascii="宋体" w:hAnsi="宋体" w:eastAsia="宋体" w:cs="宋体"/>
          <w:sz w:val="24"/>
          <w:szCs w:val="24"/>
        </w:rPr>
        <w:t xml:space="preserve">.5  </w:t>
      </w:r>
      <w:r>
        <w:rPr>
          <w:rFonts w:hint="eastAsia" w:ascii="宋体" w:hAnsi="宋体" w:eastAsia="宋体" w:cs="宋体"/>
          <w:sz w:val="24"/>
          <w:szCs w:val="24"/>
        </w:rPr>
        <w:t>投诉</w:t>
      </w:r>
      <w:bookmarkEnd w:id="25"/>
    </w:p>
    <w:p>
      <w:pPr>
        <w:autoSpaceDE/>
        <w:autoSpaceDN/>
        <w:spacing w:line="360" w:lineRule="auto"/>
        <w:ind w:firstLine="424" w:firstLineChars="177"/>
        <w:rPr>
          <w:sz w:val="24"/>
          <w:szCs w:val="24"/>
        </w:rPr>
      </w:pPr>
      <w:r>
        <w:rPr>
          <w:rFonts w:hint="eastAsia"/>
          <w:sz w:val="24"/>
          <w:szCs w:val="24"/>
        </w:rPr>
        <w:t>投标人和其他利害关系人认为本次招标活动违反法律、法规和规章规定的，有权向有关行政监督部门投诉。</w:t>
      </w:r>
    </w:p>
    <w:p>
      <w:pPr>
        <w:pStyle w:val="4"/>
        <w:autoSpaceDE/>
        <w:autoSpaceDN/>
        <w:spacing w:line="360" w:lineRule="auto"/>
        <w:ind w:left="0"/>
        <w:rPr>
          <w:rFonts w:ascii="宋体" w:hAnsi="宋体" w:eastAsia="宋体" w:cs="宋体"/>
          <w:sz w:val="24"/>
          <w:szCs w:val="24"/>
        </w:rPr>
      </w:pPr>
      <w:bookmarkStart w:id="26" w:name="_Toc256000054"/>
      <w:r>
        <w:rPr>
          <w:rFonts w:cs="宋体"/>
          <w:sz w:val="24"/>
          <w:szCs w:val="24"/>
          <w:lang w:val="en-US"/>
        </w:rPr>
        <w:t>9.</w:t>
      </w:r>
      <w:r>
        <w:rPr>
          <w:rFonts w:hint="eastAsia" w:ascii="宋体" w:hAnsi="宋体" w:eastAsia="宋体" w:cs="宋体"/>
          <w:sz w:val="24"/>
          <w:szCs w:val="24"/>
        </w:rPr>
        <w:t>需要补充的其他内容</w:t>
      </w:r>
      <w:bookmarkEnd w:id="26"/>
    </w:p>
    <w:p>
      <w:pPr>
        <w:spacing w:line="360" w:lineRule="auto"/>
        <w:ind w:firstLine="480" w:firstLineChars="200"/>
        <w:jc w:val="both"/>
        <w:rPr>
          <w:sz w:val="24"/>
          <w:szCs w:val="24"/>
        </w:rPr>
      </w:pPr>
      <w:r>
        <w:rPr>
          <w:rFonts w:hint="eastAsia"/>
          <w:sz w:val="24"/>
          <w:szCs w:val="24"/>
        </w:rPr>
        <w:t>需要补充的其他内容：见投标人须知前附表。</w:t>
      </w:r>
    </w:p>
    <w:p>
      <w:pPr>
        <w:spacing w:line="360" w:lineRule="auto"/>
        <w:sectPr>
          <w:pgSz w:w="11910" w:h="16850"/>
          <w:pgMar w:top="1480" w:right="600" w:bottom="980" w:left="1540" w:header="0" w:footer="716" w:gutter="0"/>
          <w:cols w:space="720" w:num="1"/>
        </w:sectPr>
      </w:pPr>
    </w:p>
    <w:p>
      <w:pPr>
        <w:pStyle w:val="4"/>
        <w:spacing w:line="360" w:lineRule="auto"/>
        <w:ind w:left="0"/>
        <w:rPr>
          <w:rFonts w:ascii="宋体" w:hAnsi="宋体" w:eastAsia="宋体" w:cs="宋体"/>
        </w:rPr>
      </w:pPr>
      <w:r>
        <w:rPr>
          <w:rFonts w:hint="eastAsia" w:ascii="宋体" w:hAnsi="宋体" w:eastAsia="宋体" w:cs="宋体"/>
        </w:rPr>
        <w:t>附表一：开标记录表</w:t>
      </w:r>
    </w:p>
    <w:p>
      <w:pPr>
        <w:spacing w:line="360" w:lineRule="auto"/>
        <w:jc w:val="center"/>
        <w:rPr>
          <w:b/>
          <w:sz w:val="24"/>
          <w:szCs w:val="24"/>
        </w:rPr>
      </w:pPr>
      <w:r>
        <w:rPr>
          <w:b/>
          <w:bCs/>
          <w:sz w:val="24"/>
          <w:szCs w:val="24"/>
          <w:u w:val="single"/>
          <w:lang w:val="en-US"/>
        </w:rPr>
        <w:t xml:space="preserve">       </w:t>
      </w:r>
      <w:r>
        <w:rPr>
          <w:rFonts w:hint="eastAsia"/>
          <w:b/>
          <w:bCs/>
          <w:sz w:val="24"/>
          <w:szCs w:val="24"/>
        </w:rPr>
        <w:t>（项目名称）开</w:t>
      </w:r>
      <w:r>
        <w:rPr>
          <w:rFonts w:hint="eastAsia"/>
          <w:b/>
          <w:sz w:val="24"/>
          <w:szCs w:val="24"/>
        </w:rPr>
        <w:t>标记录表</w:t>
      </w:r>
    </w:p>
    <w:p>
      <w:pPr>
        <w:spacing w:line="360" w:lineRule="auto"/>
        <w:jc w:val="center"/>
        <w:rPr>
          <w:sz w:val="24"/>
          <w:szCs w:val="24"/>
        </w:rPr>
      </w:pPr>
      <w:r>
        <w:rPr>
          <w:sz w:val="24"/>
          <w:szCs w:val="24"/>
        </w:rPr>
        <w:t xml:space="preserve">                                      </w:t>
      </w:r>
      <w:r>
        <w:rPr>
          <w:rFonts w:hint="eastAsia"/>
          <w:sz w:val="24"/>
          <w:szCs w:val="24"/>
        </w:rPr>
        <w:t>开标时间：</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w:t>
      </w:r>
    </w:p>
    <w:tbl>
      <w:tblPr>
        <w:tblStyle w:val="36"/>
        <w:tblW w:w="93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125"/>
        <w:gridCol w:w="1602"/>
        <w:gridCol w:w="2126"/>
        <w:gridCol w:w="1843"/>
        <w:gridCol w:w="960"/>
        <w:gridCol w:w="8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22" w:hRule="atLeast"/>
        </w:trPr>
        <w:tc>
          <w:tcPr>
            <w:tcW w:w="817" w:type="dxa"/>
            <w:vAlign w:val="center"/>
          </w:tcPr>
          <w:p>
            <w:pPr>
              <w:spacing w:line="360" w:lineRule="auto"/>
              <w:jc w:val="center"/>
              <w:rPr>
                <w:sz w:val="24"/>
                <w:szCs w:val="24"/>
              </w:rPr>
            </w:pPr>
            <w:r>
              <w:rPr>
                <w:rFonts w:hint="eastAsia"/>
                <w:sz w:val="24"/>
                <w:szCs w:val="24"/>
              </w:rPr>
              <w:t>序号</w:t>
            </w:r>
          </w:p>
        </w:tc>
        <w:tc>
          <w:tcPr>
            <w:tcW w:w="1125" w:type="dxa"/>
            <w:vAlign w:val="center"/>
          </w:tcPr>
          <w:p>
            <w:pPr>
              <w:spacing w:line="360" w:lineRule="auto"/>
              <w:jc w:val="center"/>
              <w:rPr>
                <w:sz w:val="24"/>
                <w:szCs w:val="24"/>
              </w:rPr>
            </w:pPr>
            <w:r>
              <w:rPr>
                <w:rFonts w:hint="eastAsia"/>
                <w:sz w:val="24"/>
                <w:szCs w:val="24"/>
              </w:rPr>
              <w:t>投标人</w:t>
            </w:r>
          </w:p>
        </w:tc>
        <w:tc>
          <w:tcPr>
            <w:tcW w:w="1602" w:type="dxa"/>
            <w:vAlign w:val="center"/>
          </w:tcPr>
          <w:p>
            <w:pPr>
              <w:spacing w:line="360" w:lineRule="auto"/>
              <w:jc w:val="center"/>
              <w:rPr>
                <w:sz w:val="24"/>
                <w:szCs w:val="24"/>
              </w:rPr>
            </w:pPr>
            <w:r>
              <w:rPr>
                <w:rFonts w:hint="eastAsia"/>
                <w:sz w:val="24"/>
                <w:szCs w:val="24"/>
              </w:rPr>
              <w:t>是否提交投标保证金</w:t>
            </w:r>
          </w:p>
        </w:tc>
        <w:tc>
          <w:tcPr>
            <w:tcW w:w="2126" w:type="dxa"/>
            <w:vAlign w:val="center"/>
          </w:tcPr>
          <w:p>
            <w:pPr>
              <w:spacing w:line="360" w:lineRule="auto"/>
              <w:jc w:val="center"/>
              <w:rPr>
                <w:sz w:val="24"/>
                <w:szCs w:val="24"/>
              </w:rPr>
            </w:pPr>
            <w:r>
              <w:rPr>
                <w:rFonts w:hint="eastAsia"/>
                <w:sz w:val="24"/>
                <w:szCs w:val="24"/>
              </w:rPr>
              <w:t>投标报价（元）</w:t>
            </w:r>
          </w:p>
        </w:tc>
        <w:tc>
          <w:tcPr>
            <w:tcW w:w="1843" w:type="dxa"/>
            <w:vAlign w:val="center"/>
          </w:tcPr>
          <w:p>
            <w:pPr>
              <w:spacing w:line="360" w:lineRule="auto"/>
              <w:jc w:val="center"/>
              <w:rPr>
                <w:sz w:val="24"/>
                <w:szCs w:val="24"/>
              </w:rPr>
            </w:pPr>
            <w:r>
              <w:rPr>
                <w:rFonts w:hint="eastAsia"/>
                <w:sz w:val="24"/>
                <w:szCs w:val="24"/>
              </w:rPr>
              <w:t>质量目标</w:t>
            </w:r>
          </w:p>
        </w:tc>
        <w:tc>
          <w:tcPr>
            <w:tcW w:w="960" w:type="dxa"/>
            <w:vAlign w:val="center"/>
          </w:tcPr>
          <w:p>
            <w:pPr>
              <w:spacing w:line="360" w:lineRule="auto"/>
              <w:jc w:val="center"/>
              <w:rPr>
                <w:sz w:val="24"/>
                <w:szCs w:val="24"/>
              </w:rPr>
            </w:pPr>
            <w:r>
              <w:rPr>
                <w:rFonts w:hint="eastAsia"/>
                <w:sz w:val="24"/>
                <w:szCs w:val="24"/>
              </w:rPr>
              <w:t>工期</w:t>
            </w:r>
          </w:p>
        </w:tc>
        <w:tc>
          <w:tcPr>
            <w:tcW w:w="869" w:type="dxa"/>
            <w:vAlign w:val="center"/>
          </w:tcPr>
          <w:p>
            <w:pPr>
              <w:spacing w:line="360" w:lineRule="auto"/>
              <w:jc w:val="center"/>
              <w:rPr>
                <w:sz w:val="24"/>
                <w:szCs w:val="24"/>
              </w:rPr>
            </w:pPr>
            <w:r>
              <w:rPr>
                <w:rFonts w:hint="eastAsia"/>
                <w:sz w:val="24"/>
                <w:szCs w:val="24"/>
              </w:rPr>
              <w:t>签名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817" w:type="dxa"/>
            <w:vAlign w:val="center"/>
          </w:tcPr>
          <w:p>
            <w:pPr>
              <w:spacing w:line="360" w:lineRule="auto"/>
              <w:jc w:val="center"/>
              <w:rPr>
                <w:sz w:val="24"/>
                <w:szCs w:val="24"/>
              </w:rPr>
            </w:pPr>
          </w:p>
        </w:tc>
        <w:tc>
          <w:tcPr>
            <w:tcW w:w="1125" w:type="dxa"/>
            <w:vAlign w:val="center"/>
          </w:tcPr>
          <w:p>
            <w:pPr>
              <w:spacing w:line="360" w:lineRule="auto"/>
              <w:jc w:val="center"/>
              <w:rPr>
                <w:sz w:val="24"/>
                <w:szCs w:val="24"/>
              </w:rPr>
            </w:pPr>
          </w:p>
        </w:tc>
        <w:tc>
          <w:tcPr>
            <w:tcW w:w="1602" w:type="dxa"/>
            <w:vAlign w:val="center"/>
          </w:tcPr>
          <w:p>
            <w:pPr>
              <w:spacing w:line="360" w:lineRule="auto"/>
              <w:jc w:val="center"/>
              <w:rPr>
                <w:sz w:val="24"/>
                <w:szCs w:val="24"/>
              </w:rPr>
            </w:pPr>
          </w:p>
        </w:tc>
        <w:tc>
          <w:tcPr>
            <w:tcW w:w="2126" w:type="dxa"/>
            <w:vAlign w:val="center"/>
          </w:tcPr>
          <w:p>
            <w:pPr>
              <w:spacing w:line="360" w:lineRule="auto"/>
              <w:jc w:val="center"/>
              <w:rPr>
                <w:sz w:val="24"/>
                <w:szCs w:val="24"/>
              </w:rPr>
            </w:pPr>
          </w:p>
        </w:tc>
        <w:tc>
          <w:tcPr>
            <w:tcW w:w="1843" w:type="dxa"/>
            <w:vAlign w:val="center"/>
          </w:tcPr>
          <w:p>
            <w:pPr>
              <w:spacing w:line="360" w:lineRule="auto"/>
              <w:jc w:val="center"/>
              <w:rPr>
                <w:sz w:val="24"/>
                <w:szCs w:val="24"/>
              </w:rPr>
            </w:pPr>
          </w:p>
        </w:tc>
        <w:tc>
          <w:tcPr>
            <w:tcW w:w="960" w:type="dxa"/>
            <w:vAlign w:val="center"/>
          </w:tcPr>
          <w:p>
            <w:pPr>
              <w:spacing w:line="360" w:lineRule="auto"/>
              <w:jc w:val="center"/>
              <w:rPr>
                <w:sz w:val="24"/>
                <w:szCs w:val="24"/>
              </w:rPr>
            </w:pPr>
          </w:p>
        </w:tc>
        <w:tc>
          <w:tcPr>
            <w:tcW w:w="869"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817" w:type="dxa"/>
            <w:vAlign w:val="center"/>
          </w:tcPr>
          <w:p>
            <w:pPr>
              <w:spacing w:line="360" w:lineRule="auto"/>
              <w:jc w:val="center"/>
              <w:rPr>
                <w:sz w:val="24"/>
                <w:szCs w:val="24"/>
              </w:rPr>
            </w:pPr>
          </w:p>
        </w:tc>
        <w:tc>
          <w:tcPr>
            <w:tcW w:w="1125" w:type="dxa"/>
            <w:vAlign w:val="center"/>
          </w:tcPr>
          <w:p>
            <w:pPr>
              <w:spacing w:line="360" w:lineRule="auto"/>
              <w:jc w:val="center"/>
              <w:rPr>
                <w:sz w:val="24"/>
                <w:szCs w:val="24"/>
              </w:rPr>
            </w:pPr>
          </w:p>
        </w:tc>
        <w:tc>
          <w:tcPr>
            <w:tcW w:w="1602" w:type="dxa"/>
            <w:vAlign w:val="center"/>
          </w:tcPr>
          <w:p>
            <w:pPr>
              <w:spacing w:line="360" w:lineRule="auto"/>
              <w:jc w:val="center"/>
              <w:rPr>
                <w:sz w:val="24"/>
                <w:szCs w:val="24"/>
              </w:rPr>
            </w:pPr>
          </w:p>
        </w:tc>
        <w:tc>
          <w:tcPr>
            <w:tcW w:w="2126" w:type="dxa"/>
            <w:vAlign w:val="center"/>
          </w:tcPr>
          <w:p>
            <w:pPr>
              <w:spacing w:line="360" w:lineRule="auto"/>
              <w:jc w:val="center"/>
              <w:rPr>
                <w:sz w:val="24"/>
                <w:szCs w:val="24"/>
              </w:rPr>
            </w:pPr>
          </w:p>
        </w:tc>
        <w:tc>
          <w:tcPr>
            <w:tcW w:w="1843" w:type="dxa"/>
            <w:vAlign w:val="center"/>
          </w:tcPr>
          <w:p>
            <w:pPr>
              <w:spacing w:line="360" w:lineRule="auto"/>
              <w:jc w:val="center"/>
              <w:rPr>
                <w:sz w:val="24"/>
                <w:szCs w:val="24"/>
              </w:rPr>
            </w:pPr>
          </w:p>
        </w:tc>
        <w:tc>
          <w:tcPr>
            <w:tcW w:w="960" w:type="dxa"/>
            <w:vAlign w:val="center"/>
          </w:tcPr>
          <w:p>
            <w:pPr>
              <w:spacing w:line="360" w:lineRule="auto"/>
              <w:jc w:val="center"/>
              <w:rPr>
                <w:sz w:val="24"/>
                <w:szCs w:val="24"/>
              </w:rPr>
            </w:pPr>
          </w:p>
        </w:tc>
        <w:tc>
          <w:tcPr>
            <w:tcW w:w="869"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817" w:type="dxa"/>
            <w:vAlign w:val="center"/>
          </w:tcPr>
          <w:p>
            <w:pPr>
              <w:spacing w:line="360" w:lineRule="auto"/>
              <w:jc w:val="center"/>
              <w:rPr>
                <w:sz w:val="24"/>
                <w:szCs w:val="24"/>
              </w:rPr>
            </w:pPr>
          </w:p>
        </w:tc>
        <w:tc>
          <w:tcPr>
            <w:tcW w:w="1125" w:type="dxa"/>
            <w:vAlign w:val="center"/>
          </w:tcPr>
          <w:p>
            <w:pPr>
              <w:spacing w:line="360" w:lineRule="auto"/>
              <w:jc w:val="center"/>
              <w:rPr>
                <w:sz w:val="24"/>
                <w:szCs w:val="24"/>
              </w:rPr>
            </w:pPr>
          </w:p>
        </w:tc>
        <w:tc>
          <w:tcPr>
            <w:tcW w:w="1602" w:type="dxa"/>
            <w:vAlign w:val="center"/>
          </w:tcPr>
          <w:p>
            <w:pPr>
              <w:spacing w:line="360" w:lineRule="auto"/>
              <w:jc w:val="center"/>
              <w:rPr>
                <w:sz w:val="24"/>
                <w:szCs w:val="24"/>
              </w:rPr>
            </w:pPr>
          </w:p>
        </w:tc>
        <w:tc>
          <w:tcPr>
            <w:tcW w:w="2126" w:type="dxa"/>
            <w:vAlign w:val="center"/>
          </w:tcPr>
          <w:p>
            <w:pPr>
              <w:spacing w:line="360" w:lineRule="auto"/>
              <w:jc w:val="center"/>
              <w:rPr>
                <w:sz w:val="24"/>
                <w:szCs w:val="24"/>
              </w:rPr>
            </w:pPr>
          </w:p>
        </w:tc>
        <w:tc>
          <w:tcPr>
            <w:tcW w:w="1843" w:type="dxa"/>
            <w:vAlign w:val="center"/>
          </w:tcPr>
          <w:p>
            <w:pPr>
              <w:spacing w:line="360" w:lineRule="auto"/>
              <w:jc w:val="center"/>
              <w:rPr>
                <w:sz w:val="24"/>
                <w:szCs w:val="24"/>
              </w:rPr>
            </w:pPr>
          </w:p>
        </w:tc>
        <w:tc>
          <w:tcPr>
            <w:tcW w:w="960" w:type="dxa"/>
            <w:vAlign w:val="center"/>
          </w:tcPr>
          <w:p>
            <w:pPr>
              <w:spacing w:line="360" w:lineRule="auto"/>
              <w:jc w:val="center"/>
              <w:rPr>
                <w:sz w:val="24"/>
                <w:szCs w:val="24"/>
              </w:rPr>
            </w:pPr>
          </w:p>
        </w:tc>
        <w:tc>
          <w:tcPr>
            <w:tcW w:w="869"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817" w:type="dxa"/>
            <w:vAlign w:val="center"/>
          </w:tcPr>
          <w:p>
            <w:pPr>
              <w:spacing w:line="360" w:lineRule="auto"/>
              <w:jc w:val="center"/>
              <w:rPr>
                <w:sz w:val="24"/>
                <w:szCs w:val="24"/>
              </w:rPr>
            </w:pPr>
          </w:p>
        </w:tc>
        <w:tc>
          <w:tcPr>
            <w:tcW w:w="1125" w:type="dxa"/>
            <w:vAlign w:val="center"/>
          </w:tcPr>
          <w:p>
            <w:pPr>
              <w:spacing w:line="360" w:lineRule="auto"/>
              <w:jc w:val="center"/>
              <w:rPr>
                <w:sz w:val="24"/>
                <w:szCs w:val="24"/>
              </w:rPr>
            </w:pPr>
          </w:p>
        </w:tc>
        <w:tc>
          <w:tcPr>
            <w:tcW w:w="1602" w:type="dxa"/>
            <w:vAlign w:val="center"/>
          </w:tcPr>
          <w:p>
            <w:pPr>
              <w:spacing w:line="360" w:lineRule="auto"/>
              <w:jc w:val="center"/>
              <w:rPr>
                <w:sz w:val="24"/>
                <w:szCs w:val="24"/>
              </w:rPr>
            </w:pPr>
          </w:p>
        </w:tc>
        <w:tc>
          <w:tcPr>
            <w:tcW w:w="2126" w:type="dxa"/>
            <w:vAlign w:val="center"/>
          </w:tcPr>
          <w:p>
            <w:pPr>
              <w:spacing w:line="360" w:lineRule="auto"/>
              <w:jc w:val="center"/>
              <w:rPr>
                <w:sz w:val="24"/>
                <w:szCs w:val="24"/>
              </w:rPr>
            </w:pPr>
          </w:p>
        </w:tc>
        <w:tc>
          <w:tcPr>
            <w:tcW w:w="1843" w:type="dxa"/>
            <w:vAlign w:val="center"/>
          </w:tcPr>
          <w:p>
            <w:pPr>
              <w:spacing w:line="360" w:lineRule="auto"/>
              <w:jc w:val="center"/>
              <w:rPr>
                <w:sz w:val="24"/>
                <w:szCs w:val="24"/>
              </w:rPr>
            </w:pPr>
          </w:p>
        </w:tc>
        <w:tc>
          <w:tcPr>
            <w:tcW w:w="960" w:type="dxa"/>
            <w:vAlign w:val="center"/>
          </w:tcPr>
          <w:p>
            <w:pPr>
              <w:spacing w:line="360" w:lineRule="auto"/>
              <w:jc w:val="center"/>
              <w:rPr>
                <w:sz w:val="24"/>
                <w:szCs w:val="24"/>
              </w:rPr>
            </w:pPr>
          </w:p>
        </w:tc>
        <w:tc>
          <w:tcPr>
            <w:tcW w:w="869"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817" w:type="dxa"/>
            <w:vAlign w:val="center"/>
          </w:tcPr>
          <w:p>
            <w:pPr>
              <w:spacing w:line="360" w:lineRule="auto"/>
              <w:jc w:val="center"/>
              <w:rPr>
                <w:sz w:val="24"/>
                <w:szCs w:val="24"/>
              </w:rPr>
            </w:pPr>
          </w:p>
        </w:tc>
        <w:tc>
          <w:tcPr>
            <w:tcW w:w="1125" w:type="dxa"/>
            <w:vAlign w:val="center"/>
          </w:tcPr>
          <w:p>
            <w:pPr>
              <w:spacing w:line="360" w:lineRule="auto"/>
              <w:jc w:val="center"/>
              <w:rPr>
                <w:sz w:val="24"/>
                <w:szCs w:val="24"/>
              </w:rPr>
            </w:pPr>
          </w:p>
        </w:tc>
        <w:tc>
          <w:tcPr>
            <w:tcW w:w="1602" w:type="dxa"/>
            <w:vAlign w:val="center"/>
          </w:tcPr>
          <w:p>
            <w:pPr>
              <w:spacing w:line="360" w:lineRule="auto"/>
              <w:jc w:val="center"/>
              <w:rPr>
                <w:sz w:val="24"/>
                <w:szCs w:val="24"/>
              </w:rPr>
            </w:pPr>
          </w:p>
        </w:tc>
        <w:tc>
          <w:tcPr>
            <w:tcW w:w="2126" w:type="dxa"/>
            <w:vAlign w:val="center"/>
          </w:tcPr>
          <w:p>
            <w:pPr>
              <w:spacing w:line="360" w:lineRule="auto"/>
              <w:jc w:val="center"/>
              <w:rPr>
                <w:sz w:val="24"/>
                <w:szCs w:val="24"/>
              </w:rPr>
            </w:pPr>
          </w:p>
        </w:tc>
        <w:tc>
          <w:tcPr>
            <w:tcW w:w="1843" w:type="dxa"/>
            <w:vAlign w:val="center"/>
          </w:tcPr>
          <w:p>
            <w:pPr>
              <w:spacing w:line="360" w:lineRule="auto"/>
              <w:jc w:val="center"/>
              <w:rPr>
                <w:sz w:val="24"/>
                <w:szCs w:val="24"/>
              </w:rPr>
            </w:pPr>
          </w:p>
        </w:tc>
        <w:tc>
          <w:tcPr>
            <w:tcW w:w="960" w:type="dxa"/>
            <w:vAlign w:val="center"/>
          </w:tcPr>
          <w:p>
            <w:pPr>
              <w:spacing w:line="360" w:lineRule="auto"/>
              <w:jc w:val="center"/>
              <w:rPr>
                <w:sz w:val="24"/>
                <w:szCs w:val="24"/>
              </w:rPr>
            </w:pPr>
          </w:p>
        </w:tc>
        <w:tc>
          <w:tcPr>
            <w:tcW w:w="869"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trPr>
        <w:tc>
          <w:tcPr>
            <w:tcW w:w="3544" w:type="dxa"/>
            <w:gridSpan w:val="3"/>
            <w:vAlign w:val="center"/>
          </w:tcPr>
          <w:p>
            <w:pPr>
              <w:spacing w:line="360" w:lineRule="auto"/>
              <w:jc w:val="center"/>
              <w:rPr>
                <w:sz w:val="24"/>
                <w:szCs w:val="24"/>
              </w:rPr>
            </w:pPr>
            <w:r>
              <w:rPr>
                <w:rFonts w:hint="eastAsia"/>
                <w:sz w:val="24"/>
                <w:szCs w:val="24"/>
              </w:rPr>
              <w:t>最高限价</w:t>
            </w:r>
          </w:p>
        </w:tc>
        <w:tc>
          <w:tcPr>
            <w:tcW w:w="5798" w:type="dxa"/>
            <w:gridSpan w:val="4"/>
            <w:vAlign w:val="center"/>
          </w:tcPr>
          <w:p>
            <w:pPr>
              <w:spacing w:line="360" w:lineRule="auto"/>
              <w:jc w:val="center"/>
              <w:rPr>
                <w:sz w:val="24"/>
                <w:szCs w:val="24"/>
              </w:rPr>
            </w:pPr>
          </w:p>
        </w:tc>
      </w:tr>
    </w:tbl>
    <w:p>
      <w:pPr>
        <w:spacing w:line="360" w:lineRule="auto"/>
        <w:rPr>
          <w:sz w:val="24"/>
          <w:szCs w:val="24"/>
        </w:rPr>
      </w:pPr>
    </w:p>
    <w:p>
      <w:pPr>
        <w:spacing w:line="360" w:lineRule="auto"/>
        <w:rPr>
          <w:sz w:val="24"/>
          <w:szCs w:val="24"/>
          <w:u w:val="single"/>
        </w:rPr>
      </w:pPr>
      <w:r>
        <w:rPr>
          <w:rFonts w:hint="eastAsia"/>
          <w:sz w:val="24"/>
          <w:szCs w:val="24"/>
        </w:rPr>
        <w:t>招标人代表：</w:t>
      </w:r>
      <w:r>
        <w:rPr>
          <w:sz w:val="24"/>
          <w:szCs w:val="24"/>
          <w:u w:val="single"/>
        </w:rPr>
        <w:t xml:space="preserve">               </w:t>
      </w:r>
      <w:r>
        <w:rPr>
          <w:sz w:val="24"/>
          <w:szCs w:val="24"/>
        </w:rPr>
        <w:t xml:space="preserve">                </w:t>
      </w:r>
      <w:r>
        <w:rPr>
          <w:rFonts w:hint="eastAsia"/>
          <w:sz w:val="24"/>
          <w:szCs w:val="24"/>
        </w:rPr>
        <w:t>监督人：</w:t>
      </w:r>
      <w:r>
        <w:rPr>
          <w:sz w:val="24"/>
          <w:szCs w:val="24"/>
          <w:u w:val="single"/>
        </w:rPr>
        <w:t xml:space="preserve">              </w:t>
      </w:r>
    </w:p>
    <w:p>
      <w:pPr>
        <w:spacing w:line="360" w:lineRule="auto"/>
        <w:rPr>
          <w:sz w:val="24"/>
          <w:szCs w:val="24"/>
          <w:u w:val="single"/>
        </w:rPr>
      </w:pPr>
      <w:r>
        <w:rPr>
          <w:rFonts w:hint="eastAsia"/>
          <w:sz w:val="24"/>
          <w:szCs w:val="24"/>
        </w:rPr>
        <w:t>招标代理机构代表：</w:t>
      </w:r>
      <w:r>
        <w:rPr>
          <w:sz w:val="24"/>
          <w:szCs w:val="24"/>
        </w:rPr>
        <w:t>___</w:t>
      </w:r>
      <w:r>
        <w:rPr>
          <w:sz w:val="24"/>
          <w:szCs w:val="24"/>
          <w:u w:val="single"/>
        </w:rPr>
        <w:t xml:space="preserve">  </w:t>
      </w:r>
      <w:r>
        <w:rPr>
          <w:sz w:val="24"/>
          <w:szCs w:val="24"/>
        </w:rPr>
        <w:t xml:space="preserve">____                </w:t>
      </w:r>
      <w:r>
        <w:rPr>
          <w:rFonts w:hint="eastAsia"/>
          <w:sz w:val="24"/>
          <w:szCs w:val="24"/>
        </w:rPr>
        <w:t>记录人：</w:t>
      </w:r>
      <w:r>
        <w:rPr>
          <w:sz w:val="24"/>
          <w:szCs w:val="24"/>
          <w:u w:val="single"/>
        </w:rPr>
        <w:t xml:space="preserve">              </w:t>
      </w:r>
    </w:p>
    <w:p>
      <w:pPr>
        <w:spacing w:line="360" w:lineRule="auto"/>
        <w:rPr>
          <w:sz w:val="24"/>
          <w:szCs w:val="24"/>
        </w:rPr>
      </w:pPr>
    </w:p>
    <w:p>
      <w:pPr>
        <w:pStyle w:val="4"/>
        <w:spacing w:line="360" w:lineRule="auto"/>
        <w:ind w:left="124"/>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lang w:val="en-US"/>
        </w:rPr>
        <w:t xml:space="preserve">   </w:t>
      </w:r>
      <w:r>
        <w:rPr>
          <w:rFonts w:ascii="宋体" w:hAnsi="宋体" w:eastAsia="宋体" w:cs="宋体"/>
          <w:b w:val="0"/>
          <w:bCs w:val="0"/>
          <w:sz w:val="24"/>
          <w:szCs w:val="24"/>
          <w:lang w:val="en-US"/>
        </w:rPr>
        <w:t xml:space="preserve"> </w:t>
      </w:r>
      <w:r>
        <w:rPr>
          <w:rFonts w:ascii="宋体" w:hAnsi="宋体" w:eastAsia="宋体" w:cs="宋体"/>
          <w:sz w:val="24"/>
          <w:szCs w:val="24"/>
          <w:lang w:val="en-US"/>
        </w:rPr>
        <w:t xml:space="preserve"> </w:t>
      </w:r>
      <w:r>
        <w:rPr>
          <w:rFonts w:ascii="宋体" w:hAnsi="宋体" w:eastAsia="宋体" w:cs="宋体"/>
          <w:sz w:val="24"/>
          <w:szCs w:val="24"/>
          <w:u w:val="single"/>
          <w:lang w:val="en-US"/>
        </w:rPr>
        <w:t xml:space="preserve">   </w:t>
      </w:r>
      <w:r>
        <w:rPr>
          <w:rFonts w:hint="eastAsia" w:ascii="宋体" w:hAnsi="宋体" w:eastAsia="宋体" w:cs="宋体"/>
          <w:sz w:val="24"/>
          <w:szCs w:val="24"/>
        </w:rPr>
        <w:t>年</w:t>
      </w:r>
      <w:r>
        <w:rPr>
          <w:rFonts w:ascii="宋体" w:hAnsi="宋体" w:eastAsia="宋体" w:cs="宋体"/>
          <w:sz w:val="24"/>
          <w:szCs w:val="24"/>
          <w:u w:val="single"/>
        </w:rPr>
        <w:t xml:space="preserve">  </w:t>
      </w:r>
      <w:r>
        <w:rPr>
          <w:rFonts w:hint="eastAsia" w:ascii="宋体" w:hAnsi="宋体" w:eastAsia="宋体" w:cs="宋体"/>
          <w:sz w:val="24"/>
          <w:szCs w:val="24"/>
        </w:rPr>
        <w:t>月</w:t>
      </w:r>
      <w:r>
        <w:rPr>
          <w:rFonts w:ascii="宋体" w:hAnsi="宋体" w:eastAsia="宋体" w:cs="宋体"/>
          <w:sz w:val="24"/>
          <w:szCs w:val="24"/>
          <w:u w:val="single"/>
        </w:rPr>
        <w:t xml:space="preserve">  </w:t>
      </w:r>
      <w:r>
        <w:rPr>
          <w:rFonts w:hint="eastAsia" w:ascii="宋体" w:hAnsi="宋体" w:eastAsia="宋体" w:cs="宋体"/>
          <w:sz w:val="24"/>
          <w:szCs w:val="24"/>
        </w:rPr>
        <w:t>日</w:t>
      </w:r>
    </w:p>
    <w:p>
      <w:pPr>
        <w:pStyle w:val="4"/>
        <w:spacing w:line="360" w:lineRule="auto"/>
        <w:ind w:left="124"/>
        <w:rPr>
          <w:rFonts w:ascii="宋体" w:hAnsi="宋体" w:eastAsia="宋体" w:cs="宋体"/>
          <w:sz w:val="24"/>
          <w:szCs w:val="24"/>
        </w:rPr>
      </w:pPr>
    </w:p>
    <w:p>
      <w:pPr>
        <w:pStyle w:val="4"/>
        <w:spacing w:line="360" w:lineRule="auto"/>
        <w:ind w:left="124"/>
        <w:rPr>
          <w:rFonts w:ascii="宋体" w:hAnsi="宋体" w:eastAsia="宋体" w:cs="宋体"/>
          <w:sz w:val="24"/>
          <w:szCs w:val="24"/>
        </w:rPr>
      </w:pPr>
    </w:p>
    <w:p>
      <w:pPr>
        <w:pStyle w:val="4"/>
        <w:spacing w:line="360" w:lineRule="auto"/>
        <w:ind w:left="124"/>
        <w:rPr>
          <w:rFonts w:ascii="宋体" w:hAnsi="宋体" w:eastAsia="宋体" w:cs="宋体"/>
          <w:sz w:val="24"/>
          <w:szCs w:val="24"/>
        </w:rPr>
      </w:pPr>
    </w:p>
    <w:p>
      <w:pPr>
        <w:pStyle w:val="4"/>
        <w:spacing w:line="360" w:lineRule="auto"/>
        <w:ind w:left="124"/>
        <w:rPr>
          <w:rFonts w:ascii="宋体" w:hAnsi="宋体" w:eastAsia="宋体" w:cs="宋体"/>
          <w:sz w:val="24"/>
          <w:szCs w:val="24"/>
        </w:rPr>
      </w:pPr>
    </w:p>
    <w:p>
      <w:pPr>
        <w:pStyle w:val="4"/>
        <w:spacing w:line="360" w:lineRule="auto"/>
        <w:ind w:left="124"/>
        <w:rPr>
          <w:rFonts w:ascii="宋体" w:hAnsi="宋体" w:eastAsia="宋体" w:cs="宋体"/>
          <w:sz w:val="24"/>
          <w:szCs w:val="24"/>
        </w:rPr>
      </w:pPr>
    </w:p>
    <w:p>
      <w:pPr>
        <w:pStyle w:val="4"/>
        <w:spacing w:line="360" w:lineRule="auto"/>
        <w:ind w:left="124"/>
        <w:rPr>
          <w:rFonts w:ascii="宋体" w:hAnsi="宋体" w:eastAsia="宋体" w:cs="宋体"/>
          <w:sz w:val="24"/>
          <w:szCs w:val="24"/>
        </w:rPr>
      </w:pPr>
    </w:p>
    <w:p>
      <w:pPr>
        <w:pStyle w:val="4"/>
        <w:spacing w:line="360" w:lineRule="auto"/>
        <w:ind w:left="124"/>
        <w:rPr>
          <w:rFonts w:ascii="宋体" w:hAnsi="宋体" w:eastAsia="宋体" w:cs="宋体"/>
          <w:sz w:val="24"/>
          <w:szCs w:val="24"/>
        </w:rPr>
      </w:pPr>
    </w:p>
    <w:p>
      <w:pPr>
        <w:pStyle w:val="4"/>
        <w:spacing w:line="360" w:lineRule="auto"/>
        <w:ind w:left="124"/>
        <w:rPr>
          <w:rFonts w:ascii="宋体" w:hAnsi="宋体" w:eastAsia="宋体" w:cs="宋体"/>
          <w:sz w:val="24"/>
          <w:szCs w:val="24"/>
        </w:rPr>
      </w:pPr>
    </w:p>
    <w:p>
      <w:pPr>
        <w:pStyle w:val="4"/>
        <w:spacing w:line="360" w:lineRule="auto"/>
        <w:ind w:left="124"/>
        <w:rPr>
          <w:rFonts w:ascii="宋体" w:hAnsi="宋体" w:eastAsia="宋体" w:cs="宋体"/>
          <w:sz w:val="24"/>
          <w:szCs w:val="24"/>
        </w:rPr>
      </w:pPr>
    </w:p>
    <w:p>
      <w:pPr>
        <w:pStyle w:val="4"/>
        <w:spacing w:line="360" w:lineRule="auto"/>
        <w:ind w:left="124"/>
        <w:rPr>
          <w:rFonts w:ascii="宋体" w:hAnsi="宋体" w:eastAsia="宋体" w:cs="宋体"/>
          <w:sz w:val="24"/>
          <w:szCs w:val="24"/>
        </w:rPr>
      </w:pPr>
    </w:p>
    <w:p>
      <w:pPr>
        <w:pStyle w:val="4"/>
        <w:spacing w:line="360" w:lineRule="auto"/>
        <w:ind w:left="124"/>
        <w:rPr>
          <w:rFonts w:ascii="宋体" w:hAnsi="宋体" w:eastAsia="宋体" w:cs="宋体"/>
          <w:sz w:val="24"/>
          <w:szCs w:val="24"/>
        </w:rPr>
      </w:pPr>
    </w:p>
    <w:p>
      <w:pPr>
        <w:widowControl/>
        <w:spacing w:line="360" w:lineRule="auto"/>
        <w:rPr>
          <w:sz w:val="24"/>
          <w:szCs w:val="24"/>
        </w:rPr>
      </w:pPr>
      <w:bookmarkStart w:id="27" w:name="_bookmark3"/>
      <w:bookmarkEnd w:id="27"/>
      <w:bookmarkStart w:id="28" w:name="_Toc256000056"/>
      <w:r>
        <w:rPr>
          <w:rFonts w:hint="eastAsia"/>
          <w:sz w:val="24"/>
          <w:szCs w:val="24"/>
        </w:rPr>
        <w:t>附表二：问题澄清通知</w:t>
      </w:r>
      <w:bookmarkEnd w:id="28"/>
    </w:p>
    <w:p>
      <w:pPr>
        <w:spacing w:line="360" w:lineRule="auto"/>
        <w:rPr>
          <w:sz w:val="24"/>
          <w:szCs w:val="24"/>
        </w:rPr>
      </w:pPr>
    </w:p>
    <w:p>
      <w:pPr>
        <w:widowControl/>
        <w:spacing w:line="360" w:lineRule="auto"/>
        <w:jc w:val="center"/>
        <w:rPr>
          <w:sz w:val="20"/>
          <w:szCs w:val="20"/>
        </w:rPr>
      </w:pPr>
      <w:bookmarkStart w:id="29" w:name="_Toc26844_WPSOffice_Level1"/>
      <w:r>
        <w:rPr>
          <w:rFonts w:hint="eastAsia"/>
          <w:b/>
          <w:sz w:val="24"/>
          <w:szCs w:val="24"/>
        </w:rPr>
        <w:t>问题澄清通知</w:t>
      </w:r>
      <w:bookmarkEnd w:id="29"/>
      <w:r>
        <w:rPr>
          <w:sz w:val="20"/>
          <w:szCs w:val="20"/>
        </w:rPr>
        <w:t xml:space="preserve">  </w:t>
      </w:r>
    </w:p>
    <w:p>
      <w:pPr>
        <w:widowControl/>
        <w:spacing w:line="360" w:lineRule="auto"/>
        <w:jc w:val="right"/>
        <w:rPr>
          <w:sz w:val="24"/>
          <w:szCs w:val="24"/>
        </w:rPr>
      </w:pPr>
      <w:r>
        <w:rPr>
          <w:rFonts w:hint="eastAsia"/>
          <w:sz w:val="24"/>
          <w:szCs w:val="24"/>
        </w:rPr>
        <w:t>编号：</w:t>
      </w:r>
      <w:r>
        <w:rPr>
          <w:sz w:val="24"/>
          <w:szCs w:val="24"/>
        </w:rPr>
        <w:t xml:space="preserve"> _______</w:t>
      </w:r>
    </w:p>
    <w:p>
      <w:pPr>
        <w:widowControl/>
        <w:spacing w:line="360" w:lineRule="auto"/>
        <w:rPr>
          <w:sz w:val="24"/>
          <w:szCs w:val="24"/>
        </w:rPr>
      </w:pPr>
      <w:r>
        <w:rPr>
          <w:sz w:val="24"/>
          <w:szCs w:val="24"/>
          <w:u w:val="single"/>
        </w:rPr>
        <w:t xml:space="preserve">       </w:t>
      </w:r>
      <w:r>
        <w:rPr>
          <w:rFonts w:hint="eastAsia"/>
          <w:sz w:val="24"/>
          <w:szCs w:val="24"/>
        </w:rPr>
        <w:t>（投标人名称）：</w:t>
      </w:r>
    </w:p>
    <w:p>
      <w:pPr>
        <w:widowControl/>
        <w:spacing w:line="360" w:lineRule="auto"/>
        <w:rPr>
          <w:sz w:val="24"/>
          <w:szCs w:val="24"/>
          <w:u w:val="single"/>
        </w:rPr>
      </w:pPr>
      <w:r>
        <w:rPr>
          <w:sz w:val="24"/>
          <w:szCs w:val="24"/>
        </w:rPr>
        <w:t xml:space="preserve">   </w:t>
      </w:r>
      <w:r>
        <w:rPr>
          <w:color w:val="4BACC6"/>
          <w:sz w:val="24"/>
          <w:szCs w:val="24"/>
        </w:rPr>
        <w:t xml:space="preserve"> </w:t>
      </w:r>
      <w:r>
        <w:rPr>
          <w:sz w:val="24"/>
          <w:szCs w:val="24"/>
        </w:rPr>
        <w:t xml:space="preserve"> ______</w:t>
      </w:r>
      <w:r>
        <w:rPr>
          <w:rFonts w:hint="eastAsia"/>
          <w:sz w:val="24"/>
          <w:szCs w:val="24"/>
        </w:rPr>
        <w:t>（项目名称）施工</w:t>
      </w:r>
      <w:r>
        <w:rPr>
          <w:sz w:val="24"/>
          <w:szCs w:val="24"/>
        </w:rPr>
        <w:t>______</w:t>
      </w:r>
      <w:r>
        <w:rPr>
          <w:rFonts w:hint="eastAsia"/>
          <w:sz w:val="24"/>
          <w:szCs w:val="24"/>
          <w:lang w:val="en-US"/>
        </w:rPr>
        <w:t>标段</w:t>
      </w:r>
      <w:r>
        <w:rPr>
          <w:rFonts w:hint="eastAsia"/>
          <w:sz w:val="24"/>
          <w:szCs w:val="24"/>
        </w:rPr>
        <w:t>招标的评标委员会，对你方的投标文件进行了仔细的审查，现需你方对下列问题以书面形式予以澄清、说明或补正：</w:t>
      </w:r>
      <w:r>
        <w:rPr>
          <w:sz w:val="24"/>
          <w:szCs w:val="24"/>
          <w:u w:val="single"/>
        </w:rPr>
        <w:t xml:space="preserve">           </w:t>
      </w:r>
    </w:p>
    <w:p>
      <w:pPr>
        <w:widowControl/>
        <w:spacing w:line="360" w:lineRule="auto"/>
        <w:rPr>
          <w:sz w:val="24"/>
          <w:szCs w:val="24"/>
          <w:u w:val="single"/>
        </w:rPr>
      </w:pPr>
      <w:r>
        <w:rPr>
          <w:sz w:val="24"/>
          <w:szCs w:val="24"/>
          <w:u w:val="single"/>
        </w:rPr>
        <w:t xml:space="preserve">                                                                           </w:t>
      </w:r>
    </w:p>
    <w:p>
      <w:pPr>
        <w:widowControl/>
        <w:spacing w:line="360" w:lineRule="auto"/>
        <w:rPr>
          <w:sz w:val="24"/>
          <w:szCs w:val="24"/>
          <w:u w:val="single"/>
        </w:rPr>
      </w:pPr>
    </w:p>
    <w:p>
      <w:pPr>
        <w:widowControl/>
        <w:spacing w:line="360" w:lineRule="auto"/>
        <w:rPr>
          <w:sz w:val="24"/>
          <w:szCs w:val="24"/>
          <w:u w:val="single"/>
        </w:rPr>
      </w:pPr>
    </w:p>
    <w:p>
      <w:pPr>
        <w:widowControl/>
        <w:spacing w:line="360" w:lineRule="auto"/>
        <w:rPr>
          <w:sz w:val="24"/>
          <w:szCs w:val="24"/>
          <w:u w:val="single"/>
        </w:rPr>
      </w:pPr>
    </w:p>
    <w:p>
      <w:pPr>
        <w:widowControl/>
        <w:spacing w:line="360" w:lineRule="auto"/>
        <w:rPr>
          <w:sz w:val="24"/>
          <w:szCs w:val="24"/>
        </w:rPr>
      </w:pPr>
    </w:p>
    <w:p>
      <w:pPr>
        <w:widowControl/>
        <w:spacing w:line="360" w:lineRule="auto"/>
        <w:rPr>
          <w:sz w:val="24"/>
          <w:szCs w:val="24"/>
        </w:rPr>
      </w:pPr>
    </w:p>
    <w:p>
      <w:pPr>
        <w:widowControl/>
        <w:spacing w:line="360" w:lineRule="auto"/>
        <w:rPr>
          <w:sz w:val="24"/>
          <w:szCs w:val="24"/>
        </w:rPr>
      </w:pPr>
    </w:p>
    <w:p>
      <w:pPr>
        <w:widowControl/>
        <w:spacing w:line="360" w:lineRule="auto"/>
        <w:ind w:firstLine="480"/>
        <w:rPr>
          <w:sz w:val="24"/>
          <w:szCs w:val="24"/>
        </w:rPr>
      </w:pPr>
      <w:r>
        <w:rPr>
          <w:rFonts w:hint="eastAsia"/>
          <w:sz w:val="24"/>
          <w:szCs w:val="24"/>
        </w:rPr>
        <w:t>请将上述问题的澄清、说明或补正于接到通知</w:t>
      </w:r>
      <w:r>
        <w:rPr>
          <w:sz w:val="24"/>
          <w:szCs w:val="24"/>
          <w:u w:val="single"/>
        </w:rPr>
        <w:t xml:space="preserve">    </w:t>
      </w:r>
      <w:r>
        <w:rPr>
          <w:rFonts w:hint="eastAsia"/>
          <w:sz w:val="24"/>
          <w:szCs w:val="24"/>
        </w:rPr>
        <w:t>分钟内通过在线形式递交至评标委员会。</w:t>
      </w:r>
    </w:p>
    <w:p>
      <w:pPr>
        <w:widowControl/>
        <w:spacing w:line="360" w:lineRule="auto"/>
        <w:rPr>
          <w:sz w:val="24"/>
          <w:szCs w:val="24"/>
        </w:rPr>
      </w:pPr>
      <w:r>
        <w:rPr>
          <w:rFonts w:hint="eastAsia"/>
          <w:sz w:val="24"/>
          <w:szCs w:val="24"/>
        </w:rPr>
        <w:t>评标委员会成员签字：</w:t>
      </w:r>
      <w:r>
        <w:rPr>
          <w:sz w:val="24"/>
          <w:szCs w:val="24"/>
          <w:u w:val="single"/>
        </w:rPr>
        <w:t xml:space="preserve">                         </w:t>
      </w:r>
    </w:p>
    <w:p>
      <w:pPr>
        <w:widowControl/>
        <w:spacing w:line="360" w:lineRule="auto"/>
        <w:jc w:val="center"/>
        <w:rPr>
          <w:sz w:val="24"/>
          <w:szCs w:val="24"/>
        </w:rPr>
      </w:pPr>
    </w:p>
    <w:p>
      <w:pPr>
        <w:widowControl/>
        <w:spacing w:line="360" w:lineRule="auto"/>
        <w:jc w:val="center"/>
        <w:rPr>
          <w:b/>
          <w:bCs/>
          <w:sz w:val="24"/>
          <w:szCs w:val="24"/>
        </w:rPr>
      </w:pPr>
      <w:r>
        <w:rPr>
          <w:sz w:val="24"/>
          <w:szCs w:val="24"/>
        </w:rPr>
        <w:t xml:space="preserve">                 </w:t>
      </w:r>
      <w:r>
        <w:rPr>
          <w:b/>
          <w:bCs/>
          <w:sz w:val="24"/>
          <w:szCs w:val="24"/>
        </w:rPr>
        <w:t>_______</w:t>
      </w:r>
      <w:r>
        <w:rPr>
          <w:rFonts w:hint="eastAsia"/>
          <w:b/>
          <w:bCs/>
          <w:sz w:val="24"/>
          <w:szCs w:val="24"/>
        </w:rPr>
        <w:t>年</w:t>
      </w:r>
      <w:r>
        <w:rPr>
          <w:b/>
          <w:bCs/>
          <w:sz w:val="24"/>
          <w:szCs w:val="24"/>
        </w:rPr>
        <w:t>_______</w:t>
      </w:r>
      <w:r>
        <w:rPr>
          <w:rFonts w:hint="eastAsia"/>
          <w:b/>
          <w:bCs/>
          <w:sz w:val="24"/>
          <w:szCs w:val="24"/>
        </w:rPr>
        <w:t>月</w:t>
      </w:r>
      <w:r>
        <w:rPr>
          <w:b/>
          <w:bCs/>
          <w:sz w:val="24"/>
          <w:szCs w:val="24"/>
        </w:rPr>
        <w:t>_______</w:t>
      </w:r>
      <w:r>
        <w:rPr>
          <w:rFonts w:hint="eastAsia"/>
          <w:b/>
          <w:bCs/>
          <w:sz w:val="24"/>
          <w:szCs w:val="24"/>
        </w:rPr>
        <w:t>日</w:t>
      </w:r>
    </w:p>
    <w:p>
      <w:pPr>
        <w:widowControl/>
        <w:spacing w:line="360" w:lineRule="auto"/>
        <w:rPr>
          <w:sz w:val="24"/>
          <w:szCs w:val="24"/>
        </w:rPr>
      </w:pPr>
      <w:r>
        <w:rPr>
          <w:sz w:val="24"/>
          <w:szCs w:val="24"/>
        </w:rPr>
        <w:t xml:space="preserve">    </w:t>
      </w:r>
    </w:p>
    <w:p>
      <w:pPr>
        <w:spacing w:line="360" w:lineRule="auto"/>
        <w:rPr>
          <w:sz w:val="24"/>
        </w:rPr>
      </w:pPr>
      <w:r>
        <w:rPr>
          <w:rFonts w:hint="eastAsia"/>
          <w:sz w:val="24"/>
        </w:rPr>
        <w:t>注：评标委员会在评标过程中，如要求投标人澄清或说明的，评标委员会要求投标人在线澄清或说明的时间距投标人收到评标委员会通知的时间不得少于</w:t>
      </w:r>
      <w:r>
        <w:rPr>
          <w:sz w:val="24"/>
        </w:rPr>
        <w:t xml:space="preserve"> 60</w:t>
      </w:r>
      <w:r>
        <w:rPr>
          <w:sz w:val="24"/>
          <w:lang w:val="en-US"/>
        </w:rPr>
        <w:t xml:space="preserve"> </w:t>
      </w:r>
      <w:r>
        <w:rPr>
          <w:rFonts w:hint="eastAsia"/>
          <w:sz w:val="24"/>
        </w:rPr>
        <w:t>分钟。</w:t>
      </w:r>
    </w:p>
    <w:p>
      <w:pPr>
        <w:spacing w:line="360" w:lineRule="auto"/>
        <w:rPr>
          <w:sz w:val="24"/>
        </w:rPr>
      </w:pPr>
      <w:r>
        <w:t xml:space="preserve">    </w:t>
      </w:r>
      <w:r>
        <w:rPr>
          <w:rFonts w:hint="eastAsia"/>
          <w:sz w:val="24"/>
        </w:rPr>
        <w:t>评标委员会认为投标人的澄清或说明不够明确，应再次要求投标人对不明确的内容进行澄清或说明，评标委员会要求投标人再次在线澄清或说明的时间距投标人收到评标委员会通知的时间不得少于</w:t>
      </w:r>
      <w:r>
        <w:rPr>
          <w:sz w:val="24"/>
        </w:rPr>
        <w:t xml:space="preserve"> 30 </w:t>
      </w:r>
      <w:r>
        <w:rPr>
          <w:rFonts w:hint="eastAsia"/>
          <w:sz w:val="24"/>
        </w:rPr>
        <w:t>分钟。</w:t>
      </w:r>
    </w:p>
    <w:p>
      <w:pPr>
        <w:widowControl/>
        <w:spacing w:line="360" w:lineRule="auto"/>
        <w:rPr>
          <w:sz w:val="24"/>
          <w:szCs w:val="24"/>
        </w:rPr>
      </w:pPr>
      <w:r>
        <w:t xml:space="preserve">    </w:t>
      </w:r>
      <w:r>
        <w:rPr>
          <w:rFonts w:hint="eastAsia"/>
          <w:sz w:val="24"/>
        </w:rPr>
        <w:t>投标人未在规定时间内作出澄清或说明的，或者评标委员会认为该投标人的两次澄清或说明都不符合评标委员会要求的，作否决投标处理。</w:t>
      </w:r>
    </w:p>
    <w:p>
      <w:pPr>
        <w:widowControl/>
        <w:spacing w:line="360" w:lineRule="auto"/>
        <w:jc w:val="center"/>
        <w:rPr>
          <w:sz w:val="24"/>
          <w:szCs w:val="24"/>
        </w:rPr>
      </w:pPr>
    </w:p>
    <w:p>
      <w:pPr>
        <w:pStyle w:val="3"/>
        <w:spacing w:line="360" w:lineRule="auto"/>
        <w:rPr>
          <w:sz w:val="24"/>
          <w:szCs w:val="24"/>
        </w:rPr>
      </w:pPr>
      <w:bookmarkStart w:id="30" w:name="_Toc256000057"/>
    </w:p>
    <w:p>
      <w:pPr>
        <w:pStyle w:val="3"/>
        <w:spacing w:line="360" w:lineRule="auto"/>
        <w:ind w:left="0"/>
        <w:rPr>
          <w:sz w:val="24"/>
          <w:szCs w:val="24"/>
        </w:rPr>
      </w:pPr>
      <w:r>
        <w:rPr>
          <w:rFonts w:hint="eastAsia"/>
          <w:sz w:val="24"/>
          <w:szCs w:val="24"/>
        </w:rPr>
        <w:t>附表三：问题的澄清</w:t>
      </w:r>
      <w:bookmarkEnd w:id="30"/>
    </w:p>
    <w:p>
      <w:pPr>
        <w:spacing w:line="360" w:lineRule="auto"/>
        <w:rPr>
          <w:sz w:val="24"/>
          <w:szCs w:val="24"/>
        </w:rPr>
      </w:pPr>
    </w:p>
    <w:p>
      <w:pPr>
        <w:spacing w:line="360" w:lineRule="auto"/>
        <w:jc w:val="center"/>
        <w:rPr>
          <w:b/>
          <w:sz w:val="24"/>
          <w:szCs w:val="24"/>
        </w:rPr>
      </w:pPr>
      <w:bookmarkStart w:id="31" w:name="_Toc29092_WPSOffice_Level1"/>
      <w:r>
        <w:rPr>
          <w:rFonts w:hint="eastAsia"/>
          <w:b/>
          <w:sz w:val="24"/>
          <w:szCs w:val="24"/>
        </w:rPr>
        <w:t>问题的澄清</w:t>
      </w:r>
      <w:bookmarkEnd w:id="31"/>
    </w:p>
    <w:p>
      <w:pPr>
        <w:spacing w:line="360" w:lineRule="auto"/>
        <w:jc w:val="right"/>
        <w:rPr>
          <w:sz w:val="24"/>
          <w:szCs w:val="24"/>
        </w:rPr>
      </w:pPr>
      <w:r>
        <w:rPr>
          <w:rFonts w:hint="eastAsia"/>
          <w:sz w:val="24"/>
          <w:szCs w:val="24"/>
        </w:rPr>
        <w:t>编号：</w:t>
      </w:r>
      <w:r>
        <w:rPr>
          <w:sz w:val="24"/>
          <w:szCs w:val="24"/>
        </w:rPr>
        <w:t xml:space="preserve"> _______</w:t>
      </w:r>
    </w:p>
    <w:p>
      <w:pPr>
        <w:spacing w:line="360" w:lineRule="auto"/>
        <w:rPr>
          <w:sz w:val="24"/>
          <w:szCs w:val="24"/>
        </w:rPr>
      </w:pPr>
      <w:r>
        <w:rPr>
          <w:rFonts w:hint="eastAsia"/>
          <w:sz w:val="24"/>
          <w:szCs w:val="24"/>
        </w:rPr>
        <w:t>评标委员会：</w:t>
      </w:r>
    </w:p>
    <w:p>
      <w:pPr>
        <w:spacing w:line="360" w:lineRule="auto"/>
        <w:rPr>
          <w:sz w:val="24"/>
          <w:szCs w:val="24"/>
          <w:u w:val="single"/>
        </w:rPr>
      </w:pPr>
      <w:r>
        <w:rPr>
          <w:sz w:val="24"/>
          <w:szCs w:val="24"/>
        </w:rPr>
        <w:t xml:space="preserve">    </w:t>
      </w:r>
      <w:r>
        <w:rPr>
          <w:rFonts w:hint="eastAsia"/>
          <w:sz w:val="24"/>
          <w:szCs w:val="24"/>
        </w:rPr>
        <w:t>问题澄清通知（编号：</w:t>
      </w:r>
      <w:r>
        <w:rPr>
          <w:sz w:val="24"/>
          <w:szCs w:val="24"/>
        </w:rPr>
        <w:t>_______</w:t>
      </w:r>
      <w:r>
        <w:rPr>
          <w:rFonts w:hint="eastAsia"/>
          <w:sz w:val="24"/>
          <w:szCs w:val="24"/>
        </w:rPr>
        <w:t>）已收悉，现澄清、说明或补正如下：</w:t>
      </w:r>
      <w:r>
        <w:rPr>
          <w:sz w:val="24"/>
          <w:szCs w:val="24"/>
          <w:u w:val="single"/>
        </w:rPr>
        <w:t xml:space="preserve">                           </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r>
        <w:rPr>
          <w:sz w:val="24"/>
          <w:szCs w:val="24"/>
        </w:rPr>
        <w:t xml:space="preserve">    </w:t>
      </w:r>
      <w:r>
        <w:rPr>
          <w:rFonts w:hint="eastAsia"/>
          <w:sz w:val="24"/>
          <w:szCs w:val="24"/>
        </w:rPr>
        <w:t>（投标人可另行附页）</w:t>
      </w:r>
    </w:p>
    <w:p>
      <w:pPr>
        <w:spacing w:line="360" w:lineRule="auto"/>
        <w:ind w:firstLine="480"/>
        <w:rPr>
          <w:sz w:val="24"/>
          <w:szCs w:val="24"/>
        </w:rPr>
      </w:pPr>
      <w:r>
        <w:rPr>
          <w:rFonts w:hint="eastAsia"/>
          <w:sz w:val="24"/>
          <w:szCs w:val="24"/>
        </w:rPr>
        <w:t>上述问题澄清、说明或补正，不改变我方投标文件的实质性内容，构成我方投标文件的组成部分</w:t>
      </w:r>
    </w:p>
    <w:p>
      <w:pPr>
        <w:spacing w:line="360" w:lineRule="auto"/>
        <w:ind w:firstLine="480"/>
        <w:rPr>
          <w:sz w:val="24"/>
          <w:szCs w:val="24"/>
        </w:rPr>
      </w:pPr>
    </w:p>
    <w:p>
      <w:pPr>
        <w:spacing w:line="360" w:lineRule="auto"/>
        <w:ind w:firstLine="480"/>
        <w:jc w:val="right"/>
        <w:rPr>
          <w:sz w:val="24"/>
          <w:szCs w:val="24"/>
        </w:rPr>
      </w:pPr>
      <w:r>
        <w:rPr>
          <w:rFonts w:hint="eastAsia"/>
          <w:sz w:val="24"/>
          <w:szCs w:val="24"/>
        </w:rPr>
        <w:t>法定代表人或其委托代理人：</w:t>
      </w:r>
      <w:r>
        <w:rPr>
          <w:sz w:val="24"/>
          <w:szCs w:val="24"/>
        </w:rPr>
        <w:t>_______</w:t>
      </w:r>
      <w:r>
        <w:rPr>
          <w:rFonts w:hint="eastAsia"/>
          <w:sz w:val="24"/>
          <w:szCs w:val="24"/>
        </w:rPr>
        <w:t>（签字）</w:t>
      </w:r>
    </w:p>
    <w:p>
      <w:pPr>
        <w:spacing w:line="360" w:lineRule="auto"/>
        <w:jc w:val="right"/>
        <w:rPr>
          <w:sz w:val="24"/>
          <w:szCs w:val="24"/>
        </w:rPr>
      </w:pPr>
      <w:r>
        <w:rPr>
          <w:sz w:val="24"/>
          <w:szCs w:val="24"/>
        </w:rPr>
        <w:t xml:space="preserve">    </w:t>
      </w:r>
    </w:p>
    <w:p>
      <w:pPr>
        <w:wordWrap w:val="0"/>
        <w:spacing w:line="360" w:lineRule="auto"/>
        <w:jc w:val="right"/>
        <w:rPr>
          <w:sz w:val="24"/>
          <w:szCs w:val="24"/>
        </w:rPr>
      </w:pPr>
      <w:r>
        <w:rPr>
          <w:sz w:val="24"/>
          <w:szCs w:val="24"/>
        </w:rPr>
        <w:t xml:space="preserve">                          _______</w:t>
      </w:r>
      <w:r>
        <w:rPr>
          <w:rFonts w:hint="eastAsia"/>
          <w:sz w:val="24"/>
          <w:szCs w:val="24"/>
        </w:rPr>
        <w:t>年</w:t>
      </w:r>
      <w:r>
        <w:rPr>
          <w:sz w:val="24"/>
          <w:szCs w:val="24"/>
        </w:rPr>
        <w:t>_______</w:t>
      </w:r>
      <w:r>
        <w:rPr>
          <w:rFonts w:hint="eastAsia"/>
          <w:sz w:val="24"/>
          <w:szCs w:val="24"/>
        </w:rPr>
        <w:t>月</w:t>
      </w:r>
      <w:r>
        <w:rPr>
          <w:sz w:val="24"/>
          <w:szCs w:val="24"/>
        </w:rPr>
        <w:t>_______</w:t>
      </w:r>
      <w:r>
        <w:rPr>
          <w:rFonts w:hint="eastAsia"/>
          <w:sz w:val="24"/>
          <w:szCs w:val="24"/>
        </w:rPr>
        <w:t>日</w:t>
      </w:r>
      <w:r>
        <w:rPr>
          <w:sz w:val="24"/>
          <w:szCs w:val="24"/>
          <w:u w:val="single"/>
        </w:rPr>
        <w:t xml:space="preserve">     </w:t>
      </w:r>
      <w:r>
        <w:rPr>
          <w:rFonts w:hint="eastAsia"/>
          <w:sz w:val="24"/>
          <w:szCs w:val="24"/>
        </w:rPr>
        <w:t>时</w:t>
      </w:r>
      <w:r>
        <w:rPr>
          <w:sz w:val="24"/>
          <w:szCs w:val="24"/>
          <w:u w:val="single"/>
        </w:rPr>
        <w:t xml:space="preserve">    </w:t>
      </w:r>
      <w:r>
        <w:rPr>
          <w:rFonts w:hint="eastAsia"/>
          <w:sz w:val="24"/>
          <w:szCs w:val="24"/>
        </w:rPr>
        <w:t>分</w:t>
      </w: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r>
        <w:rPr>
          <w:rFonts w:hint="eastAsia"/>
          <w:sz w:val="24"/>
          <w:szCs w:val="24"/>
        </w:rPr>
        <w:t>评标委员会意见：</w:t>
      </w:r>
      <w:r>
        <w:rPr>
          <w:sz w:val="24"/>
          <w:szCs w:val="24"/>
        </w:rPr>
        <w:t>___________________________________</w:t>
      </w:r>
    </w:p>
    <w:p>
      <w:pPr>
        <w:spacing w:line="360" w:lineRule="auto"/>
        <w:ind w:firstLine="480"/>
        <w:rPr>
          <w:sz w:val="24"/>
          <w:szCs w:val="24"/>
        </w:rPr>
      </w:pPr>
    </w:p>
    <w:p>
      <w:pPr>
        <w:spacing w:line="360" w:lineRule="auto"/>
        <w:ind w:firstLine="480"/>
        <w:rPr>
          <w:sz w:val="24"/>
          <w:szCs w:val="24"/>
        </w:rPr>
      </w:pPr>
      <w:r>
        <w:rPr>
          <w:rFonts w:hint="eastAsia"/>
          <w:sz w:val="24"/>
          <w:szCs w:val="24"/>
        </w:rPr>
        <w:t>评标委员会成员签字：</w:t>
      </w:r>
      <w:r>
        <w:rPr>
          <w:sz w:val="24"/>
          <w:szCs w:val="24"/>
        </w:rPr>
        <w:t>____________________________</w:t>
      </w:r>
    </w:p>
    <w:p>
      <w:pPr>
        <w:spacing w:line="360" w:lineRule="auto"/>
        <w:rPr>
          <w:sz w:val="24"/>
          <w:szCs w:val="24"/>
        </w:rPr>
      </w:pPr>
      <w:r>
        <w:rPr>
          <w:sz w:val="24"/>
          <w:szCs w:val="24"/>
        </w:rPr>
        <w:t xml:space="preserve">   </w:t>
      </w:r>
    </w:p>
    <w:p>
      <w:pPr>
        <w:spacing w:line="360" w:lineRule="auto"/>
        <w:jc w:val="right"/>
        <w:rPr>
          <w:sz w:val="24"/>
          <w:szCs w:val="24"/>
        </w:rPr>
        <w:sectPr>
          <w:pgSz w:w="11906" w:h="16838"/>
          <w:pgMar w:top="1417" w:right="1417" w:bottom="1417" w:left="1417" w:header="851" w:footer="850" w:gutter="0"/>
          <w:cols w:space="720" w:num="1"/>
          <w:docGrid w:type="lines" w:linePitch="312" w:charSpace="0"/>
        </w:sectPr>
      </w:pPr>
      <w:r>
        <w:rPr>
          <w:sz w:val="24"/>
          <w:szCs w:val="24"/>
        </w:rPr>
        <w:t xml:space="preserve">     _______</w:t>
      </w:r>
      <w:r>
        <w:rPr>
          <w:rFonts w:hint="eastAsia"/>
          <w:sz w:val="24"/>
          <w:szCs w:val="24"/>
        </w:rPr>
        <w:t>年</w:t>
      </w:r>
      <w:r>
        <w:rPr>
          <w:sz w:val="24"/>
          <w:szCs w:val="24"/>
        </w:rPr>
        <w:t>_______</w:t>
      </w:r>
      <w:r>
        <w:rPr>
          <w:rFonts w:hint="eastAsia"/>
          <w:sz w:val="24"/>
          <w:szCs w:val="24"/>
        </w:rPr>
        <w:t>月</w:t>
      </w:r>
      <w:r>
        <w:rPr>
          <w:sz w:val="24"/>
          <w:szCs w:val="24"/>
        </w:rPr>
        <w:t>_______</w:t>
      </w:r>
      <w:r>
        <w:rPr>
          <w:rFonts w:hint="eastAsia"/>
          <w:sz w:val="24"/>
          <w:szCs w:val="24"/>
        </w:rPr>
        <w:t>日</w:t>
      </w:r>
    </w:p>
    <w:p>
      <w:pPr>
        <w:pStyle w:val="3"/>
        <w:spacing w:line="360" w:lineRule="auto"/>
        <w:ind w:left="0"/>
        <w:rPr>
          <w:sz w:val="24"/>
          <w:szCs w:val="24"/>
        </w:rPr>
      </w:pPr>
      <w:bookmarkStart w:id="32" w:name="_Toc256000058"/>
      <w:r>
        <w:rPr>
          <w:rFonts w:hint="eastAsia"/>
          <w:sz w:val="24"/>
          <w:szCs w:val="24"/>
        </w:rPr>
        <w:t>附表四：中标通知书</w:t>
      </w:r>
      <w:bookmarkEnd w:id="32"/>
    </w:p>
    <w:p>
      <w:pPr>
        <w:spacing w:before="70" w:line="360" w:lineRule="auto"/>
        <w:jc w:val="center"/>
        <w:rPr>
          <w:sz w:val="24"/>
          <w:szCs w:val="24"/>
        </w:rPr>
      </w:pPr>
      <w:r>
        <w:rPr>
          <w:color w:val="0E0E0E"/>
          <w:sz w:val="24"/>
          <w:szCs w:val="24"/>
          <w:lang w:val="en-US"/>
        </w:rPr>
        <w:t xml:space="preserve">                                                           </w:t>
      </w:r>
      <w:r>
        <w:rPr>
          <w:rFonts w:hint="eastAsia"/>
          <w:color w:val="0E0E0E"/>
          <w:sz w:val="24"/>
          <w:szCs w:val="24"/>
        </w:rPr>
        <w:t>中标编号</w:t>
      </w:r>
      <w:r>
        <w:rPr>
          <w:rFonts w:hint="eastAsia"/>
          <w:color w:val="0E0E0E"/>
          <w:w w:val="90"/>
          <w:sz w:val="24"/>
          <w:szCs w:val="24"/>
        </w:rPr>
        <w:t>：</w:t>
      </w:r>
    </w:p>
    <w:p>
      <w:pPr>
        <w:widowControl/>
        <w:spacing w:line="360" w:lineRule="auto"/>
        <w:jc w:val="center"/>
        <w:rPr>
          <w:sz w:val="32"/>
          <w:szCs w:val="32"/>
        </w:rPr>
      </w:pPr>
      <w:r>
        <w:rPr>
          <w:rFonts w:hint="eastAsia"/>
          <w:sz w:val="32"/>
          <w:szCs w:val="32"/>
        </w:rPr>
        <w:t>中标通知书</w:t>
      </w:r>
    </w:p>
    <w:p>
      <w:pPr>
        <w:widowControl/>
        <w:spacing w:line="360" w:lineRule="auto"/>
        <w:jc w:val="center"/>
        <w:rPr>
          <w:sz w:val="24"/>
          <w:szCs w:val="24"/>
        </w:rPr>
      </w:pPr>
      <w:r>
        <w:rPr>
          <w:color w:val="0E0E0E"/>
          <w:sz w:val="24"/>
          <w:szCs w:val="24"/>
          <w:lang w:val="en-US"/>
        </w:rPr>
        <w:t xml:space="preserve">                                                          </w:t>
      </w:r>
      <w:r>
        <w:rPr>
          <w:rFonts w:hint="eastAsia"/>
          <w:color w:val="0E0E0E"/>
          <w:sz w:val="24"/>
          <w:szCs w:val="24"/>
        </w:rPr>
        <w:t>招标编号：</w:t>
      </w:r>
    </w:p>
    <w:p>
      <w:pPr>
        <w:pStyle w:val="18"/>
        <w:autoSpaceDE/>
        <w:autoSpaceDN/>
        <w:spacing w:line="360" w:lineRule="auto"/>
        <w:ind w:firstLine="504" w:firstLineChars="200"/>
        <w:jc w:val="both"/>
        <w:rPr>
          <w:lang w:val="en-US"/>
        </w:rPr>
      </w:pPr>
      <w:r>
        <w:rPr>
          <w:color w:val="0E0E0E"/>
          <w:w w:val="105"/>
          <w:u w:val="single"/>
          <w:lang w:val="en-US"/>
        </w:rPr>
        <w:t xml:space="preserve">                  </w:t>
      </w:r>
    </w:p>
    <w:p>
      <w:pPr>
        <w:pStyle w:val="18"/>
        <w:autoSpaceDE/>
        <w:autoSpaceDN/>
        <w:spacing w:line="360" w:lineRule="auto"/>
        <w:ind w:firstLine="528" w:firstLineChars="200"/>
        <w:jc w:val="both"/>
      </w:pPr>
      <w:r>
        <w:rPr>
          <w:color w:val="0E0E0E"/>
          <w:w w:val="110"/>
          <w:u w:val="single"/>
          <w:lang w:val="en-US"/>
        </w:rPr>
        <w:t xml:space="preserve">          </w:t>
      </w:r>
      <w:r>
        <w:rPr>
          <w:rFonts w:hint="eastAsia"/>
          <w:color w:val="0E0E0E"/>
          <w:w w:val="110"/>
          <w:u w:val="single"/>
          <w:lang w:val="en-US"/>
        </w:rPr>
        <w:t>（招标人名称）</w:t>
      </w:r>
      <w:r>
        <w:rPr>
          <w:color w:val="0E0E0E"/>
          <w:w w:val="110"/>
          <w:u w:val="single"/>
          <w:lang w:val="en-US"/>
        </w:rPr>
        <w:t xml:space="preserve">   </w:t>
      </w:r>
      <w:r>
        <w:rPr>
          <w:rFonts w:hint="eastAsia"/>
          <w:color w:val="0E0E0E"/>
          <w:w w:val="110"/>
        </w:rPr>
        <w:t>的</w:t>
      </w:r>
      <w:r>
        <w:rPr>
          <w:color w:val="0E0E0E"/>
          <w:w w:val="110"/>
          <w:u w:val="single"/>
          <w:lang w:val="en-US"/>
        </w:rPr>
        <w:t xml:space="preserve">            </w:t>
      </w:r>
      <w:r>
        <w:rPr>
          <w:rFonts w:hint="eastAsia"/>
          <w:color w:val="0E0E0E"/>
          <w:w w:val="110"/>
          <w:u w:val="single"/>
          <w:lang w:val="en-US"/>
        </w:rPr>
        <w:t>（项目名称）</w:t>
      </w:r>
      <w:r>
        <w:rPr>
          <w:rFonts w:hint="eastAsia"/>
          <w:color w:val="0E0E0E"/>
          <w:spacing w:val="11"/>
        </w:rPr>
        <w:t>，</w:t>
      </w:r>
      <w:r>
        <w:rPr>
          <w:color w:val="0E0E0E"/>
          <w:spacing w:val="11"/>
        </w:rPr>
        <w:t xml:space="preserve"> </w:t>
      </w:r>
      <w:r>
        <w:rPr>
          <w:rFonts w:hint="eastAsia"/>
          <w:color w:val="0E0E0E"/>
          <w:spacing w:val="11"/>
        </w:rPr>
        <w:t>于</w:t>
      </w:r>
      <w:r>
        <w:rPr>
          <w:color w:val="0E0E0E"/>
          <w:spacing w:val="-4"/>
          <w:w w:val="105"/>
          <w:u w:val="single"/>
          <w:lang w:val="en-US"/>
        </w:rPr>
        <w:t xml:space="preserve">   </w:t>
      </w:r>
      <w:r>
        <w:rPr>
          <w:rFonts w:hint="eastAsia"/>
          <w:color w:val="0E0E0E"/>
          <w:spacing w:val="12"/>
          <w:w w:val="105"/>
        </w:rPr>
        <w:t>年</w:t>
      </w:r>
      <w:r>
        <w:rPr>
          <w:color w:val="0E0E0E"/>
          <w:w w:val="105"/>
          <w:u w:val="single"/>
          <w:lang w:val="en-US"/>
        </w:rPr>
        <w:t xml:space="preserve">  </w:t>
      </w:r>
      <w:r>
        <w:rPr>
          <w:rFonts w:hint="eastAsia"/>
          <w:color w:val="0E0E0E"/>
          <w:w w:val="105"/>
        </w:rPr>
        <w:t>月</w:t>
      </w:r>
      <w:r>
        <w:rPr>
          <w:color w:val="0E0E0E"/>
          <w:spacing w:val="-5"/>
          <w:w w:val="105"/>
          <w:u w:val="single"/>
          <w:lang w:val="en-US"/>
        </w:rPr>
        <w:t xml:space="preserve">  </w:t>
      </w:r>
      <w:r>
        <w:rPr>
          <w:rFonts w:hint="eastAsia"/>
          <w:color w:val="0E0E0E"/>
          <w:spacing w:val="-1"/>
          <w:w w:val="105"/>
        </w:rPr>
        <w:t>日在</w:t>
      </w:r>
      <w:r>
        <w:rPr>
          <w:color w:val="0E0E0E"/>
          <w:spacing w:val="-1"/>
          <w:w w:val="105"/>
          <w:u w:val="single"/>
          <w:lang w:val="en-US"/>
        </w:rPr>
        <w:t xml:space="preserve">      </w:t>
      </w:r>
      <w:r>
        <w:rPr>
          <w:rFonts w:hint="eastAsia"/>
          <w:color w:val="0E0E0E"/>
          <w:spacing w:val="-1"/>
          <w:w w:val="105"/>
        </w:rPr>
        <w:t>公共资源交易中心进行的</w:t>
      </w:r>
      <w:r>
        <w:rPr>
          <w:rFonts w:hint="eastAsia"/>
          <w:color w:val="0E0E0E"/>
          <w:w w:val="105"/>
        </w:rPr>
        <w:t>（公开）招标</w:t>
      </w:r>
      <w:r>
        <w:rPr>
          <w:rFonts w:hint="eastAsia"/>
          <w:color w:val="0E0E0E"/>
        </w:rPr>
        <w:t>，</w:t>
      </w:r>
      <w:r>
        <w:rPr>
          <w:color w:val="0E0E0E"/>
        </w:rPr>
        <w:t xml:space="preserve"> </w:t>
      </w:r>
      <w:r>
        <w:rPr>
          <w:rFonts w:hint="eastAsia"/>
          <w:color w:val="0E0E0E"/>
          <w:spacing w:val="-8"/>
          <w:w w:val="105"/>
        </w:rPr>
        <w:t>现确定你单位为中标人</w:t>
      </w:r>
      <w:r>
        <w:rPr>
          <w:color w:val="0E0E0E"/>
          <w:spacing w:val="-8"/>
          <w:w w:val="105"/>
        </w:rPr>
        <w:t xml:space="preserve"> </w:t>
      </w:r>
      <w:r>
        <w:rPr>
          <w:rFonts w:hint="eastAsia"/>
          <w:color w:val="0E0E0E"/>
          <w:spacing w:val="-4"/>
        </w:rPr>
        <w:t>，中标</w:t>
      </w:r>
      <w:r>
        <w:rPr>
          <w:rFonts w:hint="eastAsia"/>
          <w:color w:val="0E0E0E"/>
          <w:spacing w:val="7"/>
          <w:w w:val="105"/>
        </w:rPr>
        <w:t>价</w:t>
      </w:r>
      <w:r>
        <w:rPr>
          <w:color w:val="0E0E0E"/>
          <w:w w:val="105"/>
          <w:u w:val="single"/>
          <w:lang w:val="en-US"/>
        </w:rPr>
        <w:t xml:space="preserve">     </w:t>
      </w:r>
      <w:r>
        <w:rPr>
          <w:rFonts w:hint="eastAsia"/>
          <w:color w:val="0E0E0E"/>
          <w:spacing w:val="10"/>
          <w:w w:val="105"/>
        </w:rPr>
        <w:t>元</w:t>
      </w:r>
      <w:r>
        <w:rPr>
          <w:rFonts w:hint="eastAsia"/>
          <w:color w:val="0E0E0E"/>
          <w:spacing w:val="2"/>
        </w:rPr>
        <w:t>，建设</w:t>
      </w:r>
      <w:r>
        <w:rPr>
          <w:rFonts w:hint="eastAsia"/>
          <w:color w:val="0E0E0E"/>
          <w:spacing w:val="-5"/>
          <w:w w:val="105"/>
        </w:rPr>
        <w:t>规模</w:t>
      </w:r>
      <w:r>
        <w:rPr>
          <w:rFonts w:hint="eastAsia"/>
          <w:color w:val="0E0E0E"/>
          <w:spacing w:val="-31"/>
        </w:rPr>
        <w:t>：</w:t>
      </w:r>
      <w:r>
        <w:rPr>
          <w:color w:val="0E0E0E"/>
          <w:spacing w:val="-31"/>
        </w:rPr>
        <w:t xml:space="preserve"> </w:t>
      </w:r>
      <w:r>
        <w:rPr>
          <w:color w:val="0E0E0E"/>
          <w:w w:val="105"/>
          <w:u w:val="single"/>
          <w:lang w:val="en-US"/>
        </w:rPr>
        <w:t xml:space="preserve">                    </w:t>
      </w:r>
      <w:r>
        <w:rPr>
          <w:color w:val="0E0E0E"/>
        </w:rPr>
        <w:t xml:space="preserve">, </w:t>
      </w:r>
      <w:r>
        <w:rPr>
          <w:rFonts w:hint="eastAsia"/>
          <w:color w:val="0E0E0E"/>
          <w:w w:val="110"/>
        </w:rPr>
        <w:t>主要建设内容为</w:t>
      </w:r>
      <w:r>
        <w:rPr>
          <w:color w:val="0E0E0E"/>
          <w:w w:val="110"/>
          <w:u w:val="single"/>
          <w:lang w:val="en-US"/>
        </w:rPr>
        <w:t xml:space="preserve">                 </w:t>
      </w:r>
      <w:r>
        <w:rPr>
          <w:rFonts w:hint="eastAsia"/>
          <w:color w:val="0E0E0E"/>
          <w:w w:val="110"/>
        </w:rPr>
        <w:t>。中标工</w:t>
      </w:r>
      <w:r>
        <w:rPr>
          <w:rFonts w:hint="eastAsia"/>
          <w:color w:val="0E0E0E"/>
        </w:rPr>
        <w:t>作内容：</w:t>
      </w:r>
      <w:r>
        <w:rPr>
          <w:color w:val="0E0E0E"/>
          <w:u w:val="single"/>
          <w:lang w:val="en-US"/>
        </w:rPr>
        <w:t xml:space="preserve">                 </w:t>
      </w:r>
      <w:r>
        <w:rPr>
          <w:rFonts w:hint="eastAsia"/>
          <w:color w:val="0E0E0E"/>
        </w:rPr>
        <w:t>。中标工期自</w:t>
      </w:r>
      <w:r>
        <w:rPr>
          <w:color w:val="0E0E0E"/>
          <w:u w:val="single"/>
          <w:lang w:val="en-US"/>
        </w:rPr>
        <w:t xml:space="preserve">    </w:t>
      </w:r>
      <w:r>
        <w:rPr>
          <w:rFonts w:hint="eastAsia"/>
          <w:color w:val="0E0E0E"/>
          <w:spacing w:val="12"/>
        </w:rPr>
        <w:t>年</w:t>
      </w:r>
      <w:r>
        <w:rPr>
          <w:color w:val="0E0E0E"/>
          <w:u w:val="single"/>
          <w:lang w:val="en-US"/>
        </w:rPr>
        <w:t xml:space="preserve">   </w:t>
      </w:r>
      <w:r>
        <w:rPr>
          <w:rFonts w:hint="eastAsia"/>
          <w:color w:val="0E0E0E"/>
          <w:spacing w:val="-18"/>
        </w:rPr>
        <w:t>月</w:t>
      </w:r>
      <w:r>
        <w:rPr>
          <w:color w:val="0E0E0E"/>
          <w:spacing w:val="-4"/>
          <w:u w:val="single"/>
          <w:lang w:val="en-US"/>
        </w:rPr>
        <w:t xml:space="preserve">   </w:t>
      </w:r>
      <w:r>
        <w:rPr>
          <w:rFonts w:hint="eastAsia"/>
          <w:color w:val="0E0E0E"/>
          <w:spacing w:val="2"/>
        </w:rPr>
        <w:t>日开工，</w:t>
      </w:r>
      <w:r>
        <w:rPr>
          <w:color w:val="0E0E0E"/>
          <w:spacing w:val="2"/>
          <w:u w:val="single"/>
          <w:lang w:val="en-US"/>
        </w:rPr>
        <w:t xml:space="preserve">   </w:t>
      </w:r>
      <w:r>
        <w:rPr>
          <w:rFonts w:hint="eastAsia"/>
          <w:color w:val="0E0E0E"/>
          <w:spacing w:val="10"/>
        </w:rPr>
        <w:t>年</w:t>
      </w:r>
      <w:r>
        <w:rPr>
          <w:color w:val="0E0E0E"/>
          <w:spacing w:val="3"/>
          <w:u w:val="single"/>
          <w:lang w:val="en-US"/>
        </w:rPr>
        <w:t xml:space="preserve">   </w:t>
      </w:r>
      <w:r>
        <w:rPr>
          <w:rFonts w:hint="eastAsia"/>
          <w:color w:val="0E0E0E"/>
          <w:spacing w:val="-7"/>
        </w:rPr>
        <w:t>月</w:t>
      </w:r>
      <w:r>
        <w:rPr>
          <w:color w:val="0E0E0E"/>
          <w:spacing w:val="5"/>
          <w:u w:val="single"/>
          <w:lang w:val="en-US"/>
        </w:rPr>
        <w:t xml:space="preserve">   </w:t>
      </w:r>
      <w:r>
        <w:rPr>
          <w:rFonts w:hint="eastAsia"/>
          <w:color w:val="0E0E0E"/>
          <w:spacing w:val="2"/>
        </w:rPr>
        <w:t>日竣工，中标总工期</w:t>
      </w:r>
      <w:r>
        <w:rPr>
          <w:color w:val="0E0E0E"/>
          <w:spacing w:val="-3"/>
          <w:u w:val="single"/>
          <w:lang w:val="en-US"/>
        </w:rPr>
        <w:t xml:space="preserve">    </w:t>
      </w:r>
      <w:r>
        <w:rPr>
          <w:rFonts w:hint="eastAsia"/>
          <w:color w:val="0E0E0E"/>
        </w:rPr>
        <w:t>日历天，工程质量要求符合《工程施工质量验收规范》标准和“投标文件”所承诺的要求。</w:t>
      </w:r>
    </w:p>
    <w:p>
      <w:pPr>
        <w:widowControl/>
        <w:autoSpaceDE/>
        <w:autoSpaceDN/>
        <w:spacing w:line="360" w:lineRule="auto"/>
        <w:jc w:val="center"/>
        <w:rPr>
          <w:sz w:val="24"/>
          <w:szCs w:val="24"/>
        </w:rPr>
      </w:pPr>
    </w:p>
    <w:p>
      <w:pPr>
        <w:widowControl/>
        <w:autoSpaceDE/>
        <w:autoSpaceDN/>
        <w:spacing w:line="360" w:lineRule="auto"/>
        <w:rPr>
          <w:color w:val="0E0E0E"/>
          <w:w w:val="105"/>
          <w:sz w:val="24"/>
          <w:szCs w:val="24"/>
        </w:rPr>
      </w:pPr>
    </w:p>
    <w:p>
      <w:pPr>
        <w:widowControl/>
        <w:autoSpaceDE/>
        <w:autoSpaceDN/>
        <w:spacing w:line="360" w:lineRule="auto"/>
        <w:rPr>
          <w:color w:val="0E0E0E"/>
          <w:w w:val="105"/>
          <w:sz w:val="24"/>
          <w:szCs w:val="24"/>
        </w:rPr>
      </w:pPr>
      <w:r>
        <w:rPr>
          <w:rFonts w:hint="eastAsia"/>
          <w:color w:val="0E0E0E"/>
          <w:w w:val="105"/>
          <w:sz w:val="24"/>
          <w:szCs w:val="24"/>
        </w:rPr>
        <w:t>你单位收到中标通知书后，须在十日内到（建设单位所在地点）与招标人签订施工合同。</w:t>
      </w:r>
    </w:p>
    <w:p>
      <w:pPr>
        <w:widowControl/>
        <w:autoSpaceDE/>
        <w:autoSpaceDN/>
        <w:spacing w:line="360" w:lineRule="auto"/>
        <w:rPr>
          <w:color w:val="0E0E0E"/>
          <w:w w:val="105"/>
          <w:sz w:val="24"/>
          <w:szCs w:val="24"/>
        </w:rPr>
      </w:pPr>
    </w:p>
    <w:p>
      <w:pPr>
        <w:widowControl/>
        <w:autoSpaceDE/>
        <w:autoSpaceDN/>
        <w:spacing w:line="360" w:lineRule="auto"/>
        <w:rPr>
          <w:sz w:val="24"/>
          <w:szCs w:val="24"/>
        </w:rPr>
      </w:pPr>
      <w:r>
        <w:rPr>
          <w:rFonts w:hint="eastAsia"/>
          <w:color w:val="0E0E0E"/>
          <w:w w:val="105"/>
          <w:sz w:val="24"/>
          <w:szCs w:val="24"/>
        </w:rPr>
        <w:t>附：中标企业在投标书中承诺情况一览表</w:t>
      </w:r>
    </w:p>
    <w:p>
      <w:pPr>
        <w:widowControl/>
        <w:spacing w:line="360" w:lineRule="auto"/>
        <w:jc w:val="center"/>
        <w:rPr>
          <w:sz w:val="24"/>
          <w:szCs w:val="24"/>
        </w:rPr>
      </w:pPr>
    </w:p>
    <w:p>
      <w:pPr>
        <w:widowControl/>
        <w:spacing w:line="360" w:lineRule="auto"/>
        <w:jc w:val="center"/>
        <w:rPr>
          <w:sz w:val="24"/>
          <w:szCs w:val="24"/>
        </w:rPr>
      </w:pPr>
    </w:p>
    <w:p>
      <w:pPr>
        <w:widowControl/>
        <w:spacing w:line="360" w:lineRule="auto"/>
        <w:jc w:val="center"/>
        <w:rPr>
          <w:sz w:val="24"/>
          <w:szCs w:val="24"/>
        </w:rPr>
      </w:pPr>
    </w:p>
    <w:p>
      <w:pPr>
        <w:widowControl/>
        <w:spacing w:line="360" w:lineRule="auto"/>
        <w:jc w:val="center"/>
        <w:rPr>
          <w:sz w:val="24"/>
          <w:szCs w:val="24"/>
        </w:rPr>
      </w:pPr>
    </w:p>
    <w:p>
      <w:pPr>
        <w:widowControl/>
        <w:spacing w:line="360" w:lineRule="auto"/>
        <w:jc w:val="center"/>
        <w:rPr>
          <w:sz w:val="24"/>
          <w:szCs w:val="24"/>
        </w:rPr>
      </w:pPr>
    </w:p>
    <w:p>
      <w:pPr>
        <w:pStyle w:val="18"/>
        <w:spacing w:line="360" w:lineRule="auto"/>
        <w:ind w:left="516"/>
      </w:pPr>
      <w:r>
        <w:rPr>
          <w:rFonts w:hint="eastAsia"/>
          <w:color w:val="0E0E0E"/>
          <w:w w:val="115"/>
        </w:rPr>
        <w:t>招标人：（盖章）</w:t>
      </w:r>
    </w:p>
    <w:p>
      <w:pPr>
        <w:pStyle w:val="18"/>
        <w:tabs>
          <w:tab w:val="left" w:pos="2314"/>
          <w:tab w:val="left" w:pos="3757"/>
        </w:tabs>
        <w:spacing w:line="360" w:lineRule="auto"/>
        <w:ind w:firstLine="480" w:firstLineChars="200"/>
        <w:jc w:val="both"/>
        <w:rPr>
          <w:color w:val="0E0E0E"/>
          <w:w w:val="90"/>
        </w:rPr>
      </w:pPr>
      <w:r>
        <w:rPr>
          <w:rFonts w:hint="eastAsia"/>
          <w:color w:val="0E0E0E"/>
        </w:rPr>
        <w:t>法定代表人或其委托代理人：</w:t>
      </w:r>
      <w:r>
        <w:rPr>
          <w:rFonts w:hint="eastAsia"/>
          <w:color w:val="0E0E0E"/>
          <w:w w:val="90"/>
        </w:rPr>
        <w:t>（签字或</w:t>
      </w:r>
      <w:r>
        <w:rPr>
          <w:rFonts w:hint="eastAsia"/>
          <w:color w:val="0E0E0E"/>
          <w:w w:val="115"/>
        </w:rPr>
        <w:t>盖</w:t>
      </w:r>
      <w:r>
        <w:rPr>
          <w:rFonts w:hint="eastAsia"/>
          <w:color w:val="0E0E0E"/>
          <w:w w:val="90"/>
        </w:rPr>
        <w:t>章）</w:t>
      </w:r>
      <w:r>
        <w:rPr>
          <w:color w:val="0E0E0E"/>
          <w:w w:val="90"/>
        </w:rPr>
        <w:t xml:space="preserve"> </w:t>
      </w:r>
    </w:p>
    <w:p>
      <w:pPr>
        <w:pStyle w:val="18"/>
        <w:tabs>
          <w:tab w:val="left" w:pos="2314"/>
          <w:tab w:val="left" w:pos="3757"/>
        </w:tabs>
        <w:spacing w:line="360" w:lineRule="auto"/>
        <w:ind w:left="523" w:right="5566"/>
        <w:jc w:val="both"/>
      </w:pPr>
      <w:r>
        <w:rPr>
          <w:rFonts w:hint="eastAsia"/>
          <w:color w:val="0E0E0E"/>
        </w:rPr>
        <w:t>招标代理机构：（盖章）</w:t>
      </w:r>
    </w:p>
    <w:p>
      <w:pPr>
        <w:pStyle w:val="18"/>
        <w:tabs>
          <w:tab w:val="left" w:pos="3757"/>
        </w:tabs>
        <w:spacing w:line="360" w:lineRule="auto"/>
        <w:ind w:left="523"/>
        <w:jc w:val="both"/>
      </w:pPr>
      <w:r>
        <w:rPr>
          <w:rFonts w:hint="eastAsia"/>
          <w:color w:val="0E0E0E"/>
        </w:rPr>
        <w:t>法定代表人或其委托代理人：（签字或盖章）</w:t>
      </w:r>
    </w:p>
    <w:p>
      <w:pPr>
        <w:spacing w:before="1" w:line="360" w:lineRule="auto"/>
        <w:ind w:right="149"/>
        <w:jc w:val="right"/>
        <w:rPr>
          <w:sz w:val="24"/>
          <w:szCs w:val="24"/>
        </w:rPr>
      </w:pPr>
      <w:r>
        <w:rPr>
          <w:rFonts w:hint="eastAsia"/>
          <w:color w:val="0E0E0E"/>
          <w:sz w:val="24"/>
          <w:szCs w:val="24"/>
        </w:rPr>
        <w:t>日期：</w:t>
      </w:r>
      <w:r>
        <w:rPr>
          <w:color w:val="0E0E0E"/>
          <w:sz w:val="24"/>
          <w:szCs w:val="24"/>
          <w:lang w:val="en-US"/>
        </w:rPr>
        <w:t xml:space="preserve">   </w:t>
      </w:r>
      <w:r>
        <w:rPr>
          <w:rFonts w:hint="eastAsia"/>
          <w:color w:val="232323"/>
          <w:sz w:val="24"/>
          <w:szCs w:val="24"/>
        </w:rPr>
        <w:t>年</w:t>
      </w:r>
      <w:r>
        <w:rPr>
          <w:color w:val="232323"/>
          <w:sz w:val="24"/>
          <w:szCs w:val="24"/>
          <w:lang w:val="en-US"/>
        </w:rPr>
        <w:t xml:space="preserve">   </w:t>
      </w:r>
      <w:r>
        <w:rPr>
          <w:rFonts w:hint="eastAsia"/>
          <w:color w:val="232323"/>
          <w:sz w:val="24"/>
          <w:szCs w:val="24"/>
        </w:rPr>
        <w:t>月</w:t>
      </w:r>
      <w:r>
        <w:rPr>
          <w:color w:val="232323"/>
          <w:sz w:val="24"/>
          <w:szCs w:val="24"/>
          <w:lang w:val="en-US"/>
        </w:rPr>
        <w:t xml:space="preserve">   </w:t>
      </w:r>
      <w:r>
        <w:rPr>
          <w:rFonts w:hint="eastAsia"/>
          <w:color w:val="232323"/>
          <w:sz w:val="24"/>
          <w:szCs w:val="24"/>
        </w:rPr>
        <w:t>日</w:t>
      </w:r>
    </w:p>
    <w:p>
      <w:pPr>
        <w:tabs>
          <w:tab w:val="left" w:pos="1668"/>
        </w:tabs>
        <w:spacing w:line="360" w:lineRule="auto"/>
        <w:ind w:right="803"/>
        <w:jc w:val="center"/>
        <w:rPr>
          <w:b/>
          <w:sz w:val="48"/>
        </w:rPr>
      </w:pPr>
    </w:p>
    <w:p>
      <w:pPr>
        <w:tabs>
          <w:tab w:val="left" w:pos="1668"/>
        </w:tabs>
        <w:spacing w:line="360" w:lineRule="auto"/>
        <w:ind w:right="803"/>
        <w:jc w:val="center"/>
        <w:rPr>
          <w:b/>
          <w:sz w:val="48"/>
        </w:rPr>
      </w:pPr>
    </w:p>
    <w:p>
      <w:pPr>
        <w:tabs>
          <w:tab w:val="left" w:pos="1668"/>
        </w:tabs>
        <w:spacing w:line="360" w:lineRule="auto"/>
        <w:ind w:right="803"/>
        <w:jc w:val="center"/>
        <w:rPr>
          <w:b/>
          <w:sz w:val="48"/>
        </w:rPr>
      </w:pPr>
    </w:p>
    <w:p>
      <w:pPr>
        <w:tabs>
          <w:tab w:val="left" w:pos="1668"/>
        </w:tabs>
        <w:spacing w:line="360" w:lineRule="auto"/>
        <w:ind w:right="803"/>
        <w:jc w:val="center"/>
        <w:rPr>
          <w:b/>
          <w:sz w:val="48"/>
        </w:rPr>
      </w:pPr>
    </w:p>
    <w:p>
      <w:pPr>
        <w:tabs>
          <w:tab w:val="left" w:pos="1668"/>
        </w:tabs>
        <w:spacing w:line="360" w:lineRule="auto"/>
        <w:ind w:right="803"/>
        <w:jc w:val="center"/>
        <w:rPr>
          <w:b/>
          <w:sz w:val="48"/>
        </w:rPr>
      </w:pPr>
    </w:p>
    <w:p>
      <w:pPr>
        <w:tabs>
          <w:tab w:val="left" w:pos="1668"/>
        </w:tabs>
        <w:spacing w:line="360" w:lineRule="auto"/>
        <w:ind w:right="803"/>
        <w:jc w:val="center"/>
        <w:rPr>
          <w:b/>
          <w:sz w:val="48"/>
        </w:rPr>
      </w:pPr>
    </w:p>
    <w:p>
      <w:pPr>
        <w:tabs>
          <w:tab w:val="left" w:pos="1668"/>
        </w:tabs>
        <w:spacing w:line="360" w:lineRule="auto"/>
        <w:ind w:right="803"/>
        <w:jc w:val="center"/>
        <w:rPr>
          <w:b/>
          <w:sz w:val="48"/>
        </w:rPr>
      </w:pPr>
      <w:r>
        <w:rPr>
          <w:rFonts w:hint="eastAsia"/>
          <w:b/>
          <w:sz w:val="48"/>
        </w:rPr>
        <w:t>第三章</w:t>
      </w:r>
      <w:r>
        <w:rPr>
          <w:b/>
          <w:sz w:val="48"/>
        </w:rPr>
        <w:tab/>
      </w:r>
      <w:r>
        <w:rPr>
          <w:rFonts w:hint="eastAsia"/>
          <w:b/>
          <w:sz w:val="48"/>
        </w:rPr>
        <w:t>评标办法</w:t>
      </w:r>
    </w:p>
    <w:p>
      <w:pPr>
        <w:spacing w:line="360" w:lineRule="auto"/>
        <w:jc w:val="center"/>
        <w:rPr>
          <w:sz w:val="48"/>
        </w:rPr>
        <w:sectPr>
          <w:footerReference r:id="rId10" w:type="default"/>
          <w:pgSz w:w="11910" w:h="16850"/>
          <w:pgMar w:top="1361" w:right="1361" w:bottom="1361" w:left="1361" w:header="0" w:footer="796" w:gutter="0"/>
          <w:cols w:space="720" w:num="1"/>
        </w:sectPr>
      </w:pPr>
    </w:p>
    <w:p>
      <w:pPr>
        <w:widowControl/>
        <w:spacing w:line="360" w:lineRule="auto"/>
        <w:jc w:val="center"/>
        <w:rPr>
          <w:b/>
        </w:rPr>
      </w:pPr>
      <w:r>
        <w:rPr>
          <w:rFonts w:hint="eastAsia"/>
          <w:sz w:val="32"/>
          <w:szCs w:val="32"/>
        </w:rPr>
        <w:t>□</w:t>
      </w:r>
      <w:r>
        <w:rPr>
          <w:sz w:val="32"/>
          <w:szCs w:val="32"/>
        </w:rPr>
        <w:t xml:space="preserve"> </w:t>
      </w:r>
      <w:r>
        <w:rPr>
          <w:rFonts w:hint="eastAsia"/>
          <w:sz w:val="32"/>
          <w:szCs w:val="32"/>
        </w:rPr>
        <w:t>第三章</w:t>
      </w:r>
      <w:r>
        <w:rPr>
          <w:sz w:val="24"/>
          <w:szCs w:val="24"/>
        </w:rPr>
        <w:t xml:space="preserve"> </w:t>
      </w:r>
      <w:r>
        <w:rPr>
          <w:rFonts w:hint="eastAsia"/>
          <w:sz w:val="32"/>
          <w:szCs w:val="32"/>
        </w:rPr>
        <w:t>评标办法（综合评估法）</w:t>
      </w:r>
    </w:p>
    <w:p>
      <w:pPr>
        <w:pStyle w:val="4"/>
        <w:spacing w:line="360" w:lineRule="auto"/>
        <w:jc w:val="center"/>
        <w:rPr>
          <w:rFonts w:ascii="宋体" w:hAnsi="宋体" w:eastAsia="宋体" w:cs="宋体"/>
          <w:sz w:val="24"/>
          <w:szCs w:val="24"/>
        </w:rPr>
      </w:pPr>
      <w:r>
        <w:rPr>
          <w:rFonts w:hint="eastAsia" w:ascii="宋体" w:hAnsi="宋体" w:eastAsia="宋体" w:cs="宋体"/>
          <w:sz w:val="24"/>
          <w:szCs w:val="24"/>
        </w:rPr>
        <w:t>评标办法前附表</w:t>
      </w:r>
    </w:p>
    <w:tbl>
      <w:tblPr>
        <w:tblStyle w:val="36"/>
        <w:tblW w:w="92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851"/>
        <w:gridCol w:w="1842"/>
        <w:gridCol w:w="52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2127" w:type="dxa"/>
            <w:gridSpan w:val="2"/>
            <w:vAlign w:val="center"/>
          </w:tcPr>
          <w:p>
            <w:pPr>
              <w:spacing w:line="360" w:lineRule="auto"/>
              <w:jc w:val="center"/>
              <w:rPr>
                <w:b/>
                <w:sz w:val="24"/>
                <w:szCs w:val="24"/>
              </w:rPr>
            </w:pPr>
            <w:r>
              <w:rPr>
                <w:rFonts w:hint="eastAsia"/>
                <w:b/>
                <w:sz w:val="24"/>
                <w:szCs w:val="24"/>
              </w:rPr>
              <w:t>条款号</w:t>
            </w:r>
          </w:p>
        </w:tc>
        <w:tc>
          <w:tcPr>
            <w:tcW w:w="1842" w:type="dxa"/>
            <w:vAlign w:val="center"/>
          </w:tcPr>
          <w:p>
            <w:pPr>
              <w:spacing w:line="360" w:lineRule="auto"/>
              <w:jc w:val="center"/>
              <w:rPr>
                <w:b/>
                <w:sz w:val="24"/>
                <w:szCs w:val="24"/>
              </w:rPr>
            </w:pPr>
            <w:r>
              <w:rPr>
                <w:rFonts w:hint="eastAsia"/>
                <w:b/>
                <w:sz w:val="24"/>
                <w:szCs w:val="24"/>
              </w:rPr>
              <w:t>评审因素</w:t>
            </w:r>
          </w:p>
        </w:tc>
        <w:tc>
          <w:tcPr>
            <w:tcW w:w="5240" w:type="dxa"/>
            <w:vAlign w:val="center"/>
          </w:tcPr>
          <w:p>
            <w:pPr>
              <w:spacing w:line="360" w:lineRule="auto"/>
              <w:jc w:val="center"/>
              <w:rPr>
                <w:b/>
                <w:sz w:val="24"/>
                <w:szCs w:val="24"/>
              </w:rPr>
            </w:pPr>
            <w:r>
              <w:rPr>
                <w:rFonts w:hint="eastAsia"/>
                <w:b/>
                <w:sz w:val="24"/>
                <w:szCs w:val="24"/>
              </w:rPr>
              <w:t>评审标准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1" w:hRule="atLeast"/>
          <w:jc w:val="center"/>
        </w:trPr>
        <w:tc>
          <w:tcPr>
            <w:tcW w:w="1276" w:type="dxa"/>
            <w:vMerge w:val="restart"/>
            <w:vAlign w:val="center"/>
          </w:tcPr>
          <w:p>
            <w:pPr>
              <w:spacing w:line="360" w:lineRule="auto"/>
              <w:jc w:val="center"/>
              <w:rPr>
                <w:sz w:val="24"/>
                <w:szCs w:val="24"/>
              </w:rPr>
            </w:pPr>
            <w:r>
              <w:rPr>
                <w:sz w:val="24"/>
                <w:szCs w:val="24"/>
              </w:rPr>
              <w:t>2.1.1</w:t>
            </w:r>
          </w:p>
        </w:tc>
        <w:tc>
          <w:tcPr>
            <w:tcW w:w="851" w:type="dxa"/>
            <w:vMerge w:val="restart"/>
            <w:vAlign w:val="center"/>
          </w:tcPr>
          <w:p>
            <w:pPr>
              <w:spacing w:line="360" w:lineRule="auto"/>
              <w:jc w:val="center"/>
              <w:rPr>
                <w:sz w:val="24"/>
                <w:szCs w:val="24"/>
              </w:rPr>
            </w:pPr>
            <w:r>
              <w:rPr>
                <w:rFonts w:hint="eastAsia"/>
                <w:sz w:val="24"/>
                <w:szCs w:val="24"/>
              </w:rPr>
              <w:t>形式评审标准</w:t>
            </w:r>
          </w:p>
        </w:tc>
        <w:tc>
          <w:tcPr>
            <w:tcW w:w="1842" w:type="dxa"/>
            <w:vAlign w:val="center"/>
          </w:tcPr>
          <w:p>
            <w:pPr>
              <w:spacing w:line="360" w:lineRule="auto"/>
              <w:jc w:val="center"/>
              <w:rPr>
                <w:sz w:val="24"/>
                <w:szCs w:val="24"/>
              </w:rPr>
            </w:pPr>
            <w:r>
              <w:rPr>
                <w:rFonts w:hint="eastAsia"/>
                <w:sz w:val="24"/>
                <w:szCs w:val="24"/>
              </w:rPr>
              <w:t>投标人名称</w:t>
            </w:r>
          </w:p>
        </w:tc>
        <w:tc>
          <w:tcPr>
            <w:tcW w:w="5240" w:type="dxa"/>
            <w:vAlign w:val="center"/>
          </w:tcPr>
          <w:p>
            <w:pPr>
              <w:spacing w:line="360" w:lineRule="auto"/>
              <w:rPr>
                <w:sz w:val="24"/>
                <w:szCs w:val="24"/>
              </w:rPr>
            </w:pPr>
            <w:r>
              <w:rPr>
                <w:rFonts w:hint="eastAsia"/>
                <w:sz w:val="24"/>
                <w:szCs w:val="24"/>
              </w:rPr>
              <w:t>与营业执照、资质证书、安全生产许可证一致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4"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投标文件格式</w:t>
            </w:r>
          </w:p>
        </w:tc>
        <w:tc>
          <w:tcPr>
            <w:tcW w:w="5240" w:type="dxa"/>
            <w:vAlign w:val="center"/>
          </w:tcPr>
          <w:p>
            <w:pPr>
              <w:spacing w:line="360" w:lineRule="auto"/>
              <w:rPr>
                <w:sz w:val="24"/>
                <w:szCs w:val="24"/>
              </w:rPr>
            </w:pPr>
            <w:r>
              <w:rPr>
                <w:rFonts w:hint="eastAsia"/>
                <w:sz w:val="24"/>
                <w:szCs w:val="24"/>
              </w:rPr>
              <w:t>符合第八章“投标文件格式”的要求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签字、盖章</w:t>
            </w:r>
          </w:p>
        </w:tc>
        <w:tc>
          <w:tcPr>
            <w:tcW w:w="5240" w:type="dxa"/>
            <w:vAlign w:val="center"/>
          </w:tcPr>
          <w:p>
            <w:pPr>
              <w:spacing w:line="360" w:lineRule="auto"/>
              <w:rPr>
                <w:sz w:val="24"/>
                <w:szCs w:val="24"/>
              </w:rPr>
            </w:pPr>
            <w:r>
              <w:rPr>
                <w:rFonts w:hint="eastAsia"/>
                <w:sz w:val="24"/>
                <w:szCs w:val="24"/>
              </w:rPr>
              <w:t>符合第二章“投标人须知”第</w:t>
            </w:r>
            <w:r>
              <w:rPr>
                <w:color w:val="4BACC6"/>
                <w:sz w:val="24"/>
                <w:szCs w:val="24"/>
              </w:rPr>
              <w:t xml:space="preserve"> </w:t>
            </w:r>
            <w:r>
              <w:rPr>
                <w:sz w:val="24"/>
                <w:szCs w:val="24"/>
              </w:rPr>
              <w:t>3.7.</w:t>
            </w:r>
            <w:r>
              <w:rPr>
                <w:sz w:val="24"/>
                <w:szCs w:val="24"/>
                <w:lang w:val="en-US"/>
              </w:rPr>
              <w:t>2</w:t>
            </w:r>
            <w:r>
              <w:rPr>
                <w:sz w:val="24"/>
                <w:szCs w:val="24"/>
              </w:rPr>
              <w:t xml:space="preserve"> </w:t>
            </w:r>
            <w:r>
              <w:rPr>
                <w:rFonts w:hint="eastAsia"/>
                <w:sz w:val="24"/>
                <w:szCs w:val="24"/>
              </w:rPr>
              <w:t>项要求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联合体投标人</w:t>
            </w:r>
          </w:p>
        </w:tc>
        <w:tc>
          <w:tcPr>
            <w:tcW w:w="5240" w:type="dxa"/>
            <w:vAlign w:val="center"/>
          </w:tcPr>
          <w:p>
            <w:pPr>
              <w:spacing w:line="360" w:lineRule="auto"/>
              <w:rPr>
                <w:sz w:val="24"/>
                <w:szCs w:val="24"/>
              </w:rPr>
            </w:pPr>
            <w:r>
              <w:rPr>
                <w:rFonts w:hint="eastAsia"/>
                <w:sz w:val="24"/>
                <w:szCs w:val="24"/>
              </w:rPr>
              <w:t>提交联合体协议书，并明确联合体牵头人（如有）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5"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报价唯一</w:t>
            </w:r>
          </w:p>
        </w:tc>
        <w:tc>
          <w:tcPr>
            <w:tcW w:w="5240" w:type="dxa"/>
            <w:vAlign w:val="center"/>
          </w:tcPr>
          <w:p>
            <w:pPr>
              <w:spacing w:line="360" w:lineRule="auto"/>
              <w:rPr>
                <w:sz w:val="24"/>
                <w:szCs w:val="24"/>
              </w:rPr>
            </w:pPr>
            <w:r>
              <w:rPr>
                <w:rFonts w:hint="eastAsia"/>
                <w:sz w:val="24"/>
                <w:szCs w:val="24"/>
              </w:rPr>
              <w:t>只能有一个有效报价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5"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备选投标</w:t>
            </w:r>
          </w:p>
          <w:p>
            <w:pPr>
              <w:spacing w:line="360" w:lineRule="auto"/>
              <w:jc w:val="center"/>
              <w:rPr>
                <w:sz w:val="24"/>
                <w:szCs w:val="24"/>
              </w:rPr>
            </w:pPr>
            <w:r>
              <w:rPr>
                <w:rFonts w:hint="eastAsia"/>
                <w:sz w:val="24"/>
                <w:szCs w:val="24"/>
              </w:rPr>
              <w:t>方案</w:t>
            </w:r>
            <w:r>
              <w:rPr>
                <w:sz w:val="24"/>
                <w:szCs w:val="24"/>
              </w:rPr>
              <w:t xml:space="preserve"> </w:t>
            </w:r>
          </w:p>
        </w:tc>
        <w:tc>
          <w:tcPr>
            <w:tcW w:w="5240" w:type="dxa"/>
            <w:vAlign w:val="center"/>
          </w:tcPr>
          <w:p>
            <w:pPr>
              <w:spacing w:line="360" w:lineRule="auto"/>
              <w:rPr>
                <w:sz w:val="24"/>
                <w:szCs w:val="24"/>
              </w:rPr>
            </w:pPr>
            <w:r>
              <w:rPr>
                <w:rFonts w:hint="eastAsia"/>
                <w:sz w:val="24"/>
                <w:szCs w:val="24"/>
              </w:rPr>
              <w:t>除招标文件明确允许提交备选投标方案外，投标人不得提交备选投标方案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w:t>
            </w:r>
          </w:p>
        </w:tc>
        <w:tc>
          <w:tcPr>
            <w:tcW w:w="5240" w:type="dxa"/>
            <w:vAlign w:val="center"/>
          </w:tcPr>
          <w:p>
            <w:pPr>
              <w:spacing w:line="360" w:lineRule="auto"/>
              <w:jc w:val="center"/>
              <w:rPr>
                <w:sz w:val="24"/>
                <w:szCs w:val="24"/>
              </w:rPr>
            </w:pPr>
            <w:r>
              <w:rPr>
                <w:rFonts w:hint="eastAsia"/>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restart"/>
            <w:vAlign w:val="center"/>
          </w:tcPr>
          <w:p>
            <w:pPr>
              <w:spacing w:line="360" w:lineRule="auto"/>
              <w:jc w:val="center"/>
              <w:rPr>
                <w:sz w:val="24"/>
                <w:szCs w:val="24"/>
              </w:rPr>
            </w:pPr>
            <w:r>
              <w:rPr>
                <w:sz w:val="24"/>
                <w:szCs w:val="24"/>
              </w:rPr>
              <w:t>2.1.2</w:t>
            </w:r>
          </w:p>
        </w:tc>
        <w:tc>
          <w:tcPr>
            <w:tcW w:w="851" w:type="dxa"/>
            <w:vMerge w:val="restart"/>
            <w:vAlign w:val="center"/>
          </w:tcPr>
          <w:p>
            <w:pPr>
              <w:spacing w:line="360" w:lineRule="auto"/>
              <w:jc w:val="center"/>
              <w:rPr>
                <w:sz w:val="24"/>
                <w:szCs w:val="24"/>
              </w:rPr>
            </w:pPr>
            <w:r>
              <w:rPr>
                <w:rFonts w:hint="eastAsia"/>
                <w:sz w:val="24"/>
                <w:szCs w:val="24"/>
              </w:rPr>
              <w:t>资格评审标准</w:t>
            </w:r>
          </w:p>
        </w:tc>
        <w:tc>
          <w:tcPr>
            <w:tcW w:w="1842" w:type="dxa"/>
            <w:vAlign w:val="center"/>
          </w:tcPr>
          <w:p>
            <w:pPr>
              <w:spacing w:line="360" w:lineRule="auto"/>
              <w:jc w:val="center"/>
              <w:rPr>
                <w:sz w:val="24"/>
                <w:szCs w:val="24"/>
              </w:rPr>
            </w:pPr>
            <w:r>
              <w:rPr>
                <w:rFonts w:hint="eastAsia"/>
                <w:sz w:val="24"/>
                <w:szCs w:val="24"/>
              </w:rPr>
              <w:t>营业执照</w:t>
            </w:r>
          </w:p>
        </w:tc>
        <w:tc>
          <w:tcPr>
            <w:tcW w:w="5240" w:type="dxa"/>
            <w:vAlign w:val="center"/>
          </w:tcPr>
          <w:p>
            <w:pPr>
              <w:spacing w:line="360" w:lineRule="auto"/>
              <w:rPr>
                <w:sz w:val="24"/>
                <w:szCs w:val="24"/>
              </w:rPr>
            </w:pPr>
            <w:r>
              <w:rPr>
                <w:rFonts w:hint="eastAsia"/>
                <w:sz w:val="24"/>
                <w:szCs w:val="24"/>
              </w:rPr>
              <w:t>具备有效的营业执照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安全生产</w:t>
            </w:r>
          </w:p>
          <w:p>
            <w:pPr>
              <w:spacing w:line="360" w:lineRule="auto"/>
              <w:jc w:val="center"/>
              <w:rPr>
                <w:sz w:val="24"/>
                <w:szCs w:val="24"/>
              </w:rPr>
            </w:pPr>
            <w:r>
              <w:rPr>
                <w:rFonts w:hint="eastAsia"/>
                <w:sz w:val="24"/>
                <w:szCs w:val="24"/>
              </w:rPr>
              <w:t>许可证</w:t>
            </w:r>
          </w:p>
        </w:tc>
        <w:tc>
          <w:tcPr>
            <w:tcW w:w="5240" w:type="dxa"/>
            <w:vAlign w:val="center"/>
          </w:tcPr>
          <w:p>
            <w:pPr>
              <w:spacing w:line="360" w:lineRule="auto"/>
              <w:rPr>
                <w:sz w:val="24"/>
                <w:szCs w:val="24"/>
              </w:rPr>
            </w:pPr>
            <w:r>
              <w:rPr>
                <w:rFonts w:hint="eastAsia"/>
                <w:sz w:val="24"/>
                <w:szCs w:val="24"/>
              </w:rPr>
              <w:t>具备有效的安全生产许可证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资质等级</w:t>
            </w:r>
          </w:p>
        </w:tc>
        <w:tc>
          <w:tcPr>
            <w:tcW w:w="5240" w:type="dxa"/>
            <w:vAlign w:val="center"/>
          </w:tcPr>
          <w:p>
            <w:pPr>
              <w:spacing w:line="360" w:lineRule="auto"/>
              <w:rPr>
                <w:sz w:val="24"/>
                <w:szCs w:val="24"/>
              </w:rPr>
            </w:pPr>
            <w:r>
              <w:rPr>
                <w:rFonts w:hint="eastAsia"/>
                <w:sz w:val="24"/>
                <w:szCs w:val="24"/>
              </w:rPr>
              <w:t>符合第二章“投标人须知”第</w:t>
            </w:r>
            <w:r>
              <w:rPr>
                <w:sz w:val="24"/>
                <w:szCs w:val="24"/>
              </w:rPr>
              <w:t xml:space="preserve"> 1.4.1  </w:t>
            </w:r>
            <w:r>
              <w:rPr>
                <w:rFonts w:hint="eastAsia"/>
                <w:sz w:val="24"/>
                <w:szCs w:val="24"/>
              </w:rPr>
              <w:t>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财务状况</w:t>
            </w:r>
          </w:p>
        </w:tc>
        <w:tc>
          <w:tcPr>
            <w:tcW w:w="5240" w:type="dxa"/>
            <w:vAlign w:val="center"/>
          </w:tcPr>
          <w:p>
            <w:pPr>
              <w:spacing w:line="360" w:lineRule="auto"/>
              <w:rPr>
                <w:sz w:val="24"/>
                <w:szCs w:val="24"/>
              </w:rPr>
            </w:pPr>
            <w:r>
              <w:rPr>
                <w:rFonts w:hint="eastAsia"/>
                <w:sz w:val="24"/>
                <w:szCs w:val="24"/>
              </w:rPr>
              <w:t>符合第二章“投标人须知”第</w:t>
            </w:r>
            <w:r>
              <w:rPr>
                <w:sz w:val="24"/>
                <w:szCs w:val="24"/>
              </w:rPr>
              <w:t xml:space="preserve"> 1.4.1  </w:t>
            </w:r>
            <w:r>
              <w:rPr>
                <w:rFonts w:hint="eastAsia"/>
                <w:sz w:val="24"/>
                <w:szCs w:val="24"/>
              </w:rPr>
              <w:t>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类似项目业绩</w:t>
            </w:r>
          </w:p>
        </w:tc>
        <w:tc>
          <w:tcPr>
            <w:tcW w:w="5240" w:type="dxa"/>
            <w:vAlign w:val="center"/>
          </w:tcPr>
          <w:p>
            <w:pPr>
              <w:spacing w:line="360" w:lineRule="auto"/>
              <w:rPr>
                <w:sz w:val="24"/>
                <w:szCs w:val="24"/>
              </w:rPr>
            </w:pPr>
            <w:r>
              <w:rPr>
                <w:rFonts w:hint="eastAsia"/>
                <w:sz w:val="24"/>
                <w:szCs w:val="24"/>
              </w:rPr>
              <w:t>符合第二章“投标人须知”第</w:t>
            </w:r>
            <w:r>
              <w:rPr>
                <w:sz w:val="24"/>
                <w:szCs w:val="24"/>
              </w:rPr>
              <w:t xml:space="preserve"> 1.4.1  </w:t>
            </w:r>
            <w:r>
              <w:rPr>
                <w:rFonts w:hint="eastAsia"/>
                <w:sz w:val="24"/>
                <w:szCs w:val="24"/>
              </w:rPr>
              <w:t>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信誉</w:t>
            </w:r>
          </w:p>
        </w:tc>
        <w:tc>
          <w:tcPr>
            <w:tcW w:w="5240" w:type="dxa"/>
            <w:vAlign w:val="center"/>
          </w:tcPr>
          <w:p>
            <w:pPr>
              <w:spacing w:line="360" w:lineRule="auto"/>
              <w:rPr>
                <w:sz w:val="24"/>
                <w:szCs w:val="24"/>
              </w:rPr>
            </w:pPr>
            <w:r>
              <w:rPr>
                <w:rFonts w:hint="eastAsia"/>
                <w:sz w:val="24"/>
                <w:szCs w:val="24"/>
              </w:rPr>
              <w:t>符合第二章“投标人须知”第</w:t>
            </w:r>
            <w:r>
              <w:rPr>
                <w:sz w:val="24"/>
                <w:szCs w:val="24"/>
              </w:rPr>
              <w:t xml:space="preserve"> 1.4.1  </w:t>
            </w:r>
            <w:r>
              <w:rPr>
                <w:rFonts w:hint="eastAsia"/>
                <w:sz w:val="24"/>
                <w:szCs w:val="24"/>
              </w:rPr>
              <w:t>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项目经理</w:t>
            </w:r>
          </w:p>
        </w:tc>
        <w:tc>
          <w:tcPr>
            <w:tcW w:w="5240" w:type="dxa"/>
            <w:vAlign w:val="center"/>
          </w:tcPr>
          <w:p>
            <w:pPr>
              <w:spacing w:line="360" w:lineRule="auto"/>
              <w:rPr>
                <w:sz w:val="24"/>
                <w:szCs w:val="24"/>
              </w:rPr>
            </w:pPr>
            <w:r>
              <w:rPr>
                <w:rFonts w:hint="eastAsia"/>
                <w:sz w:val="24"/>
                <w:szCs w:val="24"/>
              </w:rPr>
              <w:t>符合第二章“投标人须知”第</w:t>
            </w:r>
            <w:r>
              <w:rPr>
                <w:sz w:val="24"/>
                <w:szCs w:val="24"/>
              </w:rPr>
              <w:t xml:space="preserve"> 1.4.1  </w:t>
            </w:r>
            <w:r>
              <w:rPr>
                <w:rFonts w:hint="eastAsia"/>
                <w:sz w:val="24"/>
                <w:szCs w:val="24"/>
              </w:rPr>
              <w:t>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技术负责人</w:t>
            </w:r>
          </w:p>
        </w:tc>
        <w:tc>
          <w:tcPr>
            <w:tcW w:w="5240" w:type="dxa"/>
            <w:vAlign w:val="center"/>
          </w:tcPr>
          <w:p>
            <w:pPr>
              <w:spacing w:line="360" w:lineRule="auto"/>
              <w:rPr>
                <w:sz w:val="24"/>
                <w:szCs w:val="24"/>
              </w:rPr>
            </w:pPr>
            <w:r>
              <w:rPr>
                <w:rFonts w:hint="eastAsia"/>
                <w:sz w:val="24"/>
                <w:szCs w:val="24"/>
              </w:rPr>
              <w:t>符合第二章“投标人须知”第</w:t>
            </w:r>
            <w:r>
              <w:rPr>
                <w:sz w:val="24"/>
                <w:szCs w:val="24"/>
              </w:rPr>
              <w:t xml:space="preserve"> 1.4.1  </w:t>
            </w:r>
            <w:r>
              <w:rPr>
                <w:rFonts w:hint="eastAsia"/>
                <w:sz w:val="24"/>
                <w:szCs w:val="24"/>
              </w:rPr>
              <w:t>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其他要求</w:t>
            </w:r>
          </w:p>
        </w:tc>
        <w:tc>
          <w:tcPr>
            <w:tcW w:w="5240" w:type="dxa"/>
            <w:vAlign w:val="center"/>
          </w:tcPr>
          <w:p>
            <w:pPr>
              <w:spacing w:line="360" w:lineRule="auto"/>
              <w:rPr>
                <w:sz w:val="24"/>
                <w:szCs w:val="24"/>
              </w:rPr>
            </w:pPr>
            <w:r>
              <w:rPr>
                <w:rFonts w:hint="eastAsia"/>
                <w:sz w:val="24"/>
                <w:szCs w:val="24"/>
              </w:rPr>
              <w:t>符合第二章“投标人须知”第</w:t>
            </w:r>
            <w:r>
              <w:rPr>
                <w:sz w:val="24"/>
                <w:szCs w:val="24"/>
              </w:rPr>
              <w:t xml:space="preserve"> 1.4.1  </w:t>
            </w:r>
            <w:r>
              <w:rPr>
                <w:rFonts w:hint="eastAsia"/>
                <w:sz w:val="24"/>
                <w:szCs w:val="24"/>
              </w:rPr>
              <w:t>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联合体投标人</w:t>
            </w:r>
          </w:p>
        </w:tc>
        <w:tc>
          <w:tcPr>
            <w:tcW w:w="5240" w:type="dxa"/>
            <w:vAlign w:val="center"/>
          </w:tcPr>
          <w:p>
            <w:pPr>
              <w:spacing w:line="360" w:lineRule="auto"/>
              <w:rPr>
                <w:sz w:val="24"/>
                <w:szCs w:val="24"/>
              </w:rPr>
            </w:pPr>
            <w:r>
              <w:rPr>
                <w:rFonts w:hint="eastAsia"/>
                <w:sz w:val="24"/>
                <w:szCs w:val="24"/>
              </w:rPr>
              <w:t>符合第二章“投标人须知”第</w:t>
            </w:r>
            <w:r>
              <w:rPr>
                <w:sz w:val="24"/>
                <w:szCs w:val="24"/>
              </w:rPr>
              <w:t xml:space="preserve"> 1.4.2  </w:t>
            </w:r>
            <w:r>
              <w:rPr>
                <w:rFonts w:hint="eastAsia"/>
                <w:sz w:val="24"/>
                <w:szCs w:val="24"/>
              </w:rPr>
              <w:t>项规定（如有）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投标要求</w:t>
            </w:r>
          </w:p>
        </w:tc>
        <w:tc>
          <w:tcPr>
            <w:tcW w:w="5240" w:type="dxa"/>
            <w:vAlign w:val="center"/>
          </w:tcPr>
          <w:p>
            <w:pPr>
              <w:spacing w:line="360" w:lineRule="auto"/>
              <w:rPr>
                <w:sz w:val="24"/>
                <w:szCs w:val="24"/>
              </w:rPr>
            </w:pPr>
            <w:r>
              <w:rPr>
                <w:rFonts w:hint="eastAsia"/>
                <w:sz w:val="24"/>
                <w:szCs w:val="24"/>
              </w:rPr>
              <w:t>不存在本章第</w:t>
            </w:r>
            <w:r>
              <w:rPr>
                <w:sz w:val="24"/>
                <w:szCs w:val="24"/>
              </w:rPr>
              <w:t xml:space="preserve"> 3.1.2 </w:t>
            </w:r>
            <w:r>
              <w:rPr>
                <w:rFonts w:hint="eastAsia"/>
                <w:sz w:val="24"/>
                <w:szCs w:val="24"/>
              </w:rPr>
              <w:t>项任何一种情形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w:t>
            </w:r>
          </w:p>
        </w:tc>
        <w:tc>
          <w:tcPr>
            <w:tcW w:w="5240" w:type="dxa"/>
            <w:vAlign w:val="center"/>
          </w:tcPr>
          <w:p>
            <w:pPr>
              <w:spacing w:line="360" w:lineRule="auto"/>
              <w:jc w:val="center"/>
              <w:rPr>
                <w:sz w:val="24"/>
                <w:szCs w:val="24"/>
              </w:rPr>
            </w:pPr>
            <w:r>
              <w:rPr>
                <w:rFonts w:hint="eastAsia"/>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1276" w:type="dxa"/>
            <w:vMerge w:val="restart"/>
            <w:vAlign w:val="center"/>
          </w:tcPr>
          <w:p>
            <w:pPr>
              <w:spacing w:line="360" w:lineRule="auto"/>
              <w:rPr>
                <w:sz w:val="24"/>
                <w:szCs w:val="24"/>
              </w:rPr>
            </w:pPr>
            <w:r>
              <w:rPr>
                <w:sz w:val="24"/>
                <w:szCs w:val="24"/>
              </w:rPr>
              <w:t>2.1.3</w:t>
            </w:r>
          </w:p>
        </w:tc>
        <w:tc>
          <w:tcPr>
            <w:tcW w:w="851" w:type="dxa"/>
            <w:vMerge w:val="restart"/>
            <w:vAlign w:val="center"/>
          </w:tcPr>
          <w:p>
            <w:pPr>
              <w:spacing w:line="360" w:lineRule="auto"/>
              <w:jc w:val="center"/>
              <w:rPr>
                <w:sz w:val="24"/>
                <w:szCs w:val="24"/>
              </w:rPr>
            </w:pPr>
            <w:r>
              <w:rPr>
                <w:rFonts w:hint="eastAsia"/>
                <w:sz w:val="24"/>
                <w:szCs w:val="24"/>
              </w:rPr>
              <w:t>响应性评审标准</w:t>
            </w:r>
          </w:p>
        </w:tc>
        <w:tc>
          <w:tcPr>
            <w:tcW w:w="1842" w:type="dxa"/>
            <w:vAlign w:val="center"/>
          </w:tcPr>
          <w:p>
            <w:pPr>
              <w:spacing w:line="360" w:lineRule="auto"/>
              <w:jc w:val="center"/>
              <w:rPr>
                <w:sz w:val="24"/>
                <w:szCs w:val="24"/>
              </w:rPr>
            </w:pPr>
            <w:r>
              <w:rPr>
                <w:rFonts w:hint="eastAsia"/>
                <w:sz w:val="24"/>
                <w:szCs w:val="24"/>
              </w:rPr>
              <w:t>投标内容</w:t>
            </w:r>
          </w:p>
        </w:tc>
        <w:tc>
          <w:tcPr>
            <w:tcW w:w="5240" w:type="dxa"/>
            <w:vAlign w:val="center"/>
          </w:tcPr>
          <w:p>
            <w:pPr>
              <w:spacing w:line="360" w:lineRule="auto"/>
              <w:rPr>
                <w:sz w:val="24"/>
                <w:szCs w:val="24"/>
              </w:rPr>
            </w:pPr>
            <w:r>
              <w:rPr>
                <w:rFonts w:hint="eastAsia"/>
                <w:sz w:val="24"/>
                <w:szCs w:val="24"/>
              </w:rPr>
              <w:t>符合第二章“投标人须知”第</w:t>
            </w:r>
            <w:r>
              <w:rPr>
                <w:sz w:val="24"/>
                <w:szCs w:val="24"/>
              </w:rPr>
              <w:t xml:space="preserve"> 1.3.1  </w:t>
            </w:r>
            <w:r>
              <w:rPr>
                <w:rFonts w:hint="eastAsia"/>
                <w:sz w:val="24"/>
                <w:szCs w:val="24"/>
              </w:rPr>
              <w:t>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工期</w:t>
            </w:r>
          </w:p>
        </w:tc>
        <w:tc>
          <w:tcPr>
            <w:tcW w:w="5240" w:type="dxa"/>
            <w:vAlign w:val="center"/>
          </w:tcPr>
          <w:p>
            <w:pPr>
              <w:spacing w:line="360" w:lineRule="auto"/>
              <w:rPr>
                <w:sz w:val="24"/>
                <w:szCs w:val="24"/>
              </w:rPr>
            </w:pPr>
            <w:r>
              <w:rPr>
                <w:rFonts w:hint="eastAsia"/>
                <w:sz w:val="24"/>
                <w:szCs w:val="24"/>
              </w:rPr>
              <w:t>符合第二章“投标人须知”第</w:t>
            </w:r>
            <w:r>
              <w:rPr>
                <w:sz w:val="24"/>
                <w:szCs w:val="24"/>
              </w:rPr>
              <w:t xml:space="preserve"> 1.3.2  </w:t>
            </w:r>
            <w:r>
              <w:rPr>
                <w:rFonts w:hint="eastAsia"/>
                <w:sz w:val="24"/>
                <w:szCs w:val="24"/>
              </w:rPr>
              <w:t>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工程质量</w:t>
            </w:r>
          </w:p>
        </w:tc>
        <w:tc>
          <w:tcPr>
            <w:tcW w:w="5240" w:type="dxa"/>
            <w:vAlign w:val="center"/>
          </w:tcPr>
          <w:p>
            <w:pPr>
              <w:spacing w:line="360" w:lineRule="auto"/>
              <w:rPr>
                <w:sz w:val="24"/>
                <w:szCs w:val="24"/>
              </w:rPr>
            </w:pPr>
            <w:r>
              <w:rPr>
                <w:rFonts w:hint="eastAsia"/>
                <w:sz w:val="24"/>
                <w:szCs w:val="24"/>
              </w:rPr>
              <w:t>符合第二章“投标人须知”第</w:t>
            </w:r>
            <w:r>
              <w:rPr>
                <w:sz w:val="24"/>
                <w:szCs w:val="24"/>
              </w:rPr>
              <w:t xml:space="preserve"> 1.3.3  </w:t>
            </w:r>
            <w:r>
              <w:rPr>
                <w:rFonts w:hint="eastAsia"/>
                <w:sz w:val="24"/>
                <w:szCs w:val="24"/>
              </w:rPr>
              <w:t>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投标有效期</w:t>
            </w:r>
          </w:p>
        </w:tc>
        <w:tc>
          <w:tcPr>
            <w:tcW w:w="5240" w:type="dxa"/>
            <w:vAlign w:val="center"/>
          </w:tcPr>
          <w:p>
            <w:pPr>
              <w:spacing w:line="360" w:lineRule="auto"/>
              <w:rPr>
                <w:sz w:val="24"/>
                <w:szCs w:val="24"/>
              </w:rPr>
            </w:pPr>
            <w:r>
              <w:rPr>
                <w:rFonts w:hint="eastAsia"/>
                <w:sz w:val="24"/>
                <w:szCs w:val="24"/>
              </w:rPr>
              <w:t>符合第二章“投标人须知”第</w:t>
            </w:r>
            <w:r>
              <w:rPr>
                <w:sz w:val="24"/>
                <w:szCs w:val="24"/>
              </w:rPr>
              <w:t xml:space="preserve"> 3.3.1  </w:t>
            </w:r>
            <w:r>
              <w:rPr>
                <w:rFonts w:hint="eastAsia"/>
                <w:sz w:val="24"/>
                <w:szCs w:val="24"/>
              </w:rPr>
              <w:t>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投标保证金</w:t>
            </w:r>
          </w:p>
        </w:tc>
        <w:tc>
          <w:tcPr>
            <w:tcW w:w="5240" w:type="dxa"/>
            <w:vAlign w:val="center"/>
          </w:tcPr>
          <w:p>
            <w:pPr>
              <w:spacing w:line="360" w:lineRule="auto"/>
              <w:rPr>
                <w:sz w:val="24"/>
                <w:szCs w:val="24"/>
              </w:rPr>
            </w:pPr>
            <w:r>
              <w:rPr>
                <w:rFonts w:hint="eastAsia"/>
                <w:sz w:val="24"/>
                <w:szCs w:val="24"/>
              </w:rPr>
              <w:t>符合第二章“投标人须知”第</w:t>
            </w:r>
            <w:r>
              <w:rPr>
                <w:sz w:val="24"/>
                <w:szCs w:val="24"/>
              </w:rPr>
              <w:t xml:space="preserve"> 3.4.1  </w:t>
            </w:r>
            <w:r>
              <w:rPr>
                <w:rFonts w:hint="eastAsia"/>
                <w:sz w:val="24"/>
                <w:szCs w:val="24"/>
              </w:rPr>
              <w:t>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权利义务</w:t>
            </w:r>
          </w:p>
        </w:tc>
        <w:tc>
          <w:tcPr>
            <w:tcW w:w="5240" w:type="dxa"/>
            <w:vAlign w:val="center"/>
          </w:tcPr>
          <w:p>
            <w:pPr>
              <w:spacing w:line="360" w:lineRule="auto"/>
              <w:rPr>
                <w:sz w:val="24"/>
                <w:szCs w:val="24"/>
              </w:rPr>
            </w:pPr>
            <w:r>
              <w:rPr>
                <w:rFonts w:hint="eastAsia"/>
                <w:sz w:val="24"/>
                <w:szCs w:val="24"/>
              </w:rPr>
              <w:t>符合第四章“合同条款及格式”规定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已标价</w:t>
            </w:r>
          </w:p>
          <w:p>
            <w:pPr>
              <w:spacing w:line="360" w:lineRule="auto"/>
              <w:jc w:val="center"/>
              <w:rPr>
                <w:sz w:val="24"/>
                <w:szCs w:val="24"/>
              </w:rPr>
            </w:pPr>
            <w:r>
              <w:rPr>
                <w:rFonts w:hint="eastAsia"/>
                <w:sz w:val="24"/>
                <w:szCs w:val="24"/>
              </w:rPr>
              <w:t>工程量清单</w:t>
            </w:r>
          </w:p>
        </w:tc>
        <w:tc>
          <w:tcPr>
            <w:tcW w:w="5240" w:type="dxa"/>
            <w:vAlign w:val="center"/>
          </w:tcPr>
          <w:p>
            <w:pPr>
              <w:spacing w:line="360" w:lineRule="auto"/>
              <w:rPr>
                <w:sz w:val="24"/>
                <w:szCs w:val="24"/>
              </w:rPr>
            </w:pPr>
            <w:r>
              <w:rPr>
                <w:rFonts w:hint="eastAsia"/>
                <w:sz w:val="24"/>
                <w:szCs w:val="24"/>
              </w:rPr>
              <w:t>符合第五章“工程量清单”给出的范围及数量以及“说明”中对投标人的要求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技术标准</w:t>
            </w:r>
          </w:p>
          <w:p>
            <w:pPr>
              <w:spacing w:line="360" w:lineRule="auto"/>
              <w:jc w:val="center"/>
              <w:rPr>
                <w:sz w:val="24"/>
                <w:szCs w:val="24"/>
              </w:rPr>
            </w:pPr>
            <w:r>
              <w:rPr>
                <w:rFonts w:hint="eastAsia"/>
                <w:sz w:val="24"/>
                <w:szCs w:val="24"/>
              </w:rPr>
              <w:t>和要求</w:t>
            </w:r>
          </w:p>
        </w:tc>
        <w:tc>
          <w:tcPr>
            <w:tcW w:w="5240" w:type="dxa"/>
            <w:vAlign w:val="center"/>
          </w:tcPr>
          <w:p>
            <w:pPr>
              <w:spacing w:line="360" w:lineRule="auto"/>
              <w:rPr>
                <w:sz w:val="24"/>
                <w:szCs w:val="24"/>
              </w:rPr>
            </w:pPr>
            <w:r>
              <w:rPr>
                <w:rFonts w:hint="eastAsia"/>
                <w:sz w:val="24"/>
                <w:szCs w:val="24"/>
              </w:rPr>
              <w:t>符合第七章“技术标准和要求”规定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分包计划</w:t>
            </w:r>
          </w:p>
        </w:tc>
        <w:tc>
          <w:tcPr>
            <w:tcW w:w="5240" w:type="dxa"/>
            <w:vAlign w:val="center"/>
          </w:tcPr>
          <w:p>
            <w:pPr>
              <w:spacing w:line="360" w:lineRule="auto"/>
              <w:rPr>
                <w:sz w:val="24"/>
                <w:szCs w:val="24"/>
              </w:rPr>
            </w:pPr>
            <w:r>
              <w:rPr>
                <w:rFonts w:hint="eastAsia"/>
                <w:sz w:val="24"/>
                <w:szCs w:val="24"/>
              </w:rPr>
              <w:t>符合第二章“投标人须知”第</w:t>
            </w:r>
            <w:r>
              <w:rPr>
                <w:sz w:val="24"/>
                <w:szCs w:val="24"/>
              </w:rPr>
              <w:t>1.11</w:t>
            </w:r>
            <w:r>
              <w:rPr>
                <w:rFonts w:hint="eastAsia"/>
                <w:sz w:val="24"/>
                <w:szCs w:val="24"/>
              </w:rPr>
              <w:t>款规定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最高限价</w:t>
            </w:r>
          </w:p>
        </w:tc>
        <w:tc>
          <w:tcPr>
            <w:tcW w:w="5240" w:type="dxa"/>
            <w:vAlign w:val="center"/>
          </w:tcPr>
          <w:p>
            <w:pPr>
              <w:spacing w:line="360" w:lineRule="auto"/>
              <w:rPr>
                <w:sz w:val="24"/>
                <w:szCs w:val="24"/>
              </w:rPr>
            </w:pPr>
            <w:r>
              <w:rPr>
                <w:rFonts w:hint="eastAsia"/>
                <w:sz w:val="24"/>
                <w:szCs w:val="24"/>
              </w:rPr>
              <w:t>投标报价（修正价）不得超过投标人须知前附表规定的最高限价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w:t>
            </w:r>
          </w:p>
        </w:tc>
        <w:tc>
          <w:tcPr>
            <w:tcW w:w="5240" w:type="dxa"/>
            <w:vAlign w:val="center"/>
          </w:tcPr>
          <w:p>
            <w:pPr>
              <w:spacing w:line="360" w:lineRule="auto"/>
              <w:jc w:val="center"/>
              <w:rPr>
                <w:sz w:val="24"/>
                <w:szCs w:val="24"/>
              </w:rPr>
            </w:pPr>
            <w:r>
              <w:rPr>
                <w:rFonts w:hint="eastAsia"/>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2127" w:type="dxa"/>
            <w:gridSpan w:val="2"/>
            <w:vAlign w:val="center"/>
          </w:tcPr>
          <w:p>
            <w:pPr>
              <w:spacing w:line="360" w:lineRule="auto"/>
              <w:jc w:val="center"/>
              <w:rPr>
                <w:b/>
                <w:sz w:val="24"/>
                <w:szCs w:val="24"/>
              </w:rPr>
            </w:pPr>
            <w:r>
              <w:rPr>
                <w:rFonts w:hint="eastAsia"/>
                <w:b/>
                <w:sz w:val="24"/>
                <w:szCs w:val="24"/>
              </w:rPr>
              <w:t>条款号</w:t>
            </w:r>
          </w:p>
        </w:tc>
        <w:tc>
          <w:tcPr>
            <w:tcW w:w="1842" w:type="dxa"/>
            <w:vAlign w:val="center"/>
          </w:tcPr>
          <w:p>
            <w:pPr>
              <w:spacing w:line="360" w:lineRule="auto"/>
              <w:jc w:val="center"/>
              <w:rPr>
                <w:b/>
                <w:sz w:val="24"/>
                <w:szCs w:val="24"/>
              </w:rPr>
            </w:pPr>
            <w:r>
              <w:rPr>
                <w:rFonts w:hint="eastAsia"/>
                <w:b/>
                <w:sz w:val="24"/>
                <w:szCs w:val="24"/>
              </w:rPr>
              <w:t>条款内容</w:t>
            </w:r>
          </w:p>
        </w:tc>
        <w:tc>
          <w:tcPr>
            <w:tcW w:w="5240" w:type="dxa"/>
            <w:vAlign w:val="center"/>
          </w:tcPr>
          <w:p>
            <w:pPr>
              <w:spacing w:line="360" w:lineRule="auto"/>
              <w:jc w:val="center"/>
              <w:rPr>
                <w:b/>
                <w:sz w:val="24"/>
                <w:szCs w:val="24"/>
              </w:rPr>
            </w:pPr>
            <w:r>
              <w:rPr>
                <w:rFonts w:hint="eastAsia"/>
                <w:b/>
                <w:sz w:val="24"/>
                <w:szCs w:val="24"/>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2127" w:type="dxa"/>
            <w:gridSpan w:val="2"/>
            <w:vAlign w:val="center"/>
          </w:tcPr>
          <w:p>
            <w:pPr>
              <w:spacing w:line="360" w:lineRule="auto"/>
              <w:jc w:val="center"/>
              <w:rPr>
                <w:sz w:val="24"/>
                <w:szCs w:val="24"/>
              </w:rPr>
            </w:pPr>
            <w:r>
              <w:rPr>
                <w:sz w:val="24"/>
                <w:szCs w:val="24"/>
              </w:rPr>
              <w:t>2.2.1</w:t>
            </w:r>
          </w:p>
        </w:tc>
        <w:tc>
          <w:tcPr>
            <w:tcW w:w="1842" w:type="dxa"/>
            <w:vAlign w:val="center"/>
          </w:tcPr>
          <w:p>
            <w:pPr>
              <w:spacing w:line="36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分值构成</w:t>
            </w:r>
          </w:p>
          <w:p>
            <w:pPr>
              <w:spacing w:line="360" w:lineRule="auto"/>
              <w:jc w:val="center"/>
              <w:rPr>
                <w:color w:val="4BACC6"/>
                <w:sz w:val="24"/>
                <w:szCs w:val="24"/>
              </w:rPr>
            </w:pPr>
            <w:r>
              <w:rPr>
                <w:color w:val="000000"/>
                <w:sz w:val="24"/>
                <w:szCs w:val="24"/>
              </w:rPr>
              <w:t>(</w:t>
            </w:r>
            <w:r>
              <w:rPr>
                <w:rFonts w:hint="eastAsia"/>
                <w:color w:val="000000"/>
                <w:sz w:val="24"/>
                <w:szCs w:val="24"/>
              </w:rPr>
              <w:t>总分</w:t>
            </w:r>
            <w:r>
              <w:rPr>
                <w:color w:val="000000"/>
                <w:sz w:val="24"/>
                <w:szCs w:val="24"/>
              </w:rPr>
              <w:t>100</w:t>
            </w:r>
            <w:r>
              <w:rPr>
                <w:rFonts w:hint="eastAsia"/>
                <w:color w:val="000000"/>
                <w:sz w:val="24"/>
                <w:szCs w:val="24"/>
              </w:rPr>
              <w:t>分</w:t>
            </w:r>
            <w:r>
              <w:rPr>
                <w:color w:val="000000"/>
                <w:sz w:val="24"/>
                <w:szCs w:val="24"/>
              </w:rPr>
              <w:t>)</w:t>
            </w:r>
          </w:p>
        </w:tc>
        <w:tc>
          <w:tcPr>
            <w:tcW w:w="5240" w:type="dxa"/>
            <w:vAlign w:val="center"/>
          </w:tcPr>
          <w:p>
            <w:pPr>
              <w:spacing w:line="360" w:lineRule="auto"/>
              <w:rPr>
                <w:color w:val="000000"/>
                <w:sz w:val="24"/>
                <w:szCs w:val="24"/>
              </w:rPr>
            </w:pPr>
            <w:r>
              <w:rPr>
                <w:rFonts w:hint="eastAsia"/>
                <w:color w:val="000000"/>
                <w:sz w:val="24"/>
                <w:szCs w:val="24"/>
              </w:rPr>
              <w:t>施工组织设计：</w:t>
            </w:r>
            <w:r>
              <w:rPr>
                <w:color w:val="000000"/>
                <w:sz w:val="24"/>
                <w:szCs w:val="24"/>
                <w:u w:val="single"/>
              </w:rPr>
              <w:t xml:space="preserve">     </w:t>
            </w:r>
            <w:r>
              <w:rPr>
                <w:color w:val="000000"/>
                <w:sz w:val="24"/>
                <w:szCs w:val="24"/>
                <w:u w:val="single"/>
                <w:lang w:val="en-US"/>
              </w:rPr>
              <w:t>25</w:t>
            </w:r>
            <w:r>
              <w:rPr>
                <w:color w:val="000000"/>
                <w:sz w:val="24"/>
                <w:szCs w:val="24"/>
                <w:u w:val="single"/>
              </w:rPr>
              <w:t xml:space="preserve">   </w:t>
            </w:r>
            <w:r>
              <w:rPr>
                <w:rFonts w:hint="eastAsia"/>
                <w:color w:val="000000"/>
                <w:sz w:val="24"/>
                <w:szCs w:val="24"/>
              </w:rPr>
              <w:t>分</w:t>
            </w:r>
          </w:p>
          <w:p>
            <w:pPr>
              <w:spacing w:line="360" w:lineRule="auto"/>
              <w:rPr>
                <w:color w:val="000000"/>
                <w:sz w:val="24"/>
                <w:szCs w:val="24"/>
              </w:rPr>
            </w:pPr>
            <w:r>
              <w:rPr>
                <w:rFonts w:hint="eastAsia"/>
                <w:color w:val="000000"/>
                <w:sz w:val="24"/>
                <w:szCs w:val="24"/>
              </w:rPr>
              <w:t>项目管理机构及业绩：</w:t>
            </w:r>
            <w:r>
              <w:rPr>
                <w:color w:val="000000"/>
                <w:sz w:val="24"/>
                <w:szCs w:val="24"/>
                <w:u w:val="single"/>
              </w:rPr>
              <w:t xml:space="preserve">    </w:t>
            </w:r>
            <w:r>
              <w:rPr>
                <w:color w:val="000000"/>
                <w:sz w:val="24"/>
                <w:szCs w:val="24"/>
                <w:u w:val="single"/>
                <w:lang w:val="en-US"/>
              </w:rPr>
              <w:t>20</w:t>
            </w:r>
            <w:r>
              <w:rPr>
                <w:color w:val="000000"/>
                <w:sz w:val="24"/>
                <w:szCs w:val="24"/>
                <w:u w:val="single"/>
              </w:rPr>
              <w:t xml:space="preserve">   </w:t>
            </w:r>
            <w:r>
              <w:rPr>
                <w:rFonts w:hint="eastAsia"/>
                <w:color w:val="000000"/>
                <w:sz w:val="24"/>
                <w:szCs w:val="24"/>
              </w:rPr>
              <w:t>分</w:t>
            </w:r>
          </w:p>
          <w:p>
            <w:pPr>
              <w:spacing w:line="360" w:lineRule="auto"/>
              <w:rPr>
                <w:color w:val="000000"/>
                <w:sz w:val="24"/>
                <w:szCs w:val="24"/>
              </w:rPr>
            </w:pPr>
            <w:r>
              <w:rPr>
                <w:rFonts w:hint="eastAsia"/>
                <w:color w:val="000000"/>
                <w:sz w:val="24"/>
                <w:szCs w:val="24"/>
              </w:rPr>
              <w:t>投标报价：</w:t>
            </w:r>
            <w:r>
              <w:rPr>
                <w:color w:val="000000"/>
                <w:sz w:val="24"/>
                <w:szCs w:val="24"/>
                <w:u w:val="single"/>
              </w:rPr>
              <w:t xml:space="preserve">    </w:t>
            </w:r>
            <w:r>
              <w:rPr>
                <w:color w:val="000000"/>
                <w:sz w:val="24"/>
                <w:szCs w:val="24"/>
                <w:u w:val="single"/>
                <w:lang w:val="en-US"/>
              </w:rPr>
              <w:t>40</w:t>
            </w:r>
            <w:r>
              <w:rPr>
                <w:color w:val="000000"/>
                <w:sz w:val="24"/>
                <w:szCs w:val="24"/>
                <w:u w:val="single"/>
              </w:rPr>
              <w:t xml:space="preserve">   </w:t>
            </w:r>
            <w:r>
              <w:rPr>
                <w:rFonts w:hint="eastAsia"/>
                <w:color w:val="000000"/>
                <w:sz w:val="24"/>
                <w:szCs w:val="24"/>
              </w:rPr>
              <w:t>分</w:t>
            </w:r>
          </w:p>
          <w:p>
            <w:pPr>
              <w:spacing w:line="360" w:lineRule="auto"/>
              <w:rPr>
                <w:color w:val="000000"/>
                <w:sz w:val="24"/>
                <w:szCs w:val="24"/>
              </w:rPr>
            </w:pPr>
            <w:r>
              <w:rPr>
                <w:rFonts w:hint="eastAsia"/>
                <w:color w:val="000000"/>
                <w:sz w:val="24"/>
                <w:szCs w:val="24"/>
              </w:rPr>
              <w:t>其他：</w:t>
            </w:r>
            <w:r>
              <w:rPr>
                <w:color w:val="000000"/>
                <w:sz w:val="24"/>
                <w:szCs w:val="24"/>
                <w:u w:val="single"/>
              </w:rPr>
              <w:t xml:space="preserve">    </w:t>
            </w:r>
            <w:r>
              <w:rPr>
                <w:color w:val="000000"/>
                <w:sz w:val="24"/>
                <w:szCs w:val="24"/>
                <w:u w:val="single"/>
                <w:lang w:val="en-US"/>
              </w:rPr>
              <w:t>10</w:t>
            </w:r>
            <w:r>
              <w:rPr>
                <w:color w:val="000000"/>
                <w:sz w:val="24"/>
                <w:szCs w:val="24"/>
                <w:u w:val="single"/>
              </w:rPr>
              <w:t xml:space="preserve">   </w:t>
            </w:r>
            <w:r>
              <w:rPr>
                <w:rFonts w:hint="eastAsia"/>
                <w:color w:val="000000"/>
                <w:sz w:val="24"/>
                <w:szCs w:val="24"/>
              </w:rPr>
              <w:t>分（企业信用等级认证权重</w:t>
            </w:r>
            <w:r>
              <w:rPr>
                <w:color w:val="000000"/>
                <w:sz w:val="24"/>
                <w:szCs w:val="24"/>
              </w:rPr>
              <w:t xml:space="preserve"> 10%</w:t>
            </w:r>
            <w:r>
              <w:rPr>
                <w:rFonts w:hint="eastAsia"/>
                <w:color w:val="000000"/>
                <w:sz w:val="24"/>
                <w:szCs w:val="24"/>
              </w:rPr>
              <w:t>）</w:t>
            </w:r>
          </w:p>
          <w:p>
            <w:pPr>
              <w:spacing w:line="360" w:lineRule="auto"/>
              <w:rPr>
                <w:color w:val="4BACC6"/>
                <w:sz w:val="24"/>
                <w:szCs w:val="24"/>
              </w:rPr>
            </w:pPr>
            <w:r>
              <w:rPr>
                <w:rFonts w:hint="eastAsia"/>
                <w:color w:val="000000"/>
                <w:sz w:val="24"/>
                <w:szCs w:val="24"/>
              </w:rPr>
              <w:t>投标报价合理性：</w:t>
            </w:r>
            <w:r>
              <w:rPr>
                <w:color w:val="000000"/>
                <w:sz w:val="24"/>
                <w:szCs w:val="24"/>
                <w:u w:val="single"/>
              </w:rPr>
              <w:t xml:space="preserve">  </w:t>
            </w:r>
            <w:r>
              <w:rPr>
                <w:color w:val="000000"/>
                <w:sz w:val="24"/>
                <w:szCs w:val="24"/>
                <w:u w:val="single"/>
                <w:lang w:val="en-US"/>
              </w:rPr>
              <w:t xml:space="preserve"> </w:t>
            </w:r>
            <w:r>
              <w:rPr>
                <w:color w:val="000000"/>
                <w:sz w:val="24"/>
                <w:szCs w:val="24"/>
                <w:u w:val="single"/>
              </w:rPr>
              <w:t xml:space="preserve"> </w:t>
            </w:r>
            <w:r>
              <w:rPr>
                <w:color w:val="000000"/>
                <w:sz w:val="24"/>
                <w:szCs w:val="24"/>
                <w:u w:val="single"/>
                <w:lang w:val="en-US"/>
              </w:rPr>
              <w:t xml:space="preserve">5  </w:t>
            </w:r>
            <w:r>
              <w:rPr>
                <w:color w:val="000000"/>
                <w:sz w:val="24"/>
                <w:szCs w:val="24"/>
                <w:u w:val="single"/>
              </w:rPr>
              <w:t xml:space="preserve">  </w:t>
            </w:r>
            <w:r>
              <w:rPr>
                <w:rFonts w:hint="eastAsia"/>
                <w:color w:val="000000"/>
                <w:sz w:val="24"/>
                <w:szCs w:val="24"/>
              </w:rPr>
              <w:t>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2127" w:type="dxa"/>
            <w:gridSpan w:val="2"/>
            <w:vAlign w:val="center"/>
          </w:tcPr>
          <w:p>
            <w:pPr>
              <w:spacing w:line="360" w:lineRule="auto"/>
              <w:jc w:val="center"/>
              <w:rPr>
                <w:sz w:val="24"/>
                <w:szCs w:val="24"/>
              </w:rPr>
            </w:pPr>
            <w:r>
              <w:rPr>
                <w:sz w:val="24"/>
                <w:szCs w:val="24"/>
              </w:rPr>
              <w:t>2.2.2</w:t>
            </w:r>
          </w:p>
        </w:tc>
        <w:tc>
          <w:tcPr>
            <w:tcW w:w="1842" w:type="dxa"/>
            <w:vAlign w:val="center"/>
          </w:tcPr>
          <w:p>
            <w:pPr>
              <w:spacing w:line="360" w:lineRule="auto"/>
              <w:jc w:val="center"/>
              <w:rPr>
                <w:sz w:val="24"/>
                <w:szCs w:val="24"/>
              </w:rPr>
            </w:pPr>
            <w:r>
              <w:rPr>
                <w:rFonts w:hint="eastAsia"/>
                <w:sz w:val="24"/>
                <w:szCs w:val="24"/>
              </w:rPr>
              <w:t>评标基准价</w:t>
            </w:r>
          </w:p>
          <w:p>
            <w:pPr>
              <w:spacing w:line="360" w:lineRule="auto"/>
              <w:jc w:val="center"/>
              <w:rPr>
                <w:sz w:val="24"/>
                <w:szCs w:val="24"/>
              </w:rPr>
            </w:pPr>
            <w:r>
              <w:rPr>
                <w:rFonts w:hint="eastAsia"/>
                <w:sz w:val="24"/>
                <w:szCs w:val="24"/>
              </w:rPr>
              <w:t>计算方法</w:t>
            </w:r>
          </w:p>
          <w:p>
            <w:pPr>
              <w:spacing w:line="360" w:lineRule="auto"/>
              <w:jc w:val="center"/>
              <w:rPr>
                <w:sz w:val="24"/>
                <w:szCs w:val="24"/>
              </w:rPr>
            </w:pPr>
            <w:r>
              <w:rPr>
                <w:rFonts w:hint="eastAsia"/>
                <w:sz w:val="24"/>
                <w:szCs w:val="24"/>
              </w:rPr>
              <w:t>（</w:t>
            </w:r>
            <w:r>
              <w:rPr>
                <w:sz w:val="24"/>
                <w:szCs w:val="24"/>
              </w:rPr>
              <w:t>40</w:t>
            </w:r>
            <w:r>
              <w:rPr>
                <w:rFonts w:hint="eastAsia"/>
                <w:sz w:val="24"/>
                <w:szCs w:val="24"/>
              </w:rPr>
              <w:t>分）</w:t>
            </w:r>
          </w:p>
        </w:tc>
        <w:tc>
          <w:tcPr>
            <w:tcW w:w="5240" w:type="dxa"/>
            <w:vAlign w:val="center"/>
          </w:tcPr>
          <w:p>
            <w:pPr>
              <w:spacing w:line="360" w:lineRule="auto"/>
              <w:rPr>
                <w:sz w:val="24"/>
                <w:szCs w:val="24"/>
              </w:rPr>
            </w:pPr>
            <w:r>
              <w:rPr>
                <w:rFonts w:hint="eastAsia"/>
                <w:sz w:val="24"/>
                <w:szCs w:val="24"/>
              </w:rPr>
              <w:t>评标基准价计算方法</w:t>
            </w:r>
          </w:p>
          <w:p>
            <w:pPr>
              <w:spacing w:line="360" w:lineRule="auto"/>
              <w:rPr>
                <w:sz w:val="24"/>
                <w:szCs w:val="24"/>
              </w:rPr>
            </w:pPr>
            <w:r>
              <w:rPr>
                <w:rFonts w:hint="eastAsia"/>
                <w:sz w:val="24"/>
                <w:szCs w:val="24"/>
              </w:rPr>
              <w:t>评标基准价</w:t>
            </w:r>
            <w:r>
              <w:rPr>
                <w:sz w:val="24"/>
                <w:szCs w:val="24"/>
              </w:rPr>
              <w:t>=</w:t>
            </w:r>
            <w:r>
              <w:rPr>
                <w:rFonts w:hint="eastAsia"/>
                <w:sz w:val="24"/>
                <w:szCs w:val="24"/>
              </w:rPr>
              <w:t>最高限价×</w:t>
            </w:r>
            <w:r>
              <w:rPr>
                <w:sz w:val="24"/>
                <w:szCs w:val="24"/>
              </w:rPr>
              <w:t>K+</w:t>
            </w:r>
            <w:r>
              <w:rPr>
                <w:rFonts w:hint="eastAsia"/>
                <w:sz w:val="24"/>
                <w:szCs w:val="24"/>
              </w:rPr>
              <w:t>投标人投标报价的平均值×（</w:t>
            </w:r>
            <w:r>
              <w:rPr>
                <w:sz w:val="24"/>
                <w:szCs w:val="24"/>
              </w:rPr>
              <w:t>100%-K</w:t>
            </w:r>
            <w:r>
              <w:rPr>
                <w:rFonts w:hint="eastAsia"/>
                <w:sz w:val="24"/>
                <w:szCs w:val="24"/>
              </w:rPr>
              <w:t>）。</w:t>
            </w:r>
          </w:p>
          <w:p>
            <w:pPr>
              <w:spacing w:line="360" w:lineRule="auto"/>
              <w:rPr>
                <w:sz w:val="24"/>
                <w:szCs w:val="24"/>
              </w:rPr>
            </w:pPr>
            <w:r>
              <w:rPr>
                <w:sz w:val="24"/>
                <w:szCs w:val="24"/>
              </w:rPr>
              <w:t xml:space="preserve">K </w:t>
            </w:r>
            <w:r>
              <w:rPr>
                <w:rFonts w:hint="eastAsia"/>
                <w:sz w:val="24"/>
                <w:szCs w:val="24"/>
              </w:rPr>
              <w:t>值为</w:t>
            </w:r>
            <w:r>
              <w:rPr>
                <w:sz w:val="24"/>
                <w:szCs w:val="24"/>
              </w:rPr>
              <w:t xml:space="preserve"> 25%</w:t>
            </w:r>
            <w:r>
              <w:rPr>
                <w:rFonts w:hint="eastAsia"/>
                <w:sz w:val="24"/>
                <w:szCs w:val="24"/>
              </w:rPr>
              <w:t>，</w:t>
            </w:r>
            <w:r>
              <w:rPr>
                <w:sz w:val="24"/>
                <w:szCs w:val="24"/>
              </w:rPr>
              <w:t>27.5%</w:t>
            </w:r>
            <w:r>
              <w:rPr>
                <w:rFonts w:hint="eastAsia"/>
                <w:sz w:val="24"/>
                <w:szCs w:val="24"/>
              </w:rPr>
              <w:t>，</w:t>
            </w:r>
            <w:r>
              <w:rPr>
                <w:sz w:val="24"/>
                <w:szCs w:val="24"/>
              </w:rPr>
              <w:t>30%</w:t>
            </w:r>
            <w:r>
              <w:rPr>
                <w:rFonts w:hint="eastAsia"/>
                <w:sz w:val="24"/>
                <w:szCs w:val="24"/>
              </w:rPr>
              <w:t>，</w:t>
            </w:r>
            <w:r>
              <w:rPr>
                <w:sz w:val="24"/>
                <w:szCs w:val="24"/>
              </w:rPr>
              <w:t>32.5%</w:t>
            </w:r>
            <w:r>
              <w:rPr>
                <w:rFonts w:hint="eastAsia"/>
                <w:sz w:val="24"/>
                <w:szCs w:val="24"/>
              </w:rPr>
              <w:t>，</w:t>
            </w:r>
            <w:r>
              <w:rPr>
                <w:sz w:val="24"/>
                <w:szCs w:val="24"/>
              </w:rPr>
              <w:t>35%</w:t>
            </w:r>
            <w:r>
              <w:rPr>
                <w:rFonts w:hint="eastAsia"/>
                <w:sz w:val="24"/>
                <w:szCs w:val="24"/>
              </w:rPr>
              <w:t>，在开标现场由招标人当众抽取产生。</w:t>
            </w:r>
          </w:p>
          <w:p>
            <w:pPr>
              <w:spacing w:line="360" w:lineRule="auto"/>
              <w:rPr>
                <w:sz w:val="24"/>
                <w:szCs w:val="24"/>
              </w:rPr>
            </w:pPr>
            <w:r>
              <w:rPr>
                <w:sz w:val="24"/>
                <w:szCs w:val="24"/>
              </w:rPr>
              <w:t xml:space="preserve">(1) </w:t>
            </w:r>
            <w:r>
              <w:rPr>
                <w:rFonts w:hint="eastAsia"/>
                <w:sz w:val="24"/>
                <w:szCs w:val="24"/>
              </w:rPr>
              <w:t>当有效投标报价≥</w:t>
            </w:r>
            <w:r>
              <w:rPr>
                <w:sz w:val="24"/>
                <w:szCs w:val="24"/>
              </w:rPr>
              <w:t xml:space="preserve"> 7 </w:t>
            </w:r>
            <w:r>
              <w:rPr>
                <w:rFonts w:hint="eastAsia"/>
                <w:sz w:val="24"/>
                <w:szCs w:val="24"/>
              </w:rPr>
              <w:t>家时，去掉</w:t>
            </w:r>
            <w:r>
              <w:rPr>
                <w:sz w:val="24"/>
                <w:szCs w:val="24"/>
              </w:rPr>
              <w:t xml:space="preserve"> 1</w:t>
            </w:r>
            <w:r>
              <w:rPr>
                <w:rFonts w:hint="eastAsia"/>
                <w:sz w:val="24"/>
                <w:szCs w:val="24"/>
              </w:rPr>
              <w:t>个最高和</w:t>
            </w:r>
            <w:r>
              <w:rPr>
                <w:sz w:val="24"/>
                <w:szCs w:val="24"/>
              </w:rPr>
              <w:t xml:space="preserve"> 1 </w:t>
            </w:r>
            <w:r>
              <w:rPr>
                <w:rFonts w:hint="eastAsia"/>
                <w:sz w:val="24"/>
                <w:szCs w:val="24"/>
              </w:rPr>
              <w:t>个最低投标报价后的算术平均值为投标人投标报价的平均值；</w:t>
            </w:r>
          </w:p>
          <w:p>
            <w:pPr>
              <w:spacing w:line="360" w:lineRule="auto"/>
              <w:rPr>
                <w:sz w:val="24"/>
                <w:szCs w:val="24"/>
              </w:rPr>
            </w:pPr>
            <w:r>
              <w:rPr>
                <w:sz w:val="24"/>
                <w:szCs w:val="24"/>
              </w:rPr>
              <w:t xml:space="preserve">(2) </w:t>
            </w:r>
            <w:r>
              <w:rPr>
                <w:rFonts w:hint="eastAsia"/>
                <w:sz w:val="24"/>
                <w:szCs w:val="24"/>
              </w:rPr>
              <w:t>当有效投标报价</w:t>
            </w:r>
            <w:r>
              <w:rPr>
                <w:sz w:val="24"/>
                <w:szCs w:val="24"/>
              </w:rPr>
              <w:t xml:space="preserve">&lt; 7 </w:t>
            </w:r>
            <w:r>
              <w:rPr>
                <w:rFonts w:hint="eastAsia"/>
                <w:sz w:val="24"/>
                <w:szCs w:val="24"/>
              </w:rPr>
              <w:t>家时，则以所有有效投标报价的算术平均值为投标人投标报价的平均值。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2127" w:type="dxa"/>
            <w:gridSpan w:val="2"/>
            <w:vAlign w:val="center"/>
          </w:tcPr>
          <w:p>
            <w:pPr>
              <w:spacing w:line="360" w:lineRule="auto"/>
              <w:jc w:val="center"/>
              <w:rPr>
                <w:sz w:val="24"/>
                <w:szCs w:val="24"/>
              </w:rPr>
            </w:pPr>
            <w:r>
              <w:rPr>
                <w:sz w:val="24"/>
                <w:szCs w:val="24"/>
              </w:rPr>
              <w:t>2.2.3</w:t>
            </w:r>
          </w:p>
        </w:tc>
        <w:tc>
          <w:tcPr>
            <w:tcW w:w="1842" w:type="dxa"/>
            <w:vAlign w:val="center"/>
          </w:tcPr>
          <w:p>
            <w:pPr>
              <w:spacing w:line="360" w:lineRule="auto"/>
              <w:rPr>
                <w:sz w:val="24"/>
                <w:szCs w:val="24"/>
              </w:rPr>
            </w:pPr>
            <w:r>
              <w:rPr>
                <w:rFonts w:hint="eastAsia"/>
                <w:sz w:val="24"/>
                <w:szCs w:val="24"/>
              </w:rPr>
              <w:t>投标报价的偏差率计算公式</w:t>
            </w:r>
          </w:p>
        </w:tc>
        <w:tc>
          <w:tcPr>
            <w:tcW w:w="5240" w:type="dxa"/>
            <w:vAlign w:val="center"/>
          </w:tcPr>
          <w:p>
            <w:pPr>
              <w:spacing w:line="360" w:lineRule="auto"/>
              <w:rPr>
                <w:sz w:val="24"/>
                <w:szCs w:val="24"/>
              </w:rPr>
            </w:pPr>
            <w:r>
              <w:rPr>
                <w:rFonts w:hint="eastAsia"/>
                <w:sz w:val="24"/>
                <w:szCs w:val="24"/>
              </w:rPr>
              <w:t>偏差率</w:t>
            </w:r>
            <w:r>
              <w:rPr>
                <w:sz w:val="24"/>
                <w:szCs w:val="24"/>
              </w:rPr>
              <w:t>=100%</w:t>
            </w:r>
            <w:r>
              <w:rPr>
                <w:rFonts w:hint="eastAsia"/>
                <w:sz w:val="24"/>
                <w:szCs w:val="24"/>
              </w:rPr>
              <w:t>×（投标报价</w:t>
            </w:r>
            <w:r>
              <w:rPr>
                <w:sz w:val="24"/>
                <w:szCs w:val="24"/>
              </w:rPr>
              <w:t>-</w:t>
            </w:r>
            <w:r>
              <w:rPr>
                <w:rFonts w:hint="eastAsia"/>
                <w:sz w:val="24"/>
                <w:szCs w:val="24"/>
              </w:rPr>
              <w:t>基准价×</w:t>
            </w:r>
            <w:r>
              <w:rPr>
                <w:sz w:val="24"/>
                <w:szCs w:val="24"/>
              </w:rPr>
              <w:t>Y</w:t>
            </w:r>
            <w:r>
              <w:rPr>
                <w:rFonts w:hint="eastAsia"/>
                <w:sz w:val="24"/>
                <w:szCs w:val="24"/>
              </w:rPr>
              <w:t>）</w:t>
            </w:r>
            <w:r>
              <w:rPr>
                <w:sz w:val="24"/>
                <w:szCs w:val="24"/>
              </w:rPr>
              <w:t>/</w:t>
            </w:r>
            <w:r>
              <w:rPr>
                <w:rFonts w:hint="eastAsia"/>
                <w:sz w:val="24"/>
                <w:szCs w:val="24"/>
              </w:rPr>
              <w:t>（基准价×</w:t>
            </w:r>
            <w:r>
              <w:rPr>
                <w:sz w:val="24"/>
                <w:szCs w:val="24"/>
              </w:rPr>
              <w:t>Y</w:t>
            </w:r>
            <w:r>
              <w:rPr>
                <w:rFonts w:hint="eastAsia"/>
                <w:sz w:val="24"/>
                <w:szCs w:val="24"/>
              </w:rPr>
              <w:t>）</w:t>
            </w:r>
          </w:p>
          <w:p>
            <w:pPr>
              <w:spacing w:line="360" w:lineRule="auto"/>
              <w:rPr>
                <w:sz w:val="24"/>
                <w:szCs w:val="24"/>
              </w:rPr>
            </w:pPr>
            <w:r>
              <w:rPr>
                <w:sz w:val="24"/>
                <w:szCs w:val="24"/>
              </w:rPr>
              <w:t xml:space="preserve">Y </w:t>
            </w:r>
            <w:r>
              <w:rPr>
                <w:rFonts w:hint="eastAsia"/>
                <w:sz w:val="24"/>
                <w:szCs w:val="24"/>
              </w:rPr>
              <w:t>值为</w:t>
            </w:r>
            <w:r>
              <w:rPr>
                <w:sz w:val="24"/>
                <w:szCs w:val="24"/>
              </w:rPr>
              <w:t xml:space="preserve"> 96%</w:t>
            </w:r>
            <w:r>
              <w:rPr>
                <w:rFonts w:hint="eastAsia"/>
                <w:sz w:val="24"/>
                <w:szCs w:val="24"/>
              </w:rPr>
              <w:t>，</w:t>
            </w:r>
            <w:r>
              <w:rPr>
                <w:sz w:val="24"/>
                <w:szCs w:val="24"/>
              </w:rPr>
              <w:t>95%</w:t>
            </w:r>
            <w:r>
              <w:rPr>
                <w:rFonts w:hint="eastAsia"/>
                <w:sz w:val="24"/>
                <w:szCs w:val="24"/>
              </w:rPr>
              <w:t>，</w:t>
            </w:r>
            <w:r>
              <w:rPr>
                <w:sz w:val="24"/>
                <w:szCs w:val="24"/>
              </w:rPr>
              <w:t>94%</w:t>
            </w:r>
            <w:r>
              <w:rPr>
                <w:rFonts w:hint="eastAsia"/>
                <w:sz w:val="24"/>
                <w:szCs w:val="24"/>
              </w:rPr>
              <w:t>，</w:t>
            </w:r>
            <w:r>
              <w:rPr>
                <w:sz w:val="24"/>
                <w:szCs w:val="24"/>
              </w:rPr>
              <w:t>93%</w:t>
            </w:r>
            <w:r>
              <w:rPr>
                <w:rFonts w:hint="eastAsia"/>
                <w:sz w:val="24"/>
                <w:szCs w:val="24"/>
              </w:rPr>
              <w:t>，</w:t>
            </w:r>
            <w:r>
              <w:rPr>
                <w:sz w:val="24"/>
                <w:szCs w:val="24"/>
              </w:rPr>
              <w:t>92%</w:t>
            </w:r>
            <w:r>
              <w:rPr>
                <w:rFonts w:hint="eastAsia"/>
                <w:sz w:val="24"/>
                <w:szCs w:val="24"/>
              </w:rPr>
              <w:t>，在开标现场由招标人当众抽取产生。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2127" w:type="dxa"/>
            <w:gridSpan w:val="2"/>
            <w:vAlign w:val="center"/>
          </w:tcPr>
          <w:p>
            <w:pPr>
              <w:spacing w:line="360" w:lineRule="auto"/>
              <w:jc w:val="center"/>
              <w:rPr>
                <w:b/>
                <w:sz w:val="24"/>
                <w:szCs w:val="24"/>
              </w:rPr>
            </w:pPr>
            <w:r>
              <w:rPr>
                <w:rFonts w:hint="eastAsia"/>
                <w:b/>
                <w:sz w:val="24"/>
                <w:szCs w:val="24"/>
              </w:rPr>
              <w:t>条款号</w:t>
            </w:r>
          </w:p>
        </w:tc>
        <w:tc>
          <w:tcPr>
            <w:tcW w:w="1842" w:type="dxa"/>
            <w:vAlign w:val="center"/>
          </w:tcPr>
          <w:p>
            <w:pPr>
              <w:spacing w:line="360" w:lineRule="auto"/>
              <w:jc w:val="center"/>
              <w:rPr>
                <w:b/>
                <w:sz w:val="24"/>
                <w:szCs w:val="24"/>
              </w:rPr>
            </w:pPr>
            <w:r>
              <w:rPr>
                <w:rFonts w:hint="eastAsia"/>
                <w:b/>
                <w:sz w:val="24"/>
                <w:szCs w:val="24"/>
              </w:rPr>
              <w:t>评分因素</w:t>
            </w:r>
          </w:p>
        </w:tc>
        <w:tc>
          <w:tcPr>
            <w:tcW w:w="5240" w:type="dxa"/>
            <w:vAlign w:val="center"/>
          </w:tcPr>
          <w:p>
            <w:pPr>
              <w:spacing w:line="360" w:lineRule="auto"/>
              <w:jc w:val="center"/>
              <w:rPr>
                <w:b/>
                <w:sz w:val="24"/>
                <w:szCs w:val="24"/>
              </w:rPr>
            </w:pPr>
            <w:r>
              <w:rPr>
                <w:rFonts w:hint="eastAsia"/>
                <w:b/>
                <w:sz w:val="24"/>
                <w:szCs w:val="24"/>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restart"/>
            <w:vAlign w:val="center"/>
          </w:tcPr>
          <w:p>
            <w:pPr>
              <w:spacing w:line="360" w:lineRule="auto"/>
              <w:jc w:val="center"/>
              <w:rPr>
                <w:sz w:val="24"/>
                <w:szCs w:val="24"/>
              </w:rPr>
            </w:pPr>
            <w:r>
              <w:rPr>
                <w:sz w:val="24"/>
                <w:szCs w:val="24"/>
              </w:rPr>
              <w:t>2.2.4(1)</w:t>
            </w:r>
          </w:p>
        </w:tc>
        <w:tc>
          <w:tcPr>
            <w:tcW w:w="851" w:type="dxa"/>
            <w:vMerge w:val="restart"/>
            <w:vAlign w:val="center"/>
          </w:tcPr>
          <w:p>
            <w:pPr>
              <w:spacing w:line="360" w:lineRule="auto"/>
              <w:jc w:val="center"/>
              <w:rPr>
                <w:sz w:val="24"/>
                <w:szCs w:val="24"/>
              </w:rPr>
            </w:pPr>
            <w:r>
              <w:rPr>
                <w:rFonts w:hint="eastAsia"/>
                <w:sz w:val="24"/>
                <w:szCs w:val="24"/>
              </w:rPr>
              <w:t>施工</w:t>
            </w:r>
            <w:r>
              <w:rPr>
                <w:sz w:val="24"/>
                <w:szCs w:val="24"/>
              </w:rPr>
              <w:t xml:space="preserve"> </w:t>
            </w:r>
            <w:r>
              <w:rPr>
                <w:rFonts w:hint="eastAsia"/>
                <w:sz w:val="24"/>
                <w:szCs w:val="24"/>
              </w:rPr>
              <w:t>组织</w:t>
            </w:r>
            <w:r>
              <w:rPr>
                <w:sz w:val="24"/>
                <w:szCs w:val="24"/>
              </w:rPr>
              <w:t xml:space="preserve"> </w:t>
            </w:r>
            <w:r>
              <w:rPr>
                <w:rFonts w:hint="eastAsia"/>
                <w:sz w:val="24"/>
                <w:szCs w:val="24"/>
              </w:rPr>
              <w:t>设计</w:t>
            </w:r>
            <w:r>
              <w:rPr>
                <w:sz w:val="24"/>
                <w:szCs w:val="24"/>
              </w:rPr>
              <w:t xml:space="preserve"> </w:t>
            </w:r>
            <w:r>
              <w:rPr>
                <w:rFonts w:hint="eastAsia"/>
                <w:sz w:val="24"/>
                <w:szCs w:val="24"/>
              </w:rPr>
              <w:t>评分</w:t>
            </w:r>
            <w:r>
              <w:rPr>
                <w:sz w:val="24"/>
                <w:szCs w:val="24"/>
              </w:rPr>
              <w:t xml:space="preserve"> </w:t>
            </w:r>
            <w:r>
              <w:rPr>
                <w:rFonts w:hint="eastAsia"/>
                <w:sz w:val="24"/>
                <w:szCs w:val="24"/>
              </w:rPr>
              <w:t>标准（</w:t>
            </w:r>
            <w:r>
              <w:rPr>
                <w:sz w:val="24"/>
                <w:szCs w:val="24"/>
              </w:rPr>
              <w:t>25</w:t>
            </w:r>
            <w:r>
              <w:rPr>
                <w:rFonts w:hint="eastAsia"/>
                <w:sz w:val="24"/>
                <w:szCs w:val="24"/>
              </w:rPr>
              <w:t>分）</w:t>
            </w:r>
          </w:p>
        </w:tc>
        <w:tc>
          <w:tcPr>
            <w:tcW w:w="1842" w:type="dxa"/>
            <w:vAlign w:val="center"/>
          </w:tcPr>
          <w:p>
            <w:pPr>
              <w:spacing w:line="360" w:lineRule="auto"/>
              <w:jc w:val="center"/>
              <w:rPr>
                <w:sz w:val="24"/>
                <w:szCs w:val="24"/>
              </w:rPr>
            </w:pPr>
            <w:r>
              <w:rPr>
                <w:rFonts w:hint="eastAsia"/>
                <w:sz w:val="24"/>
                <w:szCs w:val="24"/>
              </w:rPr>
              <w:t>内容完整性和编制水平</w:t>
            </w:r>
          </w:p>
        </w:tc>
        <w:tc>
          <w:tcPr>
            <w:tcW w:w="5240" w:type="dxa"/>
            <w:vAlign w:val="center"/>
          </w:tcPr>
          <w:p>
            <w:pPr>
              <w:spacing w:line="360" w:lineRule="auto"/>
              <w:rPr>
                <w:sz w:val="24"/>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施工方案与技术措施</w:t>
            </w:r>
          </w:p>
        </w:tc>
        <w:tc>
          <w:tcPr>
            <w:tcW w:w="5240" w:type="dxa"/>
            <w:vAlign w:val="center"/>
          </w:tcPr>
          <w:p>
            <w:pPr>
              <w:spacing w:line="360" w:lineRule="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质量管理体系与措施</w:t>
            </w:r>
          </w:p>
        </w:tc>
        <w:tc>
          <w:tcPr>
            <w:tcW w:w="5240" w:type="dxa"/>
            <w:vAlign w:val="center"/>
          </w:tcPr>
          <w:p>
            <w:pPr>
              <w:spacing w:line="360" w:lineRule="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安全管理体系与措施</w:t>
            </w:r>
          </w:p>
        </w:tc>
        <w:tc>
          <w:tcPr>
            <w:tcW w:w="5240" w:type="dxa"/>
            <w:vAlign w:val="center"/>
          </w:tcPr>
          <w:p>
            <w:pPr>
              <w:spacing w:line="360" w:lineRule="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环境保护管理体系与措施</w:t>
            </w:r>
          </w:p>
        </w:tc>
        <w:tc>
          <w:tcPr>
            <w:tcW w:w="5240" w:type="dxa"/>
            <w:vAlign w:val="center"/>
          </w:tcPr>
          <w:p>
            <w:pPr>
              <w:spacing w:line="360" w:lineRule="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工程进度计划与措施</w:t>
            </w:r>
          </w:p>
        </w:tc>
        <w:tc>
          <w:tcPr>
            <w:tcW w:w="5240" w:type="dxa"/>
            <w:vAlign w:val="center"/>
          </w:tcPr>
          <w:p>
            <w:pPr>
              <w:spacing w:line="360" w:lineRule="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施工总平面图</w:t>
            </w:r>
          </w:p>
        </w:tc>
        <w:tc>
          <w:tcPr>
            <w:tcW w:w="5240" w:type="dxa"/>
            <w:vAlign w:val="center"/>
          </w:tcPr>
          <w:p>
            <w:pPr>
              <w:spacing w:line="360" w:lineRule="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资源配备计划</w:t>
            </w:r>
          </w:p>
        </w:tc>
        <w:tc>
          <w:tcPr>
            <w:tcW w:w="5240" w:type="dxa"/>
            <w:vAlign w:val="center"/>
          </w:tcPr>
          <w:p>
            <w:pPr>
              <w:spacing w:line="360" w:lineRule="auto"/>
              <w:rPr>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both"/>
              <w:rPr>
                <w:sz w:val="24"/>
                <w:szCs w:val="24"/>
                <w:lang w:val="en-US"/>
              </w:rPr>
            </w:pPr>
            <w:r>
              <w:rPr>
                <w:rFonts w:hint="eastAsia"/>
                <w:sz w:val="24"/>
                <w:szCs w:val="24"/>
                <w:lang w:val="en-US"/>
              </w:rPr>
              <w:t>绿色科技创新措施</w:t>
            </w:r>
          </w:p>
        </w:tc>
        <w:tc>
          <w:tcPr>
            <w:tcW w:w="5240" w:type="dxa"/>
            <w:vAlign w:val="center"/>
          </w:tcPr>
          <w:p>
            <w:pPr>
              <w:spacing w:line="360" w:lineRule="auto"/>
              <w:rPr>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both"/>
              <w:rPr>
                <w:sz w:val="24"/>
                <w:szCs w:val="24"/>
                <w:lang w:val="en-US"/>
              </w:rPr>
            </w:pPr>
            <w:r>
              <w:rPr>
                <w:rFonts w:hint="eastAsia"/>
                <w:sz w:val="24"/>
                <w:szCs w:val="24"/>
                <w:lang w:val="en-US"/>
              </w:rPr>
              <w:t>竣工后的保修措施</w:t>
            </w:r>
          </w:p>
        </w:tc>
        <w:tc>
          <w:tcPr>
            <w:tcW w:w="5240" w:type="dxa"/>
            <w:vAlign w:val="center"/>
          </w:tcPr>
          <w:p>
            <w:pPr>
              <w:spacing w:line="360" w:lineRule="auto"/>
              <w:rPr>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lang w:val="en-US"/>
              </w:rPr>
            </w:pPr>
            <w:r>
              <w:rPr>
                <w:sz w:val="24"/>
                <w:szCs w:val="24"/>
                <w:lang w:val="en-US"/>
              </w:rPr>
              <w:t>......</w:t>
            </w:r>
          </w:p>
        </w:tc>
        <w:tc>
          <w:tcPr>
            <w:tcW w:w="5240" w:type="dxa"/>
            <w:vAlign w:val="center"/>
          </w:tcPr>
          <w:p>
            <w:pPr>
              <w:spacing w:line="360" w:lineRule="auto"/>
              <w:rPr>
                <w:color w:val="00000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restart"/>
            <w:vAlign w:val="center"/>
          </w:tcPr>
          <w:p>
            <w:pPr>
              <w:spacing w:line="360" w:lineRule="auto"/>
              <w:jc w:val="center"/>
              <w:rPr>
                <w:sz w:val="24"/>
                <w:szCs w:val="24"/>
              </w:rPr>
            </w:pPr>
            <w:r>
              <w:rPr>
                <w:sz w:val="24"/>
                <w:szCs w:val="24"/>
              </w:rPr>
              <w:t>2.2.4(2)</w:t>
            </w:r>
          </w:p>
        </w:tc>
        <w:tc>
          <w:tcPr>
            <w:tcW w:w="851" w:type="dxa"/>
            <w:vMerge w:val="restart"/>
            <w:vAlign w:val="center"/>
          </w:tcPr>
          <w:p>
            <w:pPr>
              <w:spacing w:line="360" w:lineRule="auto"/>
              <w:jc w:val="center"/>
              <w:rPr>
                <w:sz w:val="24"/>
                <w:szCs w:val="24"/>
              </w:rPr>
            </w:pPr>
            <w:r>
              <w:rPr>
                <w:rFonts w:hint="eastAsia"/>
                <w:color w:val="000000"/>
                <w:sz w:val="24"/>
                <w:szCs w:val="24"/>
              </w:rPr>
              <w:t>项目管理机构及业绩</w:t>
            </w:r>
            <w:r>
              <w:rPr>
                <w:rFonts w:hint="eastAsia"/>
                <w:sz w:val="24"/>
                <w:szCs w:val="24"/>
              </w:rPr>
              <w:t>评分标准（</w:t>
            </w:r>
            <w:r>
              <w:rPr>
                <w:sz w:val="24"/>
                <w:szCs w:val="24"/>
              </w:rPr>
              <w:t>20</w:t>
            </w:r>
            <w:r>
              <w:rPr>
                <w:rFonts w:hint="eastAsia"/>
                <w:sz w:val="24"/>
                <w:szCs w:val="24"/>
              </w:rPr>
              <w:t>分）</w:t>
            </w:r>
          </w:p>
        </w:tc>
        <w:tc>
          <w:tcPr>
            <w:tcW w:w="1842" w:type="dxa"/>
            <w:vAlign w:val="center"/>
          </w:tcPr>
          <w:p>
            <w:pPr>
              <w:spacing w:line="360" w:lineRule="auto"/>
              <w:jc w:val="center"/>
              <w:rPr>
                <w:sz w:val="24"/>
                <w:szCs w:val="24"/>
              </w:rPr>
            </w:pPr>
            <w:r>
              <w:rPr>
                <w:rFonts w:hint="eastAsia"/>
                <w:sz w:val="24"/>
                <w:szCs w:val="24"/>
              </w:rPr>
              <w:t>项目经理任职资格与业绩</w:t>
            </w:r>
          </w:p>
        </w:tc>
        <w:tc>
          <w:tcPr>
            <w:tcW w:w="5240" w:type="dxa"/>
            <w:vAlign w:val="center"/>
          </w:tcPr>
          <w:p>
            <w:pPr>
              <w:spacing w:line="360" w:lineRule="auto"/>
              <w:rPr>
                <w:sz w:val="24"/>
                <w:szCs w:val="24"/>
                <w:lang w:val="en-US"/>
              </w:rPr>
            </w:pPr>
            <w:r>
              <w:rPr>
                <w:rFonts w:hint="eastAsia"/>
                <w:sz w:val="24"/>
                <w:szCs w:val="24"/>
                <w:lang w:val="en-US"/>
              </w:rPr>
              <w:t>注：根据招标人及项目特点自行设置分值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技术负责人任职资格与业绩</w:t>
            </w:r>
          </w:p>
        </w:tc>
        <w:tc>
          <w:tcPr>
            <w:tcW w:w="5240" w:type="dxa"/>
            <w:vAlign w:val="center"/>
          </w:tcPr>
          <w:p>
            <w:pPr>
              <w:spacing w:line="360" w:lineRule="auto"/>
              <w:rPr>
                <w:sz w:val="24"/>
                <w:szCs w:val="24"/>
              </w:rPr>
            </w:pPr>
            <w:r>
              <w:rPr>
                <w:rFonts w:hint="eastAsia"/>
                <w:sz w:val="24"/>
                <w:szCs w:val="24"/>
                <w:lang w:val="en-US"/>
              </w:rPr>
              <w:t>注：根据招标人及项目特点自行设置分值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1276" w:type="dxa"/>
            <w:vMerge w:val="continue"/>
            <w:vAlign w:val="center"/>
          </w:tcPr>
          <w:p>
            <w:pPr>
              <w:spacing w:line="360" w:lineRule="auto"/>
              <w:rPr>
                <w:sz w:val="24"/>
                <w:szCs w:val="24"/>
              </w:rPr>
            </w:pPr>
          </w:p>
        </w:tc>
        <w:tc>
          <w:tcPr>
            <w:tcW w:w="851" w:type="dxa"/>
            <w:vMerge w:val="continue"/>
            <w:vAlign w:val="center"/>
          </w:tcPr>
          <w:p>
            <w:pPr>
              <w:spacing w:line="360" w:lineRule="auto"/>
              <w:rPr>
                <w:sz w:val="24"/>
                <w:szCs w:val="24"/>
              </w:rPr>
            </w:pPr>
          </w:p>
        </w:tc>
        <w:tc>
          <w:tcPr>
            <w:tcW w:w="1842" w:type="dxa"/>
            <w:vAlign w:val="center"/>
          </w:tcPr>
          <w:p>
            <w:pPr>
              <w:spacing w:line="360" w:lineRule="auto"/>
              <w:jc w:val="center"/>
              <w:rPr>
                <w:sz w:val="24"/>
                <w:szCs w:val="24"/>
              </w:rPr>
            </w:pPr>
            <w:r>
              <w:rPr>
                <w:rFonts w:hint="eastAsia"/>
                <w:sz w:val="24"/>
                <w:szCs w:val="24"/>
              </w:rPr>
              <w:t>……</w:t>
            </w:r>
          </w:p>
        </w:tc>
        <w:tc>
          <w:tcPr>
            <w:tcW w:w="5240" w:type="dxa"/>
            <w:vAlign w:val="center"/>
          </w:tcPr>
          <w:p>
            <w:pPr>
              <w:spacing w:line="360" w:lineRule="auto"/>
              <w:jc w:val="center"/>
              <w:rPr>
                <w:sz w:val="24"/>
                <w:szCs w:val="24"/>
              </w:rPr>
            </w:pPr>
            <w:r>
              <w:rPr>
                <w:rFonts w:hint="eastAsia"/>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Align w:val="center"/>
          </w:tcPr>
          <w:p>
            <w:pPr>
              <w:spacing w:line="360" w:lineRule="auto"/>
              <w:jc w:val="center"/>
              <w:rPr>
                <w:sz w:val="24"/>
                <w:szCs w:val="24"/>
              </w:rPr>
            </w:pPr>
            <w:r>
              <w:rPr>
                <w:sz w:val="24"/>
                <w:szCs w:val="24"/>
              </w:rPr>
              <w:t>2.2.4(3)</w:t>
            </w:r>
          </w:p>
        </w:tc>
        <w:tc>
          <w:tcPr>
            <w:tcW w:w="851" w:type="dxa"/>
            <w:vAlign w:val="center"/>
          </w:tcPr>
          <w:p>
            <w:pPr>
              <w:spacing w:line="360" w:lineRule="auto"/>
              <w:jc w:val="center"/>
              <w:rPr>
                <w:sz w:val="24"/>
                <w:szCs w:val="24"/>
              </w:rPr>
            </w:pPr>
            <w:r>
              <w:rPr>
                <w:rFonts w:hint="eastAsia"/>
                <w:sz w:val="24"/>
                <w:szCs w:val="24"/>
              </w:rPr>
              <w:t>其他评审评分标准</w:t>
            </w:r>
          </w:p>
          <w:p>
            <w:pPr>
              <w:spacing w:line="360" w:lineRule="auto"/>
              <w:jc w:val="center"/>
            </w:pPr>
            <w:r>
              <w:rPr>
                <w:rFonts w:hint="eastAsia"/>
                <w:sz w:val="24"/>
                <w:szCs w:val="24"/>
              </w:rPr>
              <w:t>（</w:t>
            </w:r>
            <w:r>
              <w:rPr>
                <w:sz w:val="24"/>
                <w:szCs w:val="24"/>
              </w:rPr>
              <w:t>10</w:t>
            </w:r>
            <w:r>
              <w:rPr>
                <w:rFonts w:hint="eastAsia"/>
                <w:sz w:val="24"/>
                <w:szCs w:val="24"/>
              </w:rPr>
              <w:t>分）</w:t>
            </w:r>
          </w:p>
        </w:tc>
        <w:tc>
          <w:tcPr>
            <w:tcW w:w="1842" w:type="dxa"/>
            <w:vAlign w:val="center"/>
          </w:tcPr>
          <w:p>
            <w:pPr>
              <w:spacing w:line="360" w:lineRule="auto"/>
              <w:jc w:val="center"/>
            </w:pPr>
            <w:r>
              <w:rPr>
                <w:rFonts w:hint="eastAsia"/>
                <w:sz w:val="24"/>
                <w:szCs w:val="24"/>
              </w:rPr>
              <w:t>企业信用等级认证情况</w:t>
            </w:r>
          </w:p>
        </w:tc>
        <w:tc>
          <w:tcPr>
            <w:tcW w:w="5240" w:type="dxa"/>
          </w:tcPr>
          <w:p>
            <w:pPr>
              <w:spacing w:line="360" w:lineRule="auto"/>
              <w:rPr>
                <w:sz w:val="24"/>
                <w:szCs w:val="24"/>
              </w:rPr>
            </w:pPr>
            <w:r>
              <w:rPr>
                <w:rFonts w:hint="eastAsia"/>
                <w:sz w:val="24"/>
                <w:szCs w:val="24"/>
                <w:lang w:val="en-US"/>
              </w:rPr>
              <w:t>根据《西藏自治区建筑市场信用管理办法（试行）的通知》（藏建市管</w:t>
            </w:r>
            <w:r>
              <w:rPr>
                <w:sz w:val="24"/>
                <w:szCs w:val="24"/>
                <w:lang w:val="en-US"/>
              </w:rPr>
              <w:t>[2020]56</w:t>
            </w:r>
            <w:r>
              <w:rPr>
                <w:rFonts w:hint="eastAsia"/>
                <w:sz w:val="24"/>
                <w:szCs w:val="24"/>
                <w:lang w:val="en-US"/>
              </w:rPr>
              <w:t>号）及</w:t>
            </w:r>
            <w:r>
              <w:rPr>
                <w:rFonts w:hint="eastAsia"/>
                <w:sz w:val="24"/>
                <w:szCs w:val="24"/>
              </w:rPr>
              <w:t>《西藏自治区建筑市场信用管理办法试行）》的通知（藏建市管〔</w:t>
            </w:r>
            <w:r>
              <w:rPr>
                <w:sz w:val="24"/>
                <w:szCs w:val="24"/>
              </w:rPr>
              <w:t>2022</w:t>
            </w:r>
            <w:r>
              <w:rPr>
                <w:rFonts w:hint="eastAsia"/>
                <w:sz w:val="24"/>
                <w:szCs w:val="24"/>
              </w:rPr>
              <w:t>〕</w:t>
            </w:r>
            <w:r>
              <w:rPr>
                <w:sz w:val="24"/>
                <w:szCs w:val="24"/>
              </w:rPr>
              <w:t>155</w:t>
            </w:r>
            <w:r>
              <w:rPr>
                <w:rFonts w:hint="eastAsia"/>
                <w:sz w:val="24"/>
                <w:szCs w:val="24"/>
              </w:rPr>
              <w:t>号），政府投资、全部或者国有投资占主导或控股地位的房屋建筑和市政基础设施工程招投标中，信用得分在评标分中应占</w:t>
            </w:r>
            <w:r>
              <w:rPr>
                <w:sz w:val="24"/>
                <w:szCs w:val="24"/>
              </w:rPr>
              <w:t>10%</w:t>
            </w:r>
            <w:r>
              <w:rPr>
                <w:rFonts w:hint="eastAsia"/>
                <w:sz w:val="24"/>
                <w:szCs w:val="24"/>
              </w:rPr>
              <w:t>，按照年度信用评价结果和动态管理评价得分情况进行实际计分。联合体参与投标的，其信用分按联合体</w:t>
            </w:r>
            <w:r>
              <w:rPr>
                <w:rFonts w:hint="eastAsia"/>
                <w:sz w:val="24"/>
                <w:szCs w:val="24"/>
                <w:lang w:val="en-US"/>
              </w:rPr>
              <w:t>成员</w:t>
            </w:r>
            <w:r>
              <w:rPr>
                <w:rFonts w:hint="eastAsia"/>
                <w:sz w:val="24"/>
                <w:szCs w:val="24"/>
              </w:rPr>
              <w:t>中</w:t>
            </w:r>
            <w:r>
              <w:rPr>
                <w:rFonts w:hint="eastAsia"/>
                <w:sz w:val="24"/>
                <w:szCs w:val="24"/>
                <w:lang w:val="en-US"/>
              </w:rPr>
              <w:t>企业信用得分</w:t>
            </w:r>
            <w:r>
              <w:rPr>
                <w:rFonts w:hint="eastAsia"/>
                <w:sz w:val="24"/>
                <w:szCs w:val="24"/>
              </w:rPr>
              <w:t>最低分认定。</w:t>
            </w:r>
          </w:p>
          <w:p>
            <w:pPr>
              <w:spacing w:line="360" w:lineRule="auto"/>
              <w:rPr>
                <w:sz w:val="24"/>
                <w:szCs w:val="24"/>
              </w:rPr>
            </w:pPr>
            <w:r>
              <w:rPr>
                <w:rFonts w:hint="eastAsia"/>
                <w:sz w:val="24"/>
                <w:szCs w:val="24"/>
              </w:rPr>
              <w:t>具体评标信用计分方法如下：</w:t>
            </w:r>
          </w:p>
          <w:p>
            <w:pPr>
              <w:spacing w:line="360" w:lineRule="auto"/>
              <w:rPr>
                <w:sz w:val="24"/>
                <w:szCs w:val="24"/>
              </w:rPr>
            </w:pPr>
            <w:r>
              <w:rPr>
                <w:rFonts w:hint="eastAsia"/>
                <w:sz w:val="24"/>
                <w:szCs w:val="24"/>
              </w:rPr>
              <w:t>（一）企业年度信用计分。被评为</w:t>
            </w:r>
            <w:r>
              <w:rPr>
                <w:sz w:val="24"/>
                <w:szCs w:val="24"/>
              </w:rPr>
              <w:t>A</w:t>
            </w:r>
            <w:r>
              <w:rPr>
                <w:rFonts w:hint="eastAsia"/>
                <w:sz w:val="24"/>
                <w:szCs w:val="24"/>
              </w:rPr>
              <w:t>级的企业加</w:t>
            </w:r>
            <w:r>
              <w:rPr>
                <w:sz w:val="24"/>
                <w:szCs w:val="24"/>
              </w:rPr>
              <w:t>6</w:t>
            </w:r>
            <w:r>
              <w:rPr>
                <w:rFonts w:hint="eastAsia"/>
                <w:sz w:val="24"/>
                <w:szCs w:val="24"/>
              </w:rPr>
              <w:t>分、评为</w:t>
            </w:r>
            <w:r>
              <w:rPr>
                <w:sz w:val="24"/>
                <w:szCs w:val="24"/>
              </w:rPr>
              <w:t>B</w:t>
            </w:r>
            <w:r>
              <w:rPr>
                <w:rFonts w:hint="eastAsia"/>
                <w:sz w:val="24"/>
                <w:szCs w:val="24"/>
              </w:rPr>
              <w:t>级的企业加</w:t>
            </w:r>
            <w:r>
              <w:rPr>
                <w:sz w:val="24"/>
                <w:szCs w:val="24"/>
              </w:rPr>
              <w:t>4</w:t>
            </w:r>
            <w:r>
              <w:rPr>
                <w:rFonts w:hint="eastAsia"/>
                <w:sz w:val="24"/>
                <w:szCs w:val="24"/>
              </w:rPr>
              <w:t>分、评为</w:t>
            </w:r>
            <w:r>
              <w:rPr>
                <w:sz w:val="24"/>
                <w:szCs w:val="24"/>
              </w:rPr>
              <w:t>C</w:t>
            </w:r>
            <w:r>
              <w:rPr>
                <w:rFonts w:hint="eastAsia"/>
                <w:sz w:val="24"/>
                <w:szCs w:val="24"/>
              </w:rPr>
              <w:t>级的企业加</w:t>
            </w:r>
            <w:r>
              <w:rPr>
                <w:sz w:val="24"/>
                <w:szCs w:val="24"/>
              </w:rPr>
              <w:t>2</w:t>
            </w:r>
            <w:r>
              <w:rPr>
                <w:rFonts w:hint="eastAsia"/>
                <w:sz w:val="24"/>
                <w:szCs w:val="24"/>
              </w:rPr>
              <w:t>分，评为</w:t>
            </w:r>
            <w:r>
              <w:rPr>
                <w:sz w:val="24"/>
                <w:szCs w:val="24"/>
              </w:rPr>
              <w:t>D</w:t>
            </w:r>
            <w:r>
              <w:rPr>
                <w:rFonts w:hint="eastAsia"/>
                <w:sz w:val="24"/>
                <w:szCs w:val="24"/>
              </w:rPr>
              <w:t>级的企业不加分（依据相关法律法规限制市场行为）。</w:t>
            </w:r>
          </w:p>
          <w:p>
            <w:pPr>
              <w:spacing w:line="360" w:lineRule="auto"/>
              <w:rPr>
                <w:sz w:val="24"/>
                <w:szCs w:val="24"/>
              </w:rPr>
            </w:pPr>
            <w:r>
              <w:rPr>
                <w:rFonts w:hint="eastAsia"/>
                <w:sz w:val="24"/>
                <w:szCs w:val="24"/>
              </w:rPr>
              <w:t>（二）企业动态信用计分。按照《西藏自治区建筑市场各方主体和从业人员评分标准》，企业在一体化平台上评定分值（最高分值</w:t>
            </w:r>
            <w:r>
              <w:rPr>
                <w:sz w:val="24"/>
                <w:szCs w:val="24"/>
              </w:rPr>
              <w:t>150</w:t>
            </w:r>
            <w:r>
              <w:rPr>
                <w:rFonts w:hint="eastAsia"/>
                <w:sz w:val="24"/>
                <w:szCs w:val="24"/>
              </w:rPr>
              <w:t>分）的</w:t>
            </w:r>
            <w:r>
              <w:rPr>
                <w:sz w:val="24"/>
                <w:szCs w:val="24"/>
              </w:rPr>
              <w:t>4%</w:t>
            </w:r>
            <w:r>
              <w:rPr>
                <w:rFonts w:hint="eastAsia"/>
                <w:sz w:val="24"/>
                <w:szCs w:val="24"/>
              </w:rPr>
              <w:t>计取得分。发生严重失信行为信用等级被降为</w:t>
            </w:r>
            <w:r>
              <w:rPr>
                <w:sz w:val="24"/>
                <w:szCs w:val="24"/>
              </w:rPr>
              <w:t>D</w:t>
            </w:r>
            <w:r>
              <w:rPr>
                <w:rFonts w:hint="eastAsia"/>
                <w:sz w:val="24"/>
                <w:szCs w:val="24"/>
              </w:rPr>
              <w:t>级的，依据相关法律法规限制市场行为。</w:t>
            </w:r>
          </w:p>
          <w:p>
            <w:pPr>
              <w:spacing w:line="360" w:lineRule="auto"/>
              <w:rPr>
                <w:sz w:val="24"/>
                <w:szCs w:val="24"/>
              </w:rPr>
            </w:pPr>
            <w:r>
              <w:rPr>
                <w:rFonts w:hint="eastAsia"/>
                <w:sz w:val="24"/>
                <w:szCs w:val="24"/>
              </w:rPr>
              <w:t>以上两项得分合计不得超过</w:t>
            </w:r>
            <w:r>
              <w:rPr>
                <w:sz w:val="24"/>
                <w:szCs w:val="24"/>
              </w:rPr>
              <w:t>10</w:t>
            </w:r>
            <w:r>
              <w:rPr>
                <w:rFonts w:hint="eastAsia"/>
                <w:sz w:val="24"/>
                <w:szCs w:val="24"/>
              </w:rPr>
              <w:t>分，</w:t>
            </w:r>
            <w:r>
              <w:rPr>
                <w:rFonts w:hint="eastAsia"/>
                <w:sz w:val="24"/>
                <w:szCs w:val="24"/>
                <w:lang w:val="en-US"/>
              </w:rPr>
              <w:t>企业信用得分</w:t>
            </w:r>
            <w:r>
              <w:rPr>
                <w:sz w:val="24"/>
                <w:szCs w:val="24"/>
                <w:lang w:val="en-US"/>
              </w:rPr>
              <w:t>=</w:t>
            </w:r>
            <w:r>
              <w:rPr>
                <w:rFonts w:hint="eastAsia"/>
                <w:sz w:val="24"/>
                <w:szCs w:val="24"/>
                <w:lang w:val="en-US"/>
              </w:rPr>
              <w:t>企业年度信用计分</w:t>
            </w:r>
            <w:r>
              <w:rPr>
                <w:sz w:val="24"/>
                <w:szCs w:val="24"/>
                <w:lang w:val="en-US"/>
              </w:rPr>
              <w:t>+</w:t>
            </w:r>
            <w:r>
              <w:rPr>
                <w:rFonts w:hint="eastAsia"/>
                <w:sz w:val="24"/>
                <w:szCs w:val="24"/>
                <w:lang w:val="en-US"/>
              </w:rPr>
              <w:t>企业动态信用计分（企业年度信用计分及动态信用计分以招标文件投标截止日查询为准）</w:t>
            </w:r>
            <w:r>
              <w:rPr>
                <w:rFonts w:hint="eastAsia"/>
                <w:sz w:val="24"/>
                <w:szCs w:val="24"/>
              </w:rPr>
              <w:t>。</w:t>
            </w:r>
          </w:p>
          <w:p>
            <w:pPr>
              <w:spacing w:line="360" w:lineRule="auto"/>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32" w:hRule="atLeast"/>
          <w:jc w:val="center"/>
        </w:trPr>
        <w:tc>
          <w:tcPr>
            <w:tcW w:w="1276" w:type="dxa"/>
            <w:vAlign w:val="center"/>
          </w:tcPr>
          <w:p>
            <w:pPr>
              <w:spacing w:line="360" w:lineRule="auto"/>
              <w:jc w:val="center"/>
              <w:rPr>
                <w:sz w:val="24"/>
                <w:szCs w:val="24"/>
              </w:rPr>
            </w:pPr>
            <w:r>
              <w:rPr>
                <w:sz w:val="24"/>
                <w:szCs w:val="24"/>
              </w:rPr>
              <w:t>2.2.4(4)</w:t>
            </w:r>
          </w:p>
        </w:tc>
        <w:tc>
          <w:tcPr>
            <w:tcW w:w="851" w:type="dxa"/>
            <w:vAlign w:val="center"/>
          </w:tcPr>
          <w:p>
            <w:pPr>
              <w:spacing w:line="360" w:lineRule="auto"/>
              <w:jc w:val="center"/>
              <w:rPr>
                <w:sz w:val="24"/>
                <w:szCs w:val="24"/>
              </w:rPr>
            </w:pPr>
            <w:r>
              <w:rPr>
                <w:rFonts w:hint="eastAsia"/>
                <w:sz w:val="24"/>
                <w:szCs w:val="24"/>
              </w:rPr>
              <w:t>投标报价合理性</w:t>
            </w:r>
          </w:p>
        </w:tc>
        <w:tc>
          <w:tcPr>
            <w:tcW w:w="1842" w:type="dxa"/>
            <w:vAlign w:val="center"/>
          </w:tcPr>
          <w:p>
            <w:pPr>
              <w:spacing w:line="360" w:lineRule="auto"/>
              <w:jc w:val="center"/>
              <w:rPr>
                <w:sz w:val="24"/>
                <w:szCs w:val="24"/>
              </w:rPr>
            </w:pPr>
            <w:r>
              <w:rPr>
                <w:rFonts w:hint="eastAsia"/>
                <w:sz w:val="24"/>
                <w:szCs w:val="24"/>
              </w:rPr>
              <w:t>工程量清单各子目的综合单价金额与合理性分析基准值比较</w:t>
            </w:r>
          </w:p>
        </w:tc>
        <w:tc>
          <w:tcPr>
            <w:tcW w:w="5240" w:type="dxa"/>
            <w:vAlign w:val="center"/>
          </w:tcPr>
          <w:p>
            <w:pPr>
              <w:spacing w:line="360" w:lineRule="auto"/>
              <w:rPr>
                <w:sz w:val="24"/>
                <w:szCs w:val="24"/>
              </w:rPr>
            </w:pPr>
            <w:r>
              <w:rPr>
                <w:rFonts w:hint="eastAsia"/>
                <w:sz w:val="24"/>
                <w:szCs w:val="24"/>
              </w:rPr>
              <w:t>偏差率的绝对值＞</w:t>
            </w:r>
            <w:r>
              <w:rPr>
                <w:sz w:val="24"/>
                <w:szCs w:val="24"/>
              </w:rPr>
              <w:t>10%</w:t>
            </w:r>
            <w:r>
              <w:rPr>
                <w:rFonts w:hint="eastAsia"/>
                <w:sz w:val="24"/>
                <w:szCs w:val="24"/>
              </w:rPr>
              <w:t>且合价偏差金额在</w:t>
            </w:r>
            <w:r>
              <w:rPr>
                <w:sz w:val="24"/>
                <w:szCs w:val="24"/>
              </w:rPr>
              <w:t xml:space="preserve"> </w:t>
            </w:r>
            <w:r>
              <w:rPr>
                <w:rFonts w:hint="eastAsia"/>
                <w:sz w:val="24"/>
                <w:szCs w:val="24"/>
              </w:rPr>
              <w:t>该投标文件的评标价幅度</w:t>
            </w:r>
            <w:r>
              <w:rPr>
                <w:sz w:val="24"/>
                <w:szCs w:val="24"/>
              </w:rPr>
              <w:t xml:space="preserve"> 1%</w:t>
            </w:r>
            <w:r>
              <w:rPr>
                <w:rFonts w:hint="eastAsia"/>
                <w:sz w:val="24"/>
                <w:szCs w:val="24"/>
              </w:rPr>
              <w:t>以上的，有一</w:t>
            </w:r>
            <w:r>
              <w:rPr>
                <w:sz w:val="24"/>
                <w:szCs w:val="24"/>
              </w:rPr>
              <w:t xml:space="preserve"> </w:t>
            </w:r>
            <w:r>
              <w:rPr>
                <w:rFonts w:hint="eastAsia"/>
                <w:sz w:val="24"/>
                <w:szCs w:val="24"/>
              </w:rPr>
              <w:t>项扣</w:t>
            </w:r>
            <w:r>
              <w:rPr>
                <w:sz w:val="24"/>
                <w:szCs w:val="24"/>
              </w:rPr>
              <w:t xml:space="preserve"> 0.1 </w:t>
            </w:r>
            <w:r>
              <w:rPr>
                <w:rFonts w:hint="eastAsia"/>
                <w:sz w:val="24"/>
                <w:szCs w:val="24"/>
              </w:rPr>
              <w:t>分，最多扣</w:t>
            </w:r>
            <w:r>
              <w:rPr>
                <w:sz w:val="24"/>
                <w:szCs w:val="24"/>
              </w:rPr>
              <w:t xml:space="preserve"> 5 </w:t>
            </w:r>
            <w:r>
              <w:rPr>
                <w:rFonts w:hint="eastAsia"/>
                <w:sz w:val="24"/>
                <w:szCs w:val="24"/>
              </w:rPr>
              <w:t>分；评标委员会应当</w:t>
            </w:r>
            <w:r>
              <w:rPr>
                <w:sz w:val="24"/>
                <w:szCs w:val="24"/>
              </w:rPr>
              <w:t xml:space="preserve"> </w:t>
            </w:r>
            <w:r>
              <w:rPr>
                <w:rFonts w:hint="eastAsia"/>
                <w:sz w:val="24"/>
                <w:szCs w:val="24"/>
              </w:rPr>
              <w:t>使用符合要求的计算机软件辅助评审。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3969" w:type="dxa"/>
            <w:gridSpan w:val="3"/>
            <w:vAlign w:val="center"/>
          </w:tcPr>
          <w:p>
            <w:pPr>
              <w:spacing w:line="360" w:lineRule="auto"/>
              <w:jc w:val="center"/>
              <w:rPr>
                <w:b/>
                <w:sz w:val="24"/>
                <w:szCs w:val="24"/>
              </w:rPr>
            </w:pPr>
            <w:r>
              <w:rPr>
                <w:rFonts w:hint="eastAsia"/>
                <w:b/>
                <w:sz w:val="24"/>
                <w:szCs w:val="24"/>
              </w:rPr>
              <w:t>条款号</w:t>
            </w:r>
          </w:p>
        </w:tc>
        <w:tc>
          <w:tcPr>
            <w:tcW w:w="5240" w:type="dxa"/>
            <w:vAlign w:val="center"/>
          </w:tcPr>
          <w:p>
            <w:pPr>
              <w:spacing w:line="360" w:lineRule="auto"/>
              <w:jc w:val="center"/>
              <w:rPr>
                <w:b/>
                <w:sz w:val="24"/>
                <w:szCs w:val="24"/>
              </w:rPr>
            </w:pPr>
            <w:r>
              <w:rPr>
                <w:rFonts w:hint="eastAsia"/>
                <w:b/>
                <w:sz w:val="24"/>
                <w:szCs w:val="24"/>
              </w:rPr>
              <w:t>编列内容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Align w:val="center"/>
          </w:tcPr>
          <w:p>
            <w:pPr>
              <w:spacing w:line="360" w:lineRule="auto"/>
              <w:jc w:val="center"/>
              <w:rPr>
                <w:sz w:val="24"/>
                <w:szCs w:val="24"/>
              </w:rPr>
            </w:pPr>
            <w:r>
              <w:rPr>
                <w:sz w:val="24"/>
                <w:szCs w:val="24"/>
              </w:rPr>
              <w:t>3</w:t>
            </w:r>
          </w:p>
        </w:tc>
        <w:tc>
          <w:tcPr>
            <w:tcW w:w="2693" w:type="dxa"/>
            <w:gridSpan w:val="2"/>
            <w:vAlign w:val="center"/>
          </w:tcPr>
          <w:p>
            <w:pPr>
              <w:spacing w:line="360" w:lineRule="auto"/>
              <w:jc w:val="center"/>
              <w:rPr>
                <w:sz w:val="24"/>
                <w:szCs w:val="24"/>
              </w:rPr>
            </w:pPr>
            <w:r>
              <w:rPr>
                <w:rFonts w:hint="eastAsia"/>
                <w:sz w:val="24"/>
                <w:szCs w:val="24"/>
              </w:rPr>
              <w:t>评标程序</w:t>
            </w:r>
          </w:p>
        </w:tc>
        <w:tc>
          <w:tcPr>
            <w:tcW w:w="5240" w:type="dxa"/>
            <w:vAlign w:val="center"/>
          </w:tcPr>
          <w:p>
            <w:pPr>
              <w:spacing w:line="360" w:lineRule="auto"/>
              <w:rPr>
                <w:sz w:val="24"/>
                <w:szCs w:val="24"/>
              </w:rPr>
            </w:pPr>
            <w:r>
              <w:rPr>
                <w:rFonts w:hint="eastAsia"/>
                <w:sz w:val="24"/>
                <w:szCs w:val="24"/>
              </w:rPr>
              <w:t>详见本章附件</w:t>
            </w:r>
            <w:r>
              <w:rPr>
                <w:sz w:val="24"/>
                <w:szCs w:val="24"/>
              </w:rPr>
              <w:t>A</w:t>
            </w:r>
            <w:r>
              <w:rPr>
                <w:rFonts w:hint="eastAsia"/>
                <w:sz w:val="24"/>
                <w:szCs w:val="24"/>
              </w:rPr>
              <w:t>：评标详细程序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Align w:val="center"/>
          </w:tcPr>
          <w:p>
            <w:pPr>
              <w:spacing w:line="360" w:lineRule="auto"/>
              <w:jc w:val="center"/>
              <w:rPr>
                <w:sz w:val="24"/>
                <w:szCs w:val="24"/>
              </w:rPr>
            </w:pPr>
            <w:r>
              <w:rPr>
                <w:sz w:val="24"/>
                <w:szCs w:val="24"/>
              </w:rPr>
              <w:t>3.2.4</w:t>
            </w:r>
          </w:p>
        </w:tc>
        <w:tc>
          <w:tcPr>
            <w:tcW w:w="2693" w:type="dxa"/>
            <w:gridSpan w:val="2"/>
            <w:vAlign w:val="center"/>
          </w:tcPr>
          <w:p>
            <w:pPr>
              <w:spacing w:line="360" w:lineRule="auto"/>
              <w:jc w:val="center"/>
              <w:rPr>
                <w:sz w:val="24"/>
                <w:szCs w:val="24"/>
              </w:rPr>
            </w:pPr>
            <w:r>
              <w:rPr>
                <w:rFonts w:hint="eastAsia"/>
                <w:sz w:val="24"/>
                <w:szCs w:val="24"/>
              </w:rPr>
              <w:t>判断投标报价</w:t>
            </w:r>
          </w:p>
          <w:p>
            <w:pPr>
              <w:spacing w:line="360" w:lineRule="auto"/>
              <w:jc w:val="center"/>
              <w:rPr>
                <w:sz w:val="24"/>
                <w:szCs w:val="24"/>
              </w:rPr>
            </w:pPr>
            <w:r>
              <w:rPr>
                <w:rFonts w:hint="eastAsia"/>
                <w:sz w:val="24"/>
                <w:szCs w:val="24"/>
              </w:rPr>
              <w:t>是否低于其成本</w:t>
            </w:r>
          </w:p>
        </w:tc>
        <w:tc>
          <w:tcPr>
            <w:tcW w:w="5240" w:type="dxa"/>
            <w:vAlign w:val="center"/>
          </w:tcPr>
          <w:p>
            <w:pPr>
              <w:spacing w:line="360" w:lineRule="auto"/>
              <w:rPr>
                <w:sz w:val="24"/>
                <w:szCs w:val="24"/>
              </w:rPr>
            </w:pPr>
            <w:r>
              <w:rPr>
                <w:rFonts w:hint="eastAsia"/>
                <w:sz w:val="24"/>
                <w:szCs w:val="24"/>
              </w:rPr>
              <w:t>详见本章附件</w:t>
            </w:r>
            <w:r>
              <w:rPr>
                <w:sz w:val="24"/>
                <w:szCs w:val="24"/>
              </w:rPr>
              <w:t>B</w:t>
            </w:r>
            <w:r>
              <w:rPr>
                <w:rFonts w:hint="eastAsia"/>
                <w:sz w:val="24"/>
                <w:szCs w:val="24"/>
              </w:rPr>
              <w:t>：投标人成本评审办法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Align w:val="center"/>
          </w:tcPr>
          <w:p>
            <w:pPr>
              <w:spacing w:line="360" w:lineRule="auto"/>
              <w:jc w:val="center"/>
              <w:rPr>
                <w:sz w:val="24"/>
                <w:szCs w:val="24"/>
              </w:rPr>
            </w:pPr>
            <w:r>
              <w:rPr>
                <w:rFonts w:hint="eastAsia"/>
                <w:sz w:val="24"/>
                <w:szCs w:val="24"/>
              </w:rPr>
              <w:t>补</w:t>
            </w:r>
            <w:r>
              <w:rPr>
                <w:sz w:val="24"/>
                <w:szCs w:val="24"/>
              </w:rPr>
              <w:t>1</w:t>
            </w:r>
          </w:p>
        </w:tc>
        <w:tc>
          <w:tcPr>
            <w:tcW w:w="2693" w:type="dxa"/>
            <w:gridSpan w:val="2"/>
            <w:vAlign w:val="center"/>
          </w:tcPr>
          <w:p>
            <w:pPr>
              <w:spacing w:line="360" w:lineRule="auto"/>
              <w:jc w:val="center"/>
              <w:rPr>
                <w:sz w:val="24"/>
                <w:szCs w:val="24"/>
              </w:rPr>
            </w:pPr>
            <w:r>
              <w:rPr>
                <w:rFonts w:hint="eastAsia"/>
                <w:sz w:val="24"/>
                <w:szCs w:val="24"/>
              </w:rPr>
              <w:t>备选投标方案的评审</w:t>
            </w:r>
          </w:p>
        </w:tc>
        <w:tc>
          <w:tcPr>
            <w:tcW w:w="5240" w:type="dxa"/>
            <w:vAlign w:val="center"/>
          </w:tcPr>
          <w:p>
            <w:pPr>
              <w:spacing w:line="360" w:lineRule="auto"/>
              <w:rPr>
                <w:sz w:val="24"/>
                <w:szCs w:val="24"/>
              </w:rPr>
            </w:pPr>
            <w:r>
              <w:rPr>
                <w:rFonts w:hint="eastAsia"/>
                <w:sz w:val="24"/>
                <w:szCs w:val="24"/>
              </w:rPr>
              <w:t>详见本章附件</w:t>
            </w:r>
            <w:r>
              <w:rPr>
                <w:sz w:val="24"/>
                <w:szCs w:val="24"/>
              </w:rPr>
              <w:t>C</w:t>
            </w:r>
            <w:r>
              <w:rPr>
                <w:rFonts w:hint="eastAsia"/>
                <w:sz w:val="24"/>
                <w:szCs w:val="24"/>
              </w:rPr>
              <w:t>：备选投标方案的评审和比较办法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jc w:val="center"/>
        </w:trPr>
        <w:tc>
          <w:tcPr>
            <w:tcW w:w="1276" w:type="dxa"/>
            <w:vAlign w:val="center"/>
          </w:tcPr>
          <w:p>
            <w:pPr>
              <w:spacing w:line="360" w:lineRule="auto"/>
              <w:jc w:val="center"/>
              <w:rPr>
                <w:b/>
                <w:bCs/>
                <w:color w:val="000000"/>
                <w:sz w:val="24"/>
                <w:szCs w:val="24"/>
              </w:rPr>
            </w:pPr>
            <w:r>
              <w:rPr>
                <w:rFonts w:hint="eastAsia"/>
                <w:b/>
                <w:bCs/>
                <w:color w:val="000000"/>
                <w:sz w:val="24"/>
                <w:szCs w:val="24"/>
              </w:rPr>
              <w:t>说明</w:t>
            </w:r>
          </w:p>
        </w:tc>
        <w:tc>
          <w:tcPr>
            <w:tcW w:w="7933" w:type="dxa"/>
            <w:gridSpan w:val="3"/>
            <w:vAlign w:val="center"/>
          </w:tcPr>
          <w:p>
            <w:pPr>
              <w:spacing w:line="360" w:lineRule="auto"/>
              <w:rPr>
                <w:b/>
                <w:bCs/>
                <w:color w:val="000000"/>
                <w:sz w:val="24"/>
                <w:szCs w:val="24"/>
              </w:rPr>
            </w:pPr>
            <w:r>
              <w:rPr>
                <w:rFonts w:hint="eastAsia"/>
                <w:b/>
                <w:bCs/>
                <w:color w:val="000000"/>
                <w:sz w:val="24"/>
                <w:szCs w:val="24"/>
              </w:rPr>
              <w:t>条款号</w:t>
            </w:r>
            <w:r>
              <w:rPr>
                <w:b/>
                <w:bCs/>
                <w:color w:val="000000"/>
                <w:sz w:val="24"/>
                <w:szCs w:val="24"/>
              </w:rPr>
              <w:t>3</w:t>
            </w:r>
            <w:r>
              <w:rPr>
                <w:rFonts w:hint="eastAsia"/>
                <w:b/>
                <w:bCs/>
                <w:color w:val="000000"/>
                <w:sz w:val="24"/>
                <w:szCs w:val="24"/>
              </w:rPr>
              <w:t>及相应内容，不得与西藏自治区相关规定相抵触（本条为示范性内容，提倡招标人直接引用，但招标人如果允许递交备选投标方案的，应引用“补</w:t>
            </w:r>
            <w:r>
              <w:rPr>
                <w:b/>
                <w:bCs/>
                <w:color w:val="000000"/>
                <w:sz w:val="24"/>
                <w:szCs w:val="24"/>
              </w:rPr>
              <w:t>1</w:t>
            </w:r>
            <w:r>
              <w:rPr>
                <w:rFonts w:hint="eastAsia"/>
                <w:b/>
                <w:bCs/>
                <w:color w:val="000000"/>
                <w:sz w:val="24"/>
                <w:szCs w:val="24"/>
              </w:rPr>
              <w:t>：备选投标方案的评审”）</w:t>
            </w:r>
          </w:p>
        </w:tc>
      </w:tr>
    </w:tbl>
    <w:p>
      <w:pPr>
        <w:spacing w:line="360" w:lineRule="auto"/>
        <w:rPr>
          <w:sz w:val="24"/>
        </w:rPr>
      </w:pPr>
      <w:r>
        <w:rPr>
          <w:rFonts w:hint="eastAsia"/>
          <w:sz w:val="24"/>
        </w:rPr>
        <w:t>注：</w:t>
      </w:r>
    </w:p>
    <w:p>
      <w:pPr>
        <w:spacing w:line="360" w:lineRule="auto"/>
        <w:rPr>
          <w:sz w:val="24"/>
        </w:rPr>
      </w:pPr>
      <w:r>
        <w:t xml:space="preserve">    </w:t>
      </w:r>
      <w:r>
        <w:rPr>
          <w:rFonts w:hint="eastAsia"/>
          <w:sz w:val="24"/>
        </w:rPr>
        <w:t>（</w:t>
      </w:r>
      <w:r>
        <w:rPr>
          <w:sz w:val="24"/>
        </w:rPr>
        <w:t>1</w:t>
      </w:r>
      <w:r>
        <w:rPr>
          <w:rFonts w:hint="eastAsia"/>
          <w:sz w:val="24"/>
        </w:rPr>
        <w:t>）评标委员会在评标过程中，如要求投标人澄清或说明的，评标委员会要求投标人在线澄清或说明的时间距投标人收到评标委员会通知的时间不得少于</w:t>
      </w:r>
      <w:r>
        <w:rPr>
          <w:sz w:val="24"/>
        </w:rPr>
        <w:t xml:space="preserve"> 60</w:t>
      </w:r>
      <w:r>
        <w:rPr>
          <w:rFonts w:hint="eastAsia"/>
          <w:sz w:val="24"/>
        </w:rPr>
        <w:t>分钟。</w:t>
      </w:r>
    </w:p>
    <w:p>
      <w:pPr>
        <w:spacing w:line="360" w:lineRule="auto"/>
        <w:rPr>
          <w:sz w:val="24"/>
        </w:rPr>
      </w:pPr>
      <w:r>
        <w:t xml:space="preserve">    </w:t>
      </w:r>
      <w:r>
        <w:rPr>
          <w:rFonts w:hint="eastAsia"/>
          <w:sz w:val="24"/>
        </w:rPr>
        <w:t>评标委员会认为投标人的澄清或说明不够明确，应再次要求投标人对不明确的内容进行澄清或说明，评标委员会要求投标人再次在线澄清或说明的时间距投标人收到评标委员会通知的时间不得少于</w:t>
      </w:r>
      <w:r>
        <w:rPr>
          <w:sz w:val="24"/>
        </w:rPr>
        <w:t xml:space="preserve"> 30 </w:t>
      </w:r>
      <w:r>
        <w:rPr>
          <w:rFonts w:hint="eastAsia"/>
          <w:sz w:val="24"/>
        </w:rPr>
        <w:t>分钟。</w:t>
      </w:r>
    </w:p>
    <w:p>
      <w:pPr>
        <w:spacing w:line="360" w:lineRule="auto"/>
        <w:rPr>
          <w:sz w:val="24"/>
        </w:rPr>
      </w:pPr>
      <w:r>
        <w:t xml:space="preserve">    </w:t>
      </w:r>
      <w:r>
        <w:rPr>
          <w:rFonts w:hint="eastAsia"/>
          <w:sz w:val="24"/>
        </w:rPr>
        <w:t>投标人未在规定时间内作出澄清或说明的，或者评标委员会认为该投标人的两次澄清或说明都不符合评标委员会要求的，作否决投标处理。</w:t>
      </w:r>
    </w:p>
    <w:p>
      <w:pPr>
        <w:spacing w:line="360" w:lineRule="auto"/>
        <w:rPr>
          <w:sz w:val="24"/>
        </w:rPr>
      </w:pPr>
      <w:r>
        <w:t xml:space="preserve">    </w:t>
      </w:r>
      <w:r>
        <w:rPr>
          <w:rFonts w:hint="eastAsia"/>
          <w:sz w:val="24"/>
        </w:rPr>
        <w:t>（</w:t>
      </w:r>
      <w:r>
        <w:rPr>
          <w:sz w:val="24"/>
        </w:rPr>
        <w:t>2</w:t>
      </w:r>
      <w:r>
        <w:rPr>
          <w:rFonts w:hint="eastAsia"/>
          <w:sz w:val="24"/>
        </w:rPr>
        <w:t>）投标人串通投标或弄虚作假或有其他违法行为，评标委员会在评标过程中发现，证据确凿的，经评标委员会成员三分之二以上同意，其投标作否决投标处理；证据不够确凿的，其投标不能作否决投标处理，但评标委员会在向招标人提交书面评标报告时，应予说明。</w:t>
      </w:r>
    </w:p>
    <w:p>
      <w:pPr>
        <w:spacing w:line="360" w:lineRule="auto"/>
        <w:rPr>
          <w:sz w:val="24"/>
        </w:rPr>
      </w:pPr>
      <w:r>
        <w:t xml:space="preserve">    </w:t>
      </w:r>
      <w:r>
        <w:rPr>
          <w:rFonts w:hint="eastAsia"/>
          <w:sz w:val="24"/>
        </w:rPr>
        <w:t>在评标结束后发现投标人串通投标或弄虚作假或有其他违法行为，查证属实的，取消其中标资格。</w:t>
      </w:r>
    </w:p>
    <w:p>
      <w:pPr>
        <w:autoSpaceDE/>
        <w:autoSpaceDN/>
        <w:spacing w:line="360" w:lineRule="auto"/>
        <w:rPr>
          <w:b/>
          <w:bCs/>
          <w:sz w:val="24"/>
          <w:szCs w:val="24"/>
        </w:rPr>
      </w:pPr>
      <w:r>
        <w:br w:type="page"/>
      </w:r>
      <w:bookmarkStart w:id="33" w:name="_Toc256000060"/>
      <w:r>
        <w:rPr>
          <w:b/>
          <w:bCs/>
          <w:sz w:val="24"/>
          <w:szCs w:val="24"/>
        </w:rPr>
        <w:t>1.</w:t>
      </w:r>
      <w:r>
        <w:rPr>
          <w:rFonts w:hint="eastAsia"/>
          <w:b/>
          <w:bCs/>
          <w:sz w:val="24"/>
          <w:szCs w:val="24"/>
        </w:rPr>
        <w:t>评标方法</w:t>
      </w:r>
      <w:bookmarkEnd w:id="33"/>
    </w:p>
    <w:p>
      <w:pPr>
        <w:autoSpaceDE/>
        <w:autoSpaceDN/>
        <w:spacing w:line="360" w:lineRule="auto"/>
        <w:rPr>
          <w:sz w:val="24"/>
          <w:szCs w:val="24"/>
        </w:rPr>
      </w:pPr>
      <w:r>
        <w:rPr>
          <w:sz w:val="24"/>
          <w:szCs w:val="24"/>
        </w:rPr>
        <w:t xml:space="preserve">    </w:t>
      </w:r>
      <w:r>
        <w:rPr>
          <w:rFonts w:hint="eastAsia"/>
          <w:sz w:val="24"/>
          <w:szCs w:val="24"/>
        </w:rPr>
        <w:t>本次评标采用综合评估法。评标委员会对满足招标文件实质性要求的投标文件，按照本章第</w:t>
      </w:r>
      <w:r>
        <w:rPr>
          <w:sz w:val="24"/>
          <w:szCs w:val="24"/>
        </w:rPr>
        <w:t>2.2</w:t>
      </w:r>
      <w:r>
        <w:rPr>
          <w:rFonts w:hint="eastAsia"/>
          <w:sz w:val="24"/>
          <w:szCs w:val="24"/>
        </w:rPr>
        <w:t>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pStyle w:val="4"/>
        <w:autoSpaceDE/>
        <w:autoSpaceDN/>
        <w:spacing w:line="360" w:lineRule="auto"/>
        <w:ind w:left="0"/>
        <w:rPr>
          <w:rFonts w:ascii="宋体" w:hAnsi="宋体" w:eastAsia="宋体" w:cs="宋体"/>
          <w:sz w:val="24"/>
          <w:szCs w:val="24"/>
        </w:rPr>
      </w:pPr>
      <w:bookmarkStart w:id="34" w:name="_Toc256000061"/>
      <w:r>
        <w:rPr>
          <w:rFonts w:ascii="宋体" w:hAnsi="宋体" w:eastAsia="宋体" w:cs="宋体"/>
          <w:sz w:val="24"/>
          <w:szCs w:val="24"/>
        </w:rPr>
        <w:t>2.</w:t>
      </w:r>
      <w:r>
        <w:rPr>
          <w:rFonts w:hint="eastAsia" w:ascii="宋体" w:hAnsi="宋体" w:eastAsia="宋体" w:cs="宋体"/>
          <w:sz w:val="24"/>
          <w:szCs w:val="24"/>
        </w:rPr>
        <w:t>评审标准</w:t>
      </w:r>
      <w:bookmarkEnd w:id="34"/>
    </w:p>
    <w:p>
      <w:pPr>
        <w:pStyle w:val="5"/>
        <w:spacing w:line="360" w:lineRule="auto"/>
        <w:ind w:left="0"/>
        <w:rPr>
          <w:rFonts w:ascii="宋体" w:cs="宋体"/>
          <w:b/>
          <w:bCs/>
          <w:sz w:val="24"/>
          <w:szCs w:val="24"/>
        </w:rPr>
      </w:pPr>
      <w:r>
        <w:rPr>
          <w:rFonts w:ascii="宋体" w:hAnsi="宋体" w:cs="宋体"/>
          <w:b/>
          <w:bCs/>
          <w:sz w:val="24"/>
          <w:szCs w:val="24"/>
        </w:rPr>
        <w:t>2.1</w:t>
      </w:r>
      <w:r>
        <w:rPr>
          <w:rFonts w:hint="eastAsia" w:ascii="宋体" w:hAnsi="宋体" w:cs="宋体"/>
          <w:b/>
          <w:bCs/>
          <w:sz w:val="24"/>
          <w:szCs w:val="24"/>
        </w:rPr>
        <w:t>初步评审标准</w:t>
      </w:r>
    </w:p>
    <w:p>
      <w:pPr>
        <w:autoSpaceDE/>
        <w:autoSpaceDN/>
        <w:spacing w:line="360" w:lineRule="auto"/>
        <w:rPr>
          <w:sz w:val="24"/>
          <w:szCs w:val="24"/>
        </w:rPr>
      </w:pPr>
      <w:r>
        <w:rPr>
          <w:sz w:val="24"/>
          <w:szCs w:val="24"/>
        </w:rPr>
        <w:t xml:space="preserve">    2.1.1</w:t>
      </w:r>
      <w:r>
        <w:rPr>
          <w:rFonts w:hint="eastAsia"/>
          <w:sz w:val="24"/>
          <w:szCs w:val="24"/>
        </w:rPr>
        <w:t>形式评审标准：见评标办法前附表。</w:t>
      </w:r>
    </w:p>
    <w:p>
      <w:pPr>
        <w:autoSpaceDE/>
        <w:autoSpaceDN/>
        <w:spacing w:line="360" w:lineRule="auto"/>
        <w:rPr>
          <w:sz w:val="24"/>
          <w:szCs w:val="24"/>
        </w:rPr>
      </w:pPr>
      <w:r>
        <w:rPr>
          <w:sz w:val="24"/>
          <w:szCs w:val="24"/>
        </w:rPr>
        <w:t xml:space="preserve">    2.1.2</w:t>
      </w:r>
      <w:r>
        <w:rPr>
          <w:rFonts w:hint="eastAsia"/>
          <w:sz w:val="24"/>
          <w:szCs w:val="24"/>
        </w:rPr>
        <w:t>资格评审标准：见评标办法前附表（适用于未进行资格预审的）。</w:t>
      </w:r>
    </w:p>
    <w:p>
      <w:pPr>
        <w:autoSpaceDE/>
        <w:autoSpaceDN/>
        <w:spacing w:line="360" w:lineRule="auto"/>
        <w:rPr>
          <w:sz w:val="24"/>
          <w:szCs w:val="24"/>
        </w:rPr>
      </w:pPr>
      <w:r>
        <w:rPr>
          <w:sz w:val="24"/>
          <w:szCs w:val="24"/>
        </w:rPr>
        <w:t xml:space="preserve">    2.1.</w:t>
      </w:r>
      <w:r>
        <w:rPr>
          <w:sz w:val="24"/>
          <w:szCs w:val="24"/>
          <w:lang w:val="en-US"/>
        </w:rPr>
        <w:t>3</w:t>
      </w:r>
      <w:r>
        <w:rPr>
          <w:rFonts w:hint="eastAsia"/>
          <w:sz w:val="24"/>
          <w:szCs w:val="24"/>
        </w:rPr>
        <w:t>资格评审标准：见资格预审文件第三章“资格审查办法”详细审查标准（适用于已进行资格预审的）。</w:t>
      </w:r>
    </w:p>
    <w:p>
      <w:pPr>
        <w:autoSpaceDE/>
        <w:autoSpaceDN/>
        <w:spacing w:line="360" w:lineRule="auto"/>
        <w:ind w:firstLine="480"/>
        <w:rPr>
          <w:sz w:val="24"/>
          <w:szCs w:val="24"/>
        </w:rPr>
      </w:pPr>
      <w:r>
        <w:rPr>
          <w:sz w:val="24"/>
          <w:szCs w:val="24"/>
        </w:rPr>
        <w:t>2.1.</w:t>
      </w:r>
      <w:r>
        <w:rPr>
          <w:sz w:val="24"/>
          <w:szCs w:val="24"/>
          <w:lang w:val="en-US"/>
        </w:rPr>
        <w:t>4</w:t>
      </w:r>
      <w:r>
        <w:rPr>
          <w:rFonts w:hint="eastAsia"/>
          <w:sz w:val="24"/>
          <w:szCs w:val="24"/>
        </w:rPr>
        <w:t>响应性评审标准：见评标办法前附表。</w:t>
      </w:r>
    </w:p>
    <w:p>
      <w:pPr>
        <w:autoSpaceDE/>
        <w:autoSpaceDN/>
        <w:spacing w:line="360" w:lineRule="auto"/>
        <w:rPr>
          <w:sz w:val="24"/>
          <w:szCs w:val="24"/>
        </w:rPr>
      </w:pPr>
      <w:r>
        <w:rPr>
          <w:b/>
          <w:bCs/>
          <w:sz w:val="24"/>
          <w:szCs w:val="24"/>
        </w:rPr>
        <w:t>2.2</w:t>
      </w:r>
      <w:r>
        <w:rPr>
          <w:rFonts w:hint="eastAsia"/>
          <w:b/>
          <w:bCs/>
          <w:sz w:val="24"/>
          <w:szCs w:val="24"/>
        </w:rPr>
        <w:t>分值构成与评分标准</w:t>
      </w:r>
    </w:p>
    <w:p>
      <w:pPr>
        <w:autoSpaceDE/>
        <w:autoSpaceDN/>
        <w:spacing w:line="360" w:lineRule="auto"/>
        <w:rPr>
          <w:sz w:val="24"/>
          <w:szCs w:val="24"/>
        </w:rPr>
      </w:pPr>
      <w:r>
        <w:rPr>
          <w:sz w:val="24"/>
          <w:szCs w:val="24"/>
        </w:rPr>
        <w:t xml:space="preserve">    2.2.1</w:t>
      </w:r>
      <w:r>
        <w:rPr>
          <w:rFonts w:hint="eastAsia"/>
          <w:sz w:val="24"/>
          <w:szCs w:val="24"/>
        </w:rPr>
        <w:t>分值构成</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1</w:t>
      </w:r>
      <w:r>
        <w:rPr>
          <w:rFonts w:hint="eastAsia"/>
          <w:sz w:val="24"/>
          <w:szCs w:val="24"/>
        </w:rPr>
        <w:t>）施工组织设计：见评标办法前附表；</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2</w:t>
      </w:r>
      <w:r>
        <w:rPr>
          <w:rFonts w:hint="eastAsia"/>
          <w:sz w:val="24"/>
          <w:szCs w:val="24"/>
        </w:rPr>
        <w:t>）项目管理机构：见评标办法前附表；</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3</w:t>
      </w:r>
      <w:r>
        <w:rPr>
          <w:rFonts w:hint="eastAsia"/>
          <w:sz w:val="24"/>
          <w:szCs w:val="24"/>
        </w:rPr>
        <w:t>）投标报价：见评标办法前附表；</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4</w:t>
      </w:r>
      <w:r>
        <w:rPr>
          <w:rFonts w:hint="eastAsia"/>
          <w:sz w:val="24"/>
          <w:szCs w:val="24"/>
        </w:rPr>
        <w:t>）其他评分因素：见评标办法前附表。</w:t>
      </w:r>
    </w:p>
    <w:p>
      <w:pPr>
        <w:autoSpaceDE/>
        <w:autoSpaceDN/>
        <w:spacing w:line="360" w:lineRule="auto"/>
        <w:ind w:firstLine="480" w:firstLineChars="200"/>
        <w:rPr>
          <w:sz w:val="24"/>
          <w:szCs w:val="24"/>
        </w:rPr>
      </w:pPr>
      <w:r>
        <w:rPr>
          <w:sz w:val="24"/>
          <w:szCs w:val="24"/>
        </w:rPr>
        <w:t>2.2.2</w:t>
      </w:r>
      <w:r>
        <w:rPr>
          <w:rFonts w:hint="eastAsia"/>
          <w:sz w:val="24"/>
          <w:szCs w:val="24"/>
        </w:rPr>
        <w:t>评标基准价计算</w:t>
      </w:r>
    </w:p>
    <w:p>
      <w:pPr>
        <w:autoSpaceDE/>
        <w:autoSpaceDN/>
        <w:spacing w:line="360" w:lineRule="auto"/>
        <w:rPr>
          <w:sz w:val="24"/>
          <w:szCs w:val="24"/>
        </w:rPr>
      </w:pPr>
      <w:r>
        <w:rPr>
          <w:rFonts w:hint="eastAsia"/>
          <w:sz w:val="24"/>
          <w:szCs w:val="24"/>
        </w:rPr>
        <w:t>评标基准价计算方法：见评标办法前附表。</w:t>
      </w:r>
    </w:p>
    <w:p>
      <w:pPr>
        <w:autoSpaceDE/>
        <w:autoSpaceDN/>
        <w:spacing w:line="360" w:lineRule="auto"/>
        <w:ind w:firstLine="480" w:firstLineChars="200"/>
        <w:rPr>
          <w:sz w:val="24"/>
          <w:szCs w:val="24"/>
        </w:rPr>
      </w:pPr>
      <w:r>
        <w:rPr>
          <w:sz w:val="24"/>
          <w:szCs w:val="24"/>
        </w:rPr>
        <w:t>2.2.3</w:t>
      </w:r>
      <w:r>
        <w:rPr>
          <w:rFonts w:hint="eastAsia"/>
          <w:sz w:val="24"/>
          <w:szCs w:val="24"/>
        </w:rPr>
        <w:t>投标报价的偏差率计算</w:t>
      </w:r>
    </w:p>
    <w:p>
      <w:pPr>
        <w:autoSpaceDE/>
        <w:autoSpaceDN/>
        <w:spacing w:line="360" w:lineRule="auto"/>
        <w:rPr>
          <w:sz w:val="24"/>
          <w:szCs w:val="24"/>
        </w:rPr>
      </w:pPr>
      <w:r>
        <w:rPr>
          <w:rFonts w:hint="eastAsia"/>
          <w:sz w:val="24"/>
          <w:szCs w:val="24"/>
        </w:rPr>
        <w:t>投标报价的偏差率计算公式：见评标办法前附表。</w:t>
      </w:r>
    </w:p>
    <w:p>
      <w:pPr>
        <w:autoSpaceDE/>
        <w:autoSpaceDN/>
        <w:spacing w:line="360" w:lineRule="auto"/>
        <w:rPr>
          <w:sz w:val="24"/>
          <w:szCs w:val="24"/>
        </w:rPr>
      </w:pPr>
      <w:r>
        <w:rPr>
          <w:sz w:val="24"/>
          <w:szCs w:val="24"/>
        </w:rPr>
        <w:t xml:space="preserve">    2.2.4</w:t>
      </w:r>
      <w:r>
        <w:rPr>
          <w:rFonts w:hint="eastAsia"/>
          <w:sz w:val="24"/>
          <w:szCs w:val="24"/>
        </w:rPr>
        <w:t>评分标准</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1</w:t>
      </w:r>
      <w:r>
        <w:rPr>
          <w:rFonts w:hint="eastAsia"/>
          <w:sz w:val="24"/>
          <w:szCs w:val="24"/>
        </w:rPr>
        <w:t>）施工组织设计评分标准：见评标办法前附表；</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2</w:t>
      </w:r>
      <w:r>
        <w:rPr>
          <w:rFonts w:hint="eastAsia"/>
          <w:sz w:val="24"/>
          <w:szCs w:val="24"/>
        </w:rPr>
        <w:t>）</w:t>
      </w:r>
      <w:r>
        <w:rPr>
          <w:rFonts w:hint="eastAsia"/>
          <w:color w:val="000000"/>
          <w:sz w:val="24"/>
          <w:szCs w:val="24"/>
        </w:rPr>
        <w:t>项目管理机构及业绩</w:t>
      </w:r>
      <w:r>
        <w:rPr>
          <w:rFonts w:hint="eastAsia"/>
          <w:sz w:val="24"/>
          <w:szCs w:val="24"/>
        </w:rPr>
        <w:t>评分标准：见评标办法前附表；</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3</w:t>
      </w:r>
      <w:r>
        <w:rPr>
          <w:rFonts w:hint="eastAsia"/>
          <w:sz w:val="24"/>
          <w:szCs w:val="24"/>
        </w:rPr>
        <w:t>）其他评审评分标准：见评标办法前附表；</w:t>
      </w:r>
    </w:p>
    <w:p>
      <w:pPr>
        <w:autoSpaceDE/>
        <w:autoSpaceDN/>
        <w:spacing w:line="360" w:lineRule="auto"/>
        <w:ind w:firstLine="480"/>
        <w:rPr>
          <w:sz w:val="24"/>
          <w:szCs w:val="24"/>
        </w:rPr>
      </w:pPr>
      <w:r>
        <w:rPr>
          <w:rFonts w:hint="eastAsia"/>
          <w:sz w:val="24"/>
          <w:szCs w:val="24"/>
        </w:rPr>
        <w:t>（</w:t>
      </w:r>
      <w:r>
        <w:rPr>
          <w:sz w:val="24"/>
          <w:szCs w:val="24"/>
        </w:rPr>
        <w:t>4</w:t>
      </w:r>
      <w:r>
        <w:rPr>
          <w:rFonts w:hint="eastAsia"/>
          <w:sz w:val="24"/>
          <w:szCs w:val="24"/>
        </w:rPr>
        <w:t>）投标报价合理性标准：见评标办法前附表；</w:t>
      </w:r>
    </w:p>
    <w:p>
      <w:pPr>
        <w:autoSpaceDE/>
        <w:autoSpaceDN/>
        <w:spacing w:line="360" w:lineRule="auto"/>
        <w:ind w:firstLine="480"/>
        <w:rPr>
          <w:sz w:val="24"/>
          <w:szCs w:val="24"/>
        </w:rPr>
      </w:pPr>
      <w:r>
        <w:rPr>
          <w:rFonts w:hint="eastAsia"/>
          <w:sz w:val="24"/>
          <w:szCs w:val="24"/>
        </w:rPr>
        <w:t>（</w:t>
      </w:r>
      <w:r>
        <w:rPr>
          <w:sz w:val="24"/>
          <w:szCs w:val="24"/>
          <w:lang w:val="en-US"/>
        </w:rPr>
        <w:t>5</w:t>
      </w:r>
      <w:r>
        <w:rPr>
          <w:rFonts w:hint="eastAsia"/>
          <w:sz w:val="24"/>
          <w:szCs w:val="24"/>
          <w:lang w:val="en-US"/>
        </w:rPr>
        <w:t>）</w:t>
      </w:r>
      <w:r>
        <w:rPr>
          <w:rFonts w:hint="eastAsia"/>
          <w:sz w:val="24"/>
          <w:szCs w:val="24"/>
        </w:rPr>
        <w:t>投标报价评分标准：见评标办法前附表。</w:t>
      </w:r>
      <w:bookmarkStart w:id="35" w:name="_Toc256000062"/>
    </w:p>
    <w:p>
      <w:pPr>
        <w:autoSpaceDE/>
        <w:autoSpaceDN/>
        <w:spacing w:line="360" w:lineRule="auto"/>
        <w:rPr>
          <w:b/>
          <w:bCs/>
          <w:sz w:val="24"/>
          <w:szCs w:val="24"/>
        </w:rPr>
      </w:pPr>
      <w:r>
        <w:rPr>
          <w:b/>
          <w:bCs/>
          <w:sz w:val="24"/>
          <w:szCs w:val="24"/>
        </w:rPr>
        <w:t>3.</w:t>
      </w:r>
      <w:r>
        <w:rPr>
          <w:rFonts w:hint="eastAsia"/>
          <w:b/>
          <w:bCs/>
          <w:sz w:val="24"/>
          <w:szCs w:val="24"/>
        </w:rPr>
        <w:t>评标程序</w:t>
      </w:r>
      <w:bookmarkEnd w:id="35"/>
    </w:p>
    <w:p>
      <w:pPr>
        <w:pStyle w:val="5"/>
        <w:spacing w:line="360" w:lineRule="auto"/>
        <w:ind w:left="0"/>
        <w:rPr>
          <w:rFonts w:ascii="宋体" w:cs="宋体"/>
          <w:b/>
          <w:bCs/>
          <w:sz w:val="24"/>
          <w:szCs w:val="24"/>
        </w:rPr>
      </w:pPr>
      <w:r>
        <w:rPr>
          <w:rFonts w:ascii="宋体" w:hAnsi="宋体" w:cs="宋体"/>
          <w:b/>
          <w:bCs/>
          <w:sz w:val="24"/>
          <w:szCs w:val="24"/>
        </w:rPr>
        <w:t>3.1</w:t>
      </w:r>
      <w:r>
        <w:rPr>
          <w:rFonts w:hint="eastAsia" w:ascii="宋体" w:hAnsi="宋体" w:cs="宋体"/>
          <w:b/>
          <w:bCs/>
          <w:sz w:val="24"/>
          <w:szCs w:val="24"/>
        </w:rPr>
        <w:t>初步评审</w:t>
      </w:r>
    </w:p>
    <w:p>
      <w:pPr>
        <w:autoSpaceDE/>
        <w:autoSpaceDN/>
        <w:spacing w:line="360" w:lineRule="auto"/>
        <w:rPr>
          <w:sz w:val="24"/>
          <w:szCs w:val="24"/>
        </w:rPr>
      </w:pPr>
      <w:r>
        <w:rPr>
          <w:sz w:val="24"/>
          <w:szCs w:val="24"/>
        </w:rPr>
        <w:t xml:space="preserve">    3.1.1</w:t>
      </w:r>
      <w:r>
        <w:rPr>
          <w:rFonts w:hint="eastAsia"/>
          <w:sz w:val="24"/>
          <w:szCs w:val="24"/>
        </w:rPr>
        <w:t>评标委员会依据本章第</w:t>
      </w:r>
      <w:r>
        <w:rPr>
          <w:sz w:val="24"/>
          <w:szCs w:val="24"/>
        </w:rPr>
        <w:t>2.1</w:t>
      </w:r>
      <w:r>
        <w:rPr>
          <w:rFonts w:hint="eastAsia"/>
          <w:sz w:val="24"/>
          <w:szCs w:val="24"/>
        </w:rPr>
        <w:t>款规定的标准对投标文件进行初步评审。有一项不符合评审标准的，作否决投标处理。（适用于未进行资格预审的）</w:t>
      </w:r>
    </w:p>
    <w:p>
      <w:pPr>
        <w:autoSpaceDE/>
        <w:autoSpaceDN/>
        <w:spacing w:line="360" w:lineRule="auto"/>
        <w:rPr>
          <w:sz w:val="24"/>
          <w:szCs w:val="24"/>
        </w:rPr>
      </w:pPr>
      <w:r>
        <w:rPr>
          <w:sz w:val="24"/>
          <w:szCs w:val="24"/>
        </w:rPr>
        <w:t xml:space="preserve">    3.1.</w:t>
      </w:r>
      <w:r>
        <w:rPr>
          <w:sz w:val="24"/>
          <w:szCs w:val="24"/>
          <w:lang w:val="en-US"/>
        </w:rPr>
        <w:t>2</w:t>
      </w:r>
      <w:r>
        <w:rPr>
          <w:rFonts w:hint="eastAsia"/>
          <w:sz w:val="24"/>
          <w:szCs w:val="24"/>
        </w:rPr>
        <w:t>评标委员会依据本章第</w:t>
      </w:r>
      <w:r>
        <w:rPr>
          <w:sz w:val="24"/>
          <w:szCs w:val="24"/>
        </w:rPr>
        <w:t>2.1.1</w:t>
      </w:r>
      <w:r>
        <w:rPr>
          <w:rFonts w:hint="eastAsia"/>
          <w:sz w:val="24"/>
          <w:szCs w:val="24"/>
        </w:rPr>
        <w:t>项、第</w:t>
      </w:r>
      <w:r>
        <w:rPr>
          <w:sz w:val="24"/>
          <w:szCs w:val="24"/>
        </w:rPr>
        <w:t>2.1.3</w:t>
      </w:r>
      <w:r>
        <w:rPr>
          <w:rFonts w:hint="eastAsia"/>
          <w:sz w:val="24"/>
          <w:szCs w:val="24"/>
        </w:rPr>
        <w:t>项规定的评审标准对投标文件进行初步评审。有一项不符合评审标准的，作否决投标处理。当投标人资格预审申请文件的内容发生重大变化时，评标委员会依据本章第</w:t>
      </w:r>
      <w:r>
        <w:rPr>
          <w:sz w:val="24"/>
          <w:szCs w:val="24"/>
        </w:rPr>
        <w:t>2.1.2</w:t>
      </w:r>
      <w:r>
        <w:rPr>
          <w:rFonts w:hint="eastAsia"/>
          <w:sz w:val="24"/>
          <w:szCs w:val="24"/>
        </w:rPr>
        <w:t>项规定的标准对其更新资料进行评审。（适用于已进行资格预审的）</w:t>
      </w:r>
    </w:p>
    <w:p>
      <w:pPr>
        <w:autoSpaceDE/>
        <w:autoSpaceDN/>
        <w:spacing w:line="360" w:lineRule="auto"/>
        <w:rPr>
          <w:sz w:val="24"/>
          <w:szCs w:val="24"/>
        </w:rPr>
      </w:pPr>
      <w:r>
        <w:rPr>
          <w:sz w:val="24"/>
          <w:szCs w:val="24"/>
        </w:rPr>
        <w:t xml:space="preserve">    3.1.</w:t>
      </w:r>
      <w:r>
        <w:rPr>
          <w:sz w:val="24"/>
          <w:szCs w:val="24"/>
          <w:lang w:val="en-US"/>
        </w:rPr>
        <w:t>3</w:t>
      </w:r>
      <w:r>
        <w:rPr>
          <w:rFonts w:hint="eastAsia"/>
          <w:sz w:val="24"/>
          <w:szCs w:val="24"/>
        </w:rPr>
        <w:t>投标人有以下情形之一的，其投标作否决投标处理：</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1</w:t>
      </w:r>
      <w:r>
        <w:rPr>
          <w:rFonts w:hint="eastAsia"/>
          <w:sz w:val="24"/>
          <w:szCs w:val="24"/>
        </w:rPr>
        <w:t>）第二章“投标人须知”第</w:t>
      </w:r>
      <w:r>
        <w:rPr>
          <w:sz w:val="24"/>
          <w:szCs w:val="24"/>
        </w:rPr>
        <w:t>1.4.3</w:t>
      </w:r>
      <w:r>
        <w:rPr>
          <w:rFonts w:hint="eastAsia"/>
          <w:sz w:val="24"/>
          <w:szCs w:val="24"/>
        </w:rPr>
        <w:t>项规定的任何一种情形的；</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2</w:t>
      </w:r>
      <w:r>
        <w:rPr>
          <w:rFonts w:hint="eastAsia"/>
          <w:sz w:val="24"/>
          <w:szCs w:val="24"/>
        </w:rPr>
        <w:t>）串通投标或弄虚作假或有其他违法行为的；</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3</w:t>
      </w:r>
      <w:r>
        <w:rPr>
          <w:rFonts w:hint="eastAsia"/>
          <w:sz w:val="24"/>
          <w:szCs w:val="24"/>
        </w:rPr>
        <w:t>）不按评标委员会要求澄清、说明或补正的。</w:t>
      </w:r>
    </w:p>
    <w:p>
      <w:pPr>
        <w:autoSpaceDE/>
        <w:autoSpaceDN/>
        <w:spacing w:line="360" w:lineRule="auto"/>
        <w:rPr>
          <w:sz w:val="24"/>
          <w:szCs w:val="24"/>
        </w:rPr>
      </w:pPr>
      <w:r>
        <w:rPr>
          <w:sz w:val="24"/>
          <w:szCs w:val="24"/>
        </w:rPr>
        <w:t xml:space="preserve">    3.1.</w:t>
      </w:r>
      <w:r>
        <w:rPr>
          <w:sz w:val="24"/>
          <w:szCs w:val="24"/>
          <w:lang w:val="en-US"/>
        </w:rPr>
        <w:t>4</w:t>
      </w:r>
      <w:r>
        <w:rPr>
          <w:rFonts w:hint="eastAsia"/>
          <w:sz w:val="24"/>
          <w:szCs w:val="24"/>
        </w:rPr>
        <w:t>投标报价有算术错误的，评标委员会按以下原则对投标报价进行修正，修正的价格经投标人书面确认后具有约束力。投标人不接受修正价格的，其投标作否决投标处理。</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1</w:t>
      </w:r>
      <w:r>
        <w:rPr>
          <w:rFonts w:hint="eastAsia"/>
          <w:sz w:val="24"/>
          <w:szCs w:val="24"/>
        </w:rPr>
        <w:t>）投标文件中的大写金额与小写金额不一致的，以大写金额为准；</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2</w:t>
      </w:r>
      <w:r>
        <w:rPr>
          <w:rFonts w:hint="eastAsia"/>
          <w:sz w:val="24"/>
          <w:szCs w:val="24"/>
        </w:rPr>
        <w:t>）总价金额与依据单价计算出的结果不一致的，以单价金额为准修正总价，但单价金额小数点有明显错误的除外。</w:t>
      </w:r>
    </w:p>
    <w:p>
      <w:pPr>
        <w:pStyle w:val="5"/>
        <w:spacing w:line="360" w:lineRule="auto"/>
        <w:rPr>
          <w:rFonts w:ascii="宋体" w:cs="宋体"/>
          <w:b/>
          <w:bCs/>
          <w:sz w:val="24"/>
          <w:szCs w:val="24"/>
        </w:rPr>
      </w:pPr>
      <w:r>
        <w:rPr>
          <w:rFonts w:ascii="宋体" w:hAnsi="宋体" w:cs="宋体"/>
          <w:b/>
          <w:bCs/>
          <w:sz w:val="24"/>
          <w:szCs w:val="24"/>
        </w:rPr>
        <w:t>3.2</w:t>
      </w:r>
      <w:r>
        <w:rPr>
          <w:rFonts w:hint="eastAsia" w:ascii="宋体" w:hAnsi="宋体" w:cs="宋体"/>
          <w:b/>
          <w:bCs/>
          <w:sz w:val="24"/>
          <w:szCs w:val="24"/>
        </w:rPr>
        <w:t>详细评审</w:t>
      </w:r>
    </w:p>
    <w:p>
      <w:pPr>
        <w:autoSpaceDE/>
        <w:autoSpaceDN/>
        <w:spacing w:line="360" w:lineRule="auto"/>
        <w:rPr>
          <w:sz w:val="24"/>
          <w:szCs w:val="24"/>
        </w:rPr>
      </w:pPr>
      <w:r>
        <w:rPr>
          <w:sz w:val="24"/>
          <w:szCs w:val="24"/>
        </w:rPr>
        <w:t xml:space="preserve">    3.2.1</w:t>
      </w:r>
      <w:r>
        <w:rPr>
          <w:rFonts w:hint="eastAsia"/>
          <w:sz w:val="24"/>
          <w:szCs w:val="24"/>
        </w:rPr>
        <w:t>评标委员会按本章第</w:t>
      </w:r>
      <w:r>
        <w:rPr>
          <w:sz w:val="24"/>
          <w:szCs w:val="24"/>
        </w:rPr>
        <w:t>2.2</w:t>
      </w:r>
      <w:r>
        <w:rPr>
          <w:rFonts w:hint="eastAsia"/>
          <w:sz w:val="24"/>
          <w:szCs w:val="24"/>
        </w:rPr>
        <w:t>款规定的量化因素和分值进行打分，并计算出综合评估得分。</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1</w:t>
      </w:r>
      <w:r>
        <w:rPr>
          <w:rFonts w:hint="eastAsia"/>
          <w:sz w:val="24"/>
          <w:szCs w:val="24"/>
        </w:rPr>
        <w:t>）按本章第</w:t>
      </w:r>
      <w:r>
        <w:rPr>
          <w:sz w:val="24"/>
          <w:szCs w:val="24"/>
        </w:rPr>
        <w:t>2.2.4</w:t>
      </w:r>
      <w:r>
        <w:rPr>
          <w:rFonts w:hint="eastAsia"/>
          <w:sz w:val="24"/>
          <w:szCs w:val="24"/>
        </w:rPr>
        <w:t>（</w:t>
      </w:r>
      <w:r>
        <w:rPr>
          <w:sz w:val="24"/>
          <w:szCs w:val="24"/>
        </w:rPr>
        <w:t>1</w:t>
      </w:r>
      <w:r>
        <w:rPr>
          <w:rFonts w:hint="eastAsia"/>
          <w:sz w:val="24"/>
          <w:szCs w:val="24"/>
        </w:rPr>
        <w:t>）目规定的评审因素和分值对施工组织设计计算出得分</w:t>
      </w:r>
      <w:r>
        <w:rPr>
          <w:sz w:val="24"/>
          <w:szCs w:val="24"/>
        </w:rPr>
        <w:t>A</w:t>
      </w:r>
      <w:r>
        <w:rPr>
          <w:rFonts w:hint="eastAsia"/>
          <w:sz w:val="24"/>
          <w:szCs w:val="24"/>
        </w:rPr>
        <w:t>；</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2</w:t>
      </w:r>
      <w:r>
        <w:rPr>
          <w:rFonts w:hint="eastAsia"/>
          <w:sz w:val="24"/>
          <w:szCs w:val="24"/>
        </w:rPr>
        <w:t>）按本章第</w:t>
      </w:r>
      <w:r>
        <w:rPr>
          <w:sz w:val="24"/>
          <w:szCs w:val="24"/>
        </w:rPr>
        <w:t>2.2.4</w:t>
      </w:r>
      <w:r>
        <w:rPr>
          <w:rFonts w:hint="eastAsia"/>
          <w:sz w:val="24"/>
          <w:szCs w:val="24"/>
        </w:rPr>
        <w:t>（</w:t>
      </w:r>
      <w:r>
        <w:rPr>
          <w:sz w:val="24"/>
          <w:szCs w:val="24"/>
        </w:rPr>
        <w:t>2</w:t>
      </w:r>
      <w:r>
        <w:rPr>
          <w:rFonts w:hint="eastAsia"/>
          <w:sz w:val="24"/>
          <w:szCs w:val="24"/>
        </w:rPr>
        <w:t>）目规定的评审因素和分值对项目管理机构计算出得分</w:t>
      </w:r>
      <w:r>
        <w:rPr>
          <w:sz w:val="24"/>
          <w:szCs w:val="24"/>
        </w:rPr>
        <w:t>B</w:t>
      </w:r>
      <w:r>
        <w:rPr>
          <w:rFonts w:hint="eastAsia"/>
          <w:sz w:val="24"/>
          <w:szCs w:val="24"/>
        </w:rPr>
        <w:t>；</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3</w:t>
      </w:r>
      <w:r>
        <w:rPr>
          <w:rFonts w:hint="eastAsia"/>
          <w:sz w:val="24"/>
          <w:szCs w:val="24"/>
        </w:rPr>
        <w:t>）按本章第</w:t>
      </w:r>
      <w:r>
        <w:rPr>
          <w:sz w:val="24"/>
          <w:szCs w:val="24"/>
        </w:rPr>
        <w:t>2.2.4</w:t>
      </w:r>
      <w:r>
        <w:rPr>
          <w:rFonts w:hint="eastAsia"/>
          <w:sz w:val="24"/>
          <w:szCs w:val="24"/>
        </w:rPr>
        <w:t>（</w:t>
      </w:r>
      <w:r>
        <w:rPr>
          <w:sz w:val="24"/>
          <w:szCs w:val="24"/>
        </w:rPr>
        <w:t>3</w:t>
      </w:r>
      <w:r>
        <w:rPr>
          <w:rFonts w:hint="eastAsia"/>
          <w:sz w:val="24"/>
          <w:szCs w:val="24"/>
        </w:rPr>
        <w:t>）目规定的评审因素和分值对投标报价计算出得分</w:t>
      </w:r>
      <w:r>
        <w:rPr>
          <w:sz w:val="24"/>
          <w:szCs w:val="24"/>
        </w:rPr>
        <w:t>C</w:t>
      </w:r>
      <w:r>
        <w:rPr>
          <w:rFonts w:hint="eastAsia"/>
          <w:sz w:val="24"/>
          <w:szCs w:val="24"/>
        </w:rPr>
        <w:t>；</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4</w:t>
      </w:r>
      <w:r>
        <w:rPr>
          <w:rFonts w:hint="eastAsia"/>
          <w:sz w:val="24"/>
          <w:szCs w:val="24"/>
        </w:rPr>
        <w:t>）按本章第</w:t>
      </w:r>
      <w:r>
        <w:rPr>
          <w:sz w:val="24"/>
          <w:szCs w:val="24"/>
        </w:rPr>
        <w:t>2.2.4</w:t>
      </w:r>
      <w:r>
        <w:rPr>
          <w:rFonts w:hint="eastAsia"/>
          <w:sz w:val="24"/>
          <w:szCs w:val="24"/>
        </w:rPr>
        <w:t>（</w:t>
      </w:r>
      <w:r>
        <w:rPr>
          <w:sz w:val="24"/>
          <w:szCs w:val="24"/>
        </w:rPr>
        <w:t>4</w:t>
      </w:r>
      <w:r>
        <w:rPr>
          <w:rFonts w:hint="eastAsia"/>
          <w:sz w:val="24"/>
          <w:szCs w:val="24"/>
        </w:rPr>
        <w:t>）目规定的评审因素和分值对其他部分计算出得分</w:t>
      </w:r>
      <w:r>
        <w:rPr>
          <w:sz w:val="24"/>
          <w:szCs w:val="24"/>
        </w:rPr>
        <w:t>D</w:t>
      </w:r>
      <w:r>
        <w:rPr>
          <w:rFonts w:hint="eastAsia"/>
          <w:sz w:val="24"/>
          <w:szCs w:val="24"/>
        </w:rPr>
        <w:t>。</w:t>
      </w:r>
    </w:p>
    <w:p>
      <w:pPr>
        <w:autoSpaceDE/>
        <w:autoSpaceDN/>
        <w:spacing w:line="360" w:lineRule="auto"/>
        <w:rPr>
          <w:sz w:val="24"/>
          <w:szCs w:val="24"/>
        </w:rPr>
      </w:pPr>
      <w:r>
        <w:rPr>
          <w:sz w:val="24"/>
          <w:szCs w:val="24"/>
        </w:rPr>
        <w:t xml:space="preserve">    3.2.2</w:t>
      </w:r>
      <w:r>
        <w:rPr>
          <w:rFonts w:hint="eastAsia"/>
          <w:sz w:val="24"/>
          <w:szCs w:val="24"/>
        </w:rPr>
        <w:t>评分分值计算保留小数点后两位，小数点后第三位“四舍五入”。</w:t>
      </w:r>
    </w:p>
    <w:p>
      <w:pPr>
        <w:autoSpaceDE/>
        <w:autoSpaceDN/>
        <w:spacing w:line="360" w:lineRule="auto"/>
        <w:rPr>
          <w:sz w:val="24"/>
          <w:szCs w:val="24"/>
        </w:rPr>
      </w:pPr>
      <w:r>
        <w:rPr>
          <w:sz w:val="24"/>
          <w:szCs w:val="24"/>
        </w:rPr>
        <w:t xml:space="preserve">    3.2.3</w:t>
      </w:r>
      <w:r>
        <w:rPr>
          <w:rFonts w:hint="eastAsia"/>
          <w:sz w:val="24"/>
          <w:szCs w:val="24"/>
        </w:rPr>
        <w:t>投标人得分</w:t>
      </w:r>
      <w:r>
        <w:rPr>
          <w:sz w:val="24"/>
          <w:szCs w:val="24"/>
        </w:rPr>
        <w:t>=A+B+C+D</w:t>
      </w:r>
      <w:r>
        <w:rPr>
          <w:rFonts w:hint="eastAsia"/>
          <w:sz w:val="24"/>
          <w:szCs w:val="24"/>
        </w:rPr>
        <w:t>。</w:t>
      </w:r>
    </w:p>
    <w:p>
      <w:pPr>
        <w:autoSpaceDE/>
        <w:autoSpaceDN/>
        <w:spacing w:line="360" w:lineRule="auto"/>
        <w:rPr>
          <w:sz w:val="24"/>
          <w:szCs w:val="24"/>
        </w:rPr>
      </w:pPr>
      <w:r>
        <w:rPr>
          <w:sz w:val="24"/>
          <w:szCs w:val="24"/>
        </w:rPr>
        <w:t xml:space="preserve">    3.2.4</w:t>
      </w:r>
      <w:r>
        <w:rPr>
          <w:rFonts w:hint="eastAsia"/>
          <w:sz w:val="24"/>
          <w:szCs w:val="24"/>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投标处理。</w:t>
      </w:r>
    </w:p>
    <w:p>
      <w:pPr>
        <w:pStyle w:val="5"/>
        <w:spacing w:line="360" w:lineRule="auto"/>
        <w:ind w:left="0"/>
        <w:rPr>
          <w:rFonts w:ascii="宋体" w:cs="宋体"/>
          <w:b/>
          <w:bCs/>
          <w:sz w:val="24"/>
          <w:szCs w:val="24"/>
        </w:rPr>
      </w:pPr>
      <w:r>
        <w:rPr>
          <w:rFonts w:ascii="宋体" w:hAnsi="宋体" w:cs="宋体"/>
          <w:b/>
          <w:bCs/>
          <w:sz w:val="24"/>
          <w:szCs w:val="24"/>
        </w:rPr>
        <w:t>3.3</w:t>
      </w:r>
      <w:r>
        <w:rPr>
          <w:rFonts w:hint="eastAsia" w:ascii="宋体" w:hAnsi="宋体" w:cs="宋体"/>
          <w:b/>
          <w:bCs/>
          <w:sz w:val="24"/>
          <w:szCs w:val="24"/>
        </w:rPr>
        <w:t>投标文件的澄清和补正</w:t>
      </w:r>
    </w:p>
    <w:p>
      <w:pPr>
        <w:autoSpaceDE/>
        <w:autoSpaceDN/>
        <w:spacing w:line="360" w:lineRule="auto"/>
        <w:rPr>
          <w:sz w:val="24"/>
          <w:szCs w:val="24"/>
        </w:rPr>
      </w:pPr>
      <w:r>
        <w:rPr>
          <w:sz w:val="24"/>
          <w:szCs w:val="24"/>
        </w:rPr>
        <w:t xml:space="preserve">    3.3.1</w:t>
      </w:r>
      <w:r>
        <w:rPr>
          <w:rFonts w:hint="eastAsia"/>
          <w:sz w:val="24"/>
          <w:szCs w:val="24"/>
        </w:rPr>
        <w:t>在评标过程中，评标委员会可以书面形式要求投标人对所提交投标文件中不明确的内容进行书面澄清或说明，或者对细微偏差进行补正。评标委员会不接受投标人主动提出的澄清、说明或补正。</w:t>
      </w:r>
    </w:p>
    <w:p>
      <w:pPr>
        <w:autoSpaceDE/>
        <w:autoSpaceDN/>
        <w:spacing w:line="360" w:lineRule="auto"/>
        <w:rPr>
          <w:sz w:val="24"/>
          <w:szCs w:val="24"/>
        </w:rPr>
      </w:pPr>
      <w:r>
        <w:rPr>
          <w:sz w:val="24"/>
          <w:szCs w:val="24"/>
        </w:rPr>
        <w:t xml:space="preserve">    3.3.2</w:t>
      </w:r>
      <w:r>
        <w:rPr>
          <w:rFonts w:hint="eastAsia"/>
          <w:sz w:val="24"/>
          <w:szCs w:val="24"/>
        </w:rPr>
        <w:t>澄清、说明和补正不得改变投标文件的实质性内容（算术性错误修正的除外）。投标人的书面澄清、说明和补正属于投标文件的组成部分。</w:t>
      </w:r>
    </w:p>
    <w:p>
      <w:pPr>
        <w:autoSpaceDE/>
        <w:autoSpaceDN/>
        <w:spacing w:line="360" w:lineRule="auto"/>
        <w:rPr>
          <w:sz w:val="24"/>
          <w:szCs w:val="24"/>
        </w:rPr>
      </w:pPr>
      <w:r>
        <w:rPr>
          <w:sz w:val="24"/>
          <w:szCs w:val="24"/>
        </w:rPr>
        <w:t xml:space="preserve">    3.3.3</w:t>
      </w:r>
      <w:r>
        <w:rPr>
          <w:rFonts w:hint="eastAsia"/>
          <w:sz w:val="24"/>
          <w:szCs w:val="24"/>
        </w:rPr>
        <w:t>评标委员会对投标人提交的澄清、说明或补正有疑问的，可以要求投标人进一步澄清、说明或补正，直至满足评标委员会的要求。</w:t>
      </w:r>
    </w:p>
    <w:p>
      <w:pPr>
        <w:pStyle w:val="5"/>
        <w:spacing w:line="360" w:lineRule="auto"/>
        <w:ind w:left="0"/>
        <w:rPr>
          <w:rFonts w:ascii="宋体" w:cs="宋体"/>
          <w:sz w:val="24"/>
          <w:szCs w:val="24"/>
        </w:rPr>
      </w:pPr>
      <w:r>
        <w:rPr>
          <w:rFonts w:ascii="宋体" w:hAnsi="宋体" w:cs="宋体"/>
          <w:b/>
          <w:bCs/>
          <w:sz w:val="24"/>
          <w:szCs w:val="24"/>
        </w:rPr>
        <w:t>3.4</w:t>
      </w:r>
      <w:r>
        <w:rPr>
          <w:rFonts w:hint="eastAsia" w:ascii="宋体" w:hAnsi="宋体" w:cs="宋体"/>
          <w:b/>
          <w:bCs/>
          <w:sz w:val="24"/>
          <w:szCs w:val="24"/>
        </w:rPr>
        <w:t>评标结果</w:t>
      </w:r>
    </w:p>
    <w:p>
      <w:pPr>
        <w:autoSpaceDE/>
        <w:autoSpaceDN/>
        <w:spacing w:line="360" w:lineRule="auto"/>
        <w:rPr>
          <w:sz w:val="24"/>
          <w:szCs w:val="24"/>
        </w:rPr>
      </w:pPr>
      <w:r>
        <w:rPr>
          <w:sz w:val="24"/>
          <w:szCs w:val="24"/>
        </w:rPr>
        <w:t xml:space="preserve">    3.4.1</w:t>
      </w:r>
      <w:r>
        <w:rPr>
          <w:rFonts w:hint="eastAsia"/>
          <w:sz w:val="24"/>
          <w:szCs w:val="24"/>
        </w:rPr>
        <w:t>除第二章“投标人须知”前附表授权直接确定中标人外，评标委员会按照得分由高到低的顺序推荐中标候选人。</w:t>
      </w:r>
    </w:p>
    <w:p>
      <w:pPr>
        <w:autoSpaceDE/>
        <w:autoSpaceDN/>
        <w:spacing w:line="360" w:lineRule="auto"/>
        <w:ind w:firstLine="480"/>
        <w:rPr>
          <w:sz w:val="24"/>
          <w:szCs w:val="24"/>
        </w:rPr>
      </w:pPr>
      <w:r>
        <w:rPr>
          <w:sz w:val="24"/>
          <w:szCs w:val="24"/>
        </w:rPr>
        <w:t>3.4.2</w:t>
      </w:r>
      <w:r>
        <w:rPr>
          <w:rFonts w:hint="eastAsia"/>
          <w:sz w:val="24"/>
          <w:szCs w:val="24"/>
        </w:rPr>
        <w:t>评标委员会完成评标后，应当向招标人提交书面评标报告。</w:t>
      </w: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tbl>
      <w:tblPr>
        <w:tblStyle w:val="36"/>
        <w:tblW w:w="93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347"/>
        <w:gridCol w:w="5633"/>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56"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bookmarkStart w:id="36" w:name="_Toc256000063"/>
            <w:r>
              <w:rPr>
                <w:rFonts w:hint="eastAsia" w:asciiTheme="majorHAnsi" w:hAnsiTheme="majorHAnsi" w:eastAsiaTheme="majorEastAsia" w:cstheme="majorBidi"/>
                <w:b/>
                <w:bCs/>
                <w:sz w:val="24"/>
                <w:szCs w:val="24"/>
                <w:lang w:val="en-US" w:eastAsia="zh-CN" w:bidi="ar-SA"/>
              </w:rPr>
              <w:t>4.西藏自治区公共资源交易平台房屋市政类项目清标内容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清标事项</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检查内容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单位工程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汇总</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缺项、增项、费率一致性检查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适用于一般计税方式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清单五统一</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清单一致性检查</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缺项、增项，项目名称、项目特征、项目编码、计量单位、工程量一致性检查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措施项目</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总价措施项目</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安全文明施工</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安全文明施工的子项（环境保护费、文明施工费、安全施工费、临时设施费）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缺项、增项、名称、单位、费率做一致性检查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适用于按费用定额规定以费率计取的项目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其他总价措施</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缺项、增项、名称、单位、费率一致性检查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适用于按费用定额规定以费率计取的项目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单价措施项目</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缺项、增项、项目名称、项目特征、项目编码、计量单位、工程量一致性检查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其他项目检查</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暂列金额明细</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增项、缺项、单位、金额一致性检查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暂估材料</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增项、缺项、单位、单价一致性检查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专业工程暂估价</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增项、缺项、工程内容、金额一致性检查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甲供材料</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增项、缺项、数量、单价、合价一致性检查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计算错误检查</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工程总造价=单项工程总价之和</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工程总造价=单位工程总价之和</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单位工程总价=单位工程各项费用之和</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清单项目合计=清单项明细合计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清单项目合价=单价×数量</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清单综合单价=人工费+材料费+机械费+管理费+利润</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总价措施项目合价=取费基数*费率</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单价措施项目合价</w:t>
            </w:r>
            <w:r>
              <w:rPr>
                <w:rStyle w:val="147"/>
                <w:rFonts w:eastAsia="宋体"/>
                <w:sz w:val="24"/>
                <w:szCs w:val="24"/>
                <w:lang w:val="en-US" w:eastAsia="zh-CN" w:bidi="ar"/>
              </w:rPr>
              <w:t>=</w:t>
            </w:r>
            <w:r>
              <w:rPr>
                <w:rStyle w:val="148"/>
                <w:sz w:val="24"/>
                <w:szCs w:val="24"/>
                <w:lang w:val="en-US" w:eastAsia="zh-CN" w:bidi="ar"/>
              </w:rPr>
              <w:t>单价×数量</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单价措施项目单价</w:t>
            </w:r>
            <w:r>
              <w:rPr>
                <w:rStyle w:val="147"/>
                <w:rFonts w:eastAsia="宋体"/>
                <w:sz w:val="24"/>
                <w:szCs w:val="24"/>
                <w:lang w:val="en-US" w:eastAsia="zh-CN" w:bidi="ar"/>
              </w:rPr>
              <w:t>=</w:t>
            </w:r>
            <w:r>
              <w:rPr>
                <w:rStyle w:val="148"/>
                <w:sz w:val="24"/>
                <w:szCs w:val="24"/>
                <w:lang w:val="en-US" w:eastAsia="zh-CN" w:bidi="ar"/>
              </w:rPr>
              <w:t>人工费</w:t>
            </w:r>
            <w:r>
              <w:rPr>
                <w:rStyle w:val="147"/>
                <w:rFonts w:eastAsia="宋体"/>
                <w:sz w:val="24"/>
                <w:szCs w:val="24"/>
                <w:lang w:val="en-US" w:eastAsia="zh-CN" w:bidi="ar"/>
              </w:rPr>
              <w:t>+</w:t>
            </w:r>
            <w:r>
              <w:rPr>
                <w:rStyle w:val="148"/>
                <w:sz w:val="24"/>
                <w:szCs w:val="24"/>
                <w:lang w:val="en-US" w:eastAsia="zh-CN" w:bidi="ar"/>
              </w:rPr>
              <w:t>材料费</w:t>
            </w:r>
            <w:r>
              <w:rPr>
                <w:rStyle w:val="147"/>
                <w:rFonts w:eastAsia="宋体"/>
                <w:sz w:val="24"/>
                <w:szCs w:val="24"/>
                <w:lang w:val="en-US" w:eastAsia="zh-CN" w:bidi="ar"/>
              </w:rPr>
              <w:t>+</w:t>
            </w:r>
            <w:r>
              <w:rPr>
                <w:rStyle w:val="148"/>
                <w:sz w:val="24"/>
                <w:szCs w:val="24"/>
                <w:lang w:val="en-US" w:eastAsia="zh-CN" w:bidi="ar"/>
              </w:rPr>
              <w:t>机械费</w:t>
            </w:r>
            <w:r>
              <w:rPr>
                <w:rStyle w:val="147"/>
                <w:rFonts w:eastAsia="宋体"/>
                <w:sz w:val="24"/>
                <w:szCs w:val="24"/>
                <w:lang w:val="en-US" w:eastAsia="zh-CN" w:bidi="ar"/>
              </w:rPr>
              <w:t>+</w:t>
            </w:r>
            <w:r>
              <w:rPr>
                <w:rStyle w:val="148"/>
                <w:sz w:val="24"/>
                <w:szCs w:val="24"/>
                <w:lang w:val="en-US" w:eastAsia="zh-CN" w:bidi="ar"/>
              </w:rPr>
              <w:t>管理费</w:t>
            </w:r>
            <w:r>
              <w:rPr>
                <w:rStyle w:val="147"/>
                <w:rFonts w:eastAsia="宋体"/>
                <w:sz w:val="24"/>
                <w:szCs w:val="24"/>
                <w:lang w:val="en-US" w:eastAsia="zh-CN" w:bidi="ar"/>
              </w:rPr>
              <w:t>+</w:t>
            </w:r>
            <w:r>
              <w:rPr>
                <w:rStyle w:val="148"/>
                <w:sz w:val="24"/>
                <w:szCs w:val="24"/>
                <w:lang w:val="en-US" w:eastAsia="zh-CN" w:bidi="ar"/>
              </w:rPr>
              <w:t>利润</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暂列金额合计</w:t>
            </w:r>
            <w:r>
              <w:rPr>
                <w:rStyle w:val="147"/>
                <w:rFonts w:eastAsia="宋体"/>
                <w:sz w:val="24"/>
                <w:szCs w:val="24"/>
                <w:lang w:val="en-US" w:eastAsia="zh-CN" w:bidi="ar"/>
              </w:rPr>
              <w:t>=</w:t>
            </w:r>
            <w:r>
              <w:rPr>
                <w:rStyle w:val="148"/>
                <w:sz w:val="24"/>
                <w:szCs w:val="24"/>
                <w:lang w:val="en-US" w:eastAsia="zh-CN" w:bidi="ar"/>
              </w:rPr>
              <w:t>暂列金额明细合计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专业工程暂估价合计</w:t>
            </w:r>
            <w:r>
              <w:rPr>
                <w:rStyle w:val="147"/>
                <w:rFonts w:eastAsia="宋体"/>
                <w:sz w:val="24"/>
                <w:szCs w:val="24"/>
                <w:lang w:val="en-US" w:eastAsia="zh-CN" w:bidi="ar"/>
              </w:rPr>
              <w:t>=</w:t>
            </w:r>
            <w:r>
              <w:rPr>
                <w:rStyle w:val="148"/>
                <w:sz w:val="24"/>
                <w:szCs w:val="24"/>
                <w:lang w:val="en-US" w:eastAsia="zh-CN" w:bidi="ar"/>
              </w:rPr>
              <w:t>专业工程暂估价明细合计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计日工合计</w:t>
            </w:r>
            <w:r>
              <w:rPr>
                <w:rStyle w:val="147"/>
                <w:rFonts w:eastAsia="宋体"/>
                <w:sz w:val="24"/>
                <w:szCs w:val="24"/>
                <w:lang w:val="en-US" w:eastAsia="zh-CN" w:bidi="ar"/>
              </w:rPr>
              <w:t>=</w:t>
            </w:r>
            <w:r>
              <w:rPr>
                <w:rStyle w:val="148"/>
                <w:sz w:val="24"/>
                <w:szCs w:val="24"/>
                <w:lang w:val="en-US" w:eastAsia="zh-CN" w:bidi="ar"/>
              </w:rPr>
              <w:t>计日工明细合计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总承包服务费合计</w:t>
            </w:r>
            <w:r>
              <w:rPr>
                <w:rStyle w:val="147"/>
                <w:rFonts w:eastAsia="宋体"/>
                <w:sz w:val="24"/>
                <w:szCs w:val="24"/>
                <w:lang w:val="en-US" w:eastAsia="zh-CN" w:bidi="ar"/>
              </w:rPr>
              <w:t>=</w:t>
            </w:r>
            <w:r>
              <w:rPr>
                <w:rStyle w:val="148"/>
                <w:sz w:val="24"/>
                <w:szCs w:val="24"/>
                <w:lang w:val="en-US" w:eastAsia="zh-CN" w:bidi="ar"/>
              </w:rPr>
              <w:t>总承包服务费明细合计</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2" w:hRule="atLeast"/>
        </w:trPr>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硬件特征码分析</w:t>
            </w: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清单硬件信息：</w:t>
            </w:r>
            <w:r>
              <w:rPr>
                <w:rStyle w:val="149"/>
                <w:sz w:val="24"/>
                <w:szCs w:val="24"/>
                <w:lang w:val="en-US" w:eastAsia="zh-CN" w:bidi="ar"/>
              </w:rPr>
              <w:t>硬盘序列号、</w:t>
            </w:r>
            <w:r>
              <w:rPr>
                <w:rStyle w:val="148"/>
                <w:sz w:val="24"/>
                <w:szCs w:val="24"/>
                <w:lang w:val="en-US" w:eastAsia="zh-CN" w:bidi="ar"/>
              </w:rPr>
              <w:t>加密锁序列号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投标人己标价工程量清单XML电子文档记录的硬盘序列号，计价软件加密锁序列号信息有一条以上相同的，应认定为《中华人民共和国招标投标法实施条例》第四十条第（一）项“不同投标人的投标文件由同一单位或者个人编制”的情形。根据《关于印发&lt;西藏自治区房屋建筑和市政基础设施工程串通投标认定处理办法（试行）&gt;的通知》（藏建市管〔2018〕202号）第五条（八）项属于投标人相互串通投标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投标文件制作硬件信息：网卡MAC地址，CPUid、硬盘序列号、主板特征码、操作系统特征码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投标人电子投标文件编制时的计算机网卡MAC地址，CPUid、硬盘序列号、主板特征码、操作系统特征码等硬件信息均相同的，应认定为《中华人民共和国招标投标法实施条例》第四十条第（一）项“不同投标人的投标文件由同一单位或者个人编制”的情形。根据《关于印发&lt;西藏自治区房屋建筑和市政基础设施工程串通投标认定处理办法（试行）&gt;的通知》（藏建市管〔2018〕202号）第五条（八）项属于投标人相互串通投标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2" w:hRule="atLeast"/>
        </w:trPr>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投标文件上传硬件信息：网卡MAC地址，CPUid、硬盘序列号、主板特征码、操作系统特征码</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同投标人的电子投标文件上传计算机网卡MAC地址，CPUid、硬盘序列号、主板特征码、操作系统特征码等硬件信息均相同的，应认定为《中华人民共和国招标投标法实施条例》第四十条第（二）项“不同投标人委托同一单位或者个人办理投标事宜”的情形。根据《关于印发&lt;西藏自治区房屋建筑和市政基础设施工程串通投标认定处理办法（试行）&gt;的通知》（藏建市管〔2018〕202号）第五条（八）项属于投标人相互串通投标行为。</w:t>
            </w:r>
          </w:p>
        </w:tc>
      </w:tr>
    </w:tbl>
    <w:p>
      <w:pPr>
        <w:pStyle w:val="3"/>
        <w:autoSpaceDE/>
        <w:autoSpaceDN/>
        <w:spacing w:before="0" w:line="360" w:lineRule="auto"/>
        <w:ind w:left="0"/>
        <w:rPr>
          <w:rFonts w:hint="eastAsia"/>
          <w:sz w:val="24"/>
          <w:szCs w:val="24"/>
        </w:rPr>
      </w:pPr>
    </w:p>
    <w:p>
      <w:pPr>
        <w:pStyle w:val="3"/>
        <w:autoSpaceDE/>
        <w:autoSpaceDN/>
        <w:spacing w:before="0" w:line="360" w:lineRule="auto"/>
        <w:ind w:left="0"/>
        <w:rPr>
          <w:rFonts w:hint="eastAsia"/>
          <w:sz w:val="24"/>
          <w:szCs w:val="24"/>
        </w:rPr>
      </w:pPr>
    </w:p>
    <w:p>
      <w:pPr>
        <w:pStyle w:val="3"/>
        <w:autoSpaceDE/>
        <w:autoSpaceDN/>
        <w:spacing w:before="0" w:line="360" w:lineRule="auto"/>
        <w:ind w:left="0"/>
        <w:rPr>
          <w:rFonts w:hint="eastAsia"/>
          <w:sz w:val="24"/>
          <w:szCs w:val="24"/>
        </w:rPr>
      </w:pPr>
    </w:p>
    <w:p>
      <w:pPr>
        <w:pStyle w:val="3"/>
        <w:autoSpaceDE/>
        <w:autoSpaceDN/>
        <w:spacing w:before="0" w:line="360" w:lineRule="auto"/>
        <w:ind w:left="0"/>
        <w:rPr>
          <w:rFonts w:hint="eastAsia"/>
          <w:sz w:val="24"/>
          <w:szCs w:val="24"/>
        </w:rPr>
      </w:pPr>
    </w:p>
    <w:p>
      <w:pPr>
        <w:pStyle w:val="3"/>
        <w:autoSpaceDE/>
        <w:autoSpaceDN/>
        <w:spacing w:before="0" w:line="360" w:lineRule="auto"/>
        <w:ind w:left="0"/>
        <w:rPr>
          <w:rFonts w:hint="eastAsia"/>
          <w:sz w:val="24"/>
          <w:szCs w:val="24"/>
        </w:rPr>
      </w:pPr>
    </w:p>
    <w:p>
      <w:pPr>
        <w:pStyle w:val="3"/>
        <w:autoSpaceDE/>
        <w:autoSpaceDN/>
        <w:spacing w:before="0" w:line="360" w:lineRule="auto"/>
        <w:ind w:left="0"/>
        <w:rPr>
          <w:rFonts w:hint="eastAsia"/>
          <w:sz w:val="24"/>
          <w:szCs w:val="24"/>
        </w:rPr>
      </w:pPr>
    </w:p>
    <w:p>
      <w:pPr>
        <w:pStyle w:val="3"/>
        <w:autoSpaceDE/>
        <w:autoSpaceDN/>
        <w:spacing w:before="0" w:line="360" w:lineRule="auto"/>
        <w:ind w:left="0"/>
        <w:rPr>
          <w:rFonts w:hint="eastAsia"/>
          <w:sz w:val="24"/>
          <w:szCs w:val="24"/>
        </w:rPr>
      </w:pPr>
    </w:p>
    <w:p>
      <w:pPr>
        <w:pStyle w:val="3"/>
        <w:autoSpaceDE/>
        <w:autoSpaceDN/>
        <w:spacing w:before="0" w:line="360" w:lineRule="auto"/>
        <w:ind w:left="0"/>
        <w:rPr>
          <w:rFonts w:hint="eastAsia"/>
          <w:sz w:val="24"/>
          <w:szCs w:val="24"/>
        </w:rPr>
      </w:pPr>
    </w:p>
    <w:p>
      <w:pPr>
        <w:pStyle w:val="3"/>
        <w:autoSpaceDE/>
        <w:autoSpaceDN/>
        <w:spacing w:before="0" w:line="360" w:lineRule="auto"/>
        <w:ind w:left="0"/>
        <w:rPr>
          <w:rFonts w:hint="eastAsia"/>
          <w:sz w:val="24"/>
          <w:szCs w:val="24"/>
        </w:rPr>
      </w:pPr>
    </w:p>
    <w:p>
      <w:pPr>
        <w:pStyle w:val="3"/>
        <w:autoSpaceDE/>
        <w:autoSpaceDN/>
        <w:spacing w:before="0" w:line="360" w:lineRule="auto"/>
        <w:ind w:left="0"/>
        <w:rPr>
          <w:rFonts w:hint="eastAsia"/>
          <w:sz w:val="24"/>
          <w:szCs w:val="24"/>
        </w:rPr>
      </w:pPr>
    </w:p>
    <w:p>
      <w:pPr>
        <w:pStyle w:val="3"/>
        <w:autoSpaceDE/>
        <w:autoSpaceDN/>
        <w:spacing w:before="0" w:line="360" w:lineRule="auto"/>
        <w:ind w:left="0"/>
        <w:rPr>
          <w:rFonts w:hint="eastAsia"/>
          <w:sz w:val="24"/>
          <w:szCs w:val="24"/>
        </w:rPr>
      </w:pPr>
    </w:p>
    <w:p>
      <w:pPr>
        <w:pStyle w:val="3"/>
        <w:autoSpaceDE/>
        <w:autoSpaceDN/>
        <w:spacing w:before="0" w:line="360" w:lineRule="auto"/>
        <w:ind w:left="0"/>
        <w:rPr>
          <w:rFonts w:hint="eastAsia"/>
          <w:sz w:val="24"/>
          <w:szCs w:val="24"/>
        </w:rPr>
      </w:pPr>
    </w:p>
    <w:p>
      <w:pPr>
        <w:pStyle w:val="3"/>
        <w:autoSpaceDE/>
        <w:autoSpaceDN/>
        <w:spacing w:before="0" w:line="360" w:lineRule="auto"/>
        <w:ind w:left="0"/>
        <w:rPr>
          <w:rFonts w:hint="eastAsia"/>
          <w:sz w:val="24"/>
          <w:szCs w:val="24"/>
        </w:rPr>
      </w:pPr>
    </w:p>
    <w:p>
      <w:pPr>
        <w:pStyle w:val="3"/>
        <w:autoSpaceDE/>
        <w:autoSpaceDN/>
        <w:spacing w:before="0" w:line="360" w:lineRule="auto"/>
        <w:ind w:left="0"/>
        <w:rPr>
          <w:rFonts w:hint="eastAsia"/>
          <w:sz w:val="24"/>
          <w:szCs w:val="24"/>
        </w:rPr>
      </w:pPr>
    </w:p>
    <w:p>
      <w:pPr>
        <w:pStyle w:val="3"/>
        <w:autoSpaceDE/>
        <w:autoSpaceDN/>
        <w:spacing w:before="0" w:line="360" w:lineRule="auto"/>
        <w:ind w:left="0"/>
        <w:rPr>
          <w:rFonts w:hint="eastAsia"/>
          <w:sz w:val="24"/>
          <w:szCs w:val="24"/>
        </w:rPr>
      </w:pPr>
    </w:p>
    <w:p>
      <w:pPr>
        <w:pStyle w:val="3"/>
        <w:autoSpaceDE/>
        <w:autoSpaceDN/>
        <w:spacing w:before="0" w:line="360" w:lineRule="auto"/>
        <w:ind w:left="0"/>
        <w:rPr>
          <w:rFonts w:hint="eastAsia"/>
          <w:sz w:val="24"/>
          <w:szCs w:val="24"/>
        </w:rPr>
      </w:pPr>
    </w:p>
    <w:p>
      <w:pPr>
        <w:pStyle w:val="3"/>
        <w:autoSpaceDE/>
        <w:autoSpaceDN/>
        <w:spacing w:before="0" w:line="360" w:lineRule="auto"/>
        <w:ind w:left="0"/>
        <w:rPr>
          <w:rFonts w:hint="eastAsia"/>
          <w:sz w:val="24"/>
          <w:szCs w:val="24"/>
        </w:rPr>
      </w:pPr>
    </w:p>
    <w:p>
      <w:pPr>
        <w:pStyle w:val="3"/>
        <w:autoSpaceDE/>
        <w:autoSpaceDN/>
        <w:spacing w:before="0" w:line="360" w:lineRule="auto"/>
        <w:ind w:left="0"/>
        <w:rPr>
          <w:rFonts w:hint="eastAsia"/>
          <w:sz w:val="24"/>
          <w:szCs w:val="24"/>
        </w:rPr>
      </w:pPr>
    </w:p>
    <w:p>
      <w:pPr>
        <w:pStyle w:val="3"/>
        <w:autoSpaceDE/>
        <w:autoSpaceDN/>
        <w:spacing w:before="0" w:line="360" w:lineRule="auto"/>
        <w:ind w:left="0"/>
        <w:rPr>
          <w:sz w:val="24"/>
          <w:szCs w:val="24"/>
        </w:rPr>
      </w:pPr>
      <w:bookmarkStart w:id="833" w:name="_GoBack"/>
      <w:bookmarkEnd w:id="833"/>
      <w:r>
        <w:rPr>
          <w:rFonts w:hint="eastAsia"/>
          <w:sz w:val="24"/>
          <w:szCs w:val="24"/>
        </w:rPr>
        <w:t>附件</w:t>
      </w:r>
      <w:r>
        <w:rPr>
          <w:sz w:val="24"/>
          <w:szCs w:val="24"/>
        </w:rPr>
        <w:t>A:</w:t>
      </w:r>
      <w:r>
        <w:rPr>
          <w:rFonts w:hint="eastAsia"/>
          <w:sz w:val="24"/>
          <w:szCs w:val="24"/>
        </w:rPr>
        <w:t>评标详细程序</w:t>
      </w:r>
      <w:bookmarkEnd w:id="36"/>
    </w:p>
    <w:p>
      <w:pPr>
        <w:autoSpaceDE/>
        <w:autoSpaceDN/>
        <w:spacing w:line="360" w:lineRule="auto"/>
        <w:jc w:val="center"/>
        <w:rPr>
          <w:b/>
          <w:sz w:val="24"/>
          <w:szCs w:val="24"/>
        </w:rPr>
      </w:pPr>
      <w:r>
        <w:rPr>
          <w:rFonts w:hint="eastAsia"/>
          <w:b/>
          <w:sz w:val="24"/>
          <w:szCs w:val="24"/>
        </w:rPr>
        <w:t>评标详细程序</w:t>
      </w:r>
    </w:p>
    <w:p>
      <w:pPr>
        <w:pStyle w:val="4"/>
        <w:autoSpaceDE/>
        <w:autoSpaceDN/>
        <w:spacing w:line="360" w:lineRule="auto"/>
        <w:ind w:left="0"/>
        <w:rPr>
          <w:rFonts w:ascii="宋体" w:hAnsi="宋体" w:eastAsia="宋体" w:cs="宋体"/>
          <w:sz w:val="24"/>
          <w:szCs w:val="24"/>
        </w:rPr>
      </w:pPr>
      <w:bookmarkStart w:id="37" w:name="_Toc256000064"/>
      <w:r>
        <w:rPr>
          <w:rFonts w:ascii="宋体" w:hAnsi="宋体" w:eastAsia="宋体" w:cs="宋体"/>
          <w:sz w:val="24"/>
          <w:szCs w:val="24"/>
        </w:rPr>
        <w:t>A0.</w:t>
      </w:r>
      <w:r>
        <w:rPr>
          <w:rFonts w:hint="eastAsia" w:ascii="宋体" w:hAnsi="宋体" w:eastAsia="宋体" w:cs="宋体"/>
          <w:sz w:val="24"/>
          <w:szCs w:val="24"/>
        </w:rPr>
        <w:t>总</w:t>
      </w:r>
      <w:r>
        <w:rPr>
          <w:rFonts w:ascii="宋体" w:hAnsi="宋体" w:eastAsia="宋体" w:cs="宋体"/>
          <w:sz w:val="24"/>
          <w:szCs w:val="24"/>
        </w:rPr>
        <w:t xml:space="preserve">  </w:t>
      </w:r>
      <w:r>
        <w:rPr>
          <w:rFonts w:hint="eastAsia" w:ascii="宋体" w:hAnsi="宋体" w:eastAsia="宋体" w:cs="宋体"/>
          <w:sz w:val="24"/>
          <w:szCs w:val="24"/>
        </w:rPr>
        <w:t>则</w:t>
      </w:r>
      <w:bookmarkEnd w:id="37"/>
    </w:p>
    <w:p>
      <w:pPr>
        <w:autoSpaceDE/>
        <w:autoSpaceDN/>
        <w:spacing w:line="360" w:lineRule="auto"/>
        <w:rPr>
          <w:sz w:val="24"/>
          <w:szCs w:val="24"/>
        </w:rPr>
      </w:pPr>
      <w:r>
        <w:rPr>
          <w:sz w:val="24"/>
          <w:szCs w:val="24"/>
        </w:rPr>
        <w:t xml:space="preserve">    </w:t>
      </w:r>
      <w:r>
        <w:rPr>
          <w:rFonts w:hint="eastAsia"/>
          <w:sz w:val="24"/>
          <w:szCs w:val="24"/>
        </w:rPr>
        <w:t>本附件是本章“评标办法”的组成部分，是对本章第</w:t>
      </w:r>
      <w:r>
        <w:rPr>
          <w:sz w:val="24"/>
          <w:szCs w:val="24"/>
        </w:rPr>
        <w:t>3</w:t>
      </w:r>
      <w:r>
        <w:rPr>
          <w:rFonts w:hint="eastAsia"/>
          <w:sz w:val="24"/>
          <w:szCs w:val="24"/>
        </w:rPr>
        <w:t>条所规定的评标程序的进一</w:t>
      </w:r>
      <w:r>
        <w:rPr>
          <w:rFonts w:hint="eastAsia"/>
          <w:sz w:val="24"/>
          <w:szCs w:val="24"/>
          <w:lang w:val="en-US"/>
        </w:rPr>
        <w:t>步</w:t>
      </w:r>
      <w:r>
        <w:rPr>
          <w:rFonts w:hint="eastAsia"/>
          <w:sz w:val="24"/>
          <w:szCs w:val="24"/>
        </w:rPr>
        <w:t>细化，评标委员会应当按照本附件所规定的详细程序开展并完成评标工作。</w:t>
      </w:r>
    </w:p>
    <w:p>
      <w:pPr>
        <w:pStyle w:val="4"/>
        <w:autoSpaceDE/>
        <w:autoSpaceDN/>
        <w:spacing w:line="360" w:lineRule="auto"/>
        <w:ind w:left="0"/>
        <w:rPr>
          <w:rFonts w:ascii="宋体" w:hAnsi="宋体" w:eastAsia="宋体" w:cs="宋体"/>
          <w:sz w:val="24"/>
          <w:szCs w:val="24"/>
        </w:rPr>
      </w:pPr>
      <w:bookmarkStart w:id="38" w:name="_Toc256000065"/>
      <w:r>
        <w:rPr>
          <w:rFonts w:ascii="宋体" w:hAnsi="宋体" w:eastAsia="宋体" w:cs="宋体"/>
          <w:sz w:val="24"/>
          <w:szCs w:val="24"/>
        </w:rPr>
        <w:t>A1.</w:t>
      </w:r>
      <w:r>
        <w:rPr>
          <w:rFonts w:hint="eastAsia" w:ascii="宋体" w:hAnsi="宋体" w:eastAsia="宋体" w:cs="宋体"/>
          <w:sz w:val="24"/>
          <w:szCs w:val="24"/>
        </w:rPr>
        <w:t>基本程序</w:t>
      </w:r>
      <w:bookmarkEnd w:id="38"/>
    </w:p>
    <w:p>
      <w:pPr>
        <w:autoSpaceDE/>
        <w:autoSpaceDN/>
        <w:spacing w:line="360" w:lineRule="auto"/>
        <w:rPr>
          <w:sz w:val="24"/>
          <w:szCs w:val="24"/>
        </w:rPr>
      </w:pPr>
      <w:r>
        <w:rPr>
          <w:sz w:val="24"/>
          <w:szCs w:val="24"/>
        </w:rPr>
        <w:t xml:space="preserve">    </w:t>
      </w:r>
      <w:r>
        <w:rPr>
          <w:rFonts w:hint="eastAsia"/>
          <w:sz w:val="24"/>
          <w:szCs w:val="24"/>
        </w:rPr>
        <w:t>评标活动将按以下五个步骤进行：</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1</w:t>
      </w:r>
      <w:r>
        <w:rPr>
          <w:rFonts w:hint="eastAsia"/>
          <w:sz w:val="24"/>
          <w:szCs w:val="24"/>
        </w:rPr>
        <w:t>）评标准备；</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2</w:t>
      </w:r>
      <w:r>
        <w:rPr>
          <w:rFonts w:hint="eastAsia"/>
          <w:sz w:val="24"/>
          <w:szCs w:val="24"/>
        </w:rPr>
        <w:t>）初步评审；</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3</w:t>
      </w:r>
      <w:r>
        <w:rPr>
          <w:rFonts w:hint="eastAsia"/>
          <w:sz w:val="24"/>
          <w:szCs w:val="24"/>
        </w:rPr>
        <w:t>）详细评审；</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4</w:t>
      </w:r>
      <w:r>
        <w:rPr>
          <w:rFonts w:hint="eastAsia"/>
          <w:sz w:val="24"/>
          <w:szCs w:val="24"/>
        </w:rPr>
        <w:t>）澄清、说明或补正；</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5</w:t>
      </w:r>
      <w:r>
        <w:rPr>
          <w:rFonts w:hint="eastAsia"/>
          <w:sz w:val="24"/>
          <w:szCs w:val="24"/>
        </w:rPr>
        <w:t>）推荐中标候选人或者直接确定中标人及提交评标报告。</w:t>
      </w:r>
    </w:p>
    <w:p>
      <w:pPr>
        <w:pStyle w:val="4"/>
        <w:autoSpaceDE/>
        <w:autoSpaceDN/>
        <w:spacing w:line="360" w:lineRule="auto"/>
        <w:ind w:left="0"/>
        <w:rPr>
          <w:rFonts w:ascii="宋体" w:hAnsi="宋体" w:eastAsia="宋体" w:cs="宋体"/>
          <w:sz w:val="24"/>
          <w:szCs w:val="24"/>
        </w:rPr>
      </w:pPr>
      <w:bookmarkStart w:id="39" w:name="_Toc256000066"/>
      <w:r>
        <w:rPr>
          <w:rFonts w:ascii="宋体" w:hAnsi="宋体" w:eastAsia="宋体" w:cs="宋体"/>
          <w:sz w:val="24"/>
          <w:szCs w:val="24"/>
        </w:rPr>
        <w:t>A2.</w:t>
      </w:r>
      <w:r>
        <w:rPr>
          <w:rFonts w:hint="eastAsia" w:ascii="宋体" w:hAnsi="宋体" w:eastAsia="宋体" w:cs="宋体"/>
          <w:sz w:val="24"/>
          <w:szCs w:val="24"/>
        </w:rPr>
        <w:t>评标准备</w:t>
      </w:r>
      <w:bookmarkEnd w:id="39"/>
    </w:p>
    <w:p>
      <w:pPr>
        <w:pStyle w:val="5"/>
        <w:spacing w:line="360" w:lineRule="auto"/>
        <w:ind w:left="0"/>
        <w:rPr>
          <w:rFonts w:ascii="宋体" w:cs="宋体"/>
          <w:b/>
          <w:bCs/>
          <w:sz w:val="24"/>
          <w:szCs w:val="24"/>
        </w:rPr>
      </w:pPr>
      <w:r>
        <w:rPr>
          <w:rFonts w:ascii="宋体" w:hAnsi="宋体" w:cs="宋体"/>
          <w:b/>
          <w:bCs/>
          <w:sz w:val="24"/>
          <w:szCs w:val="24"/>
        </w:rPr>
        <w:t>A2.1</w:t>
      </w:r>
      <w:r>
        <w:rPr>
          <w:rFonts w:hint="eastAsia" w:ascii="宋体" w:hAnsi="宋体" w:cs="宋体"/>
          <w:b/>
          <w:bCs/>
          <w:sz w:val="24"/>
          <w:szCs w:val="24"/>
        </w:rPr>
        <w:t>评标委员会成员签到</w:t>
      </w:r>
    </w:p>
    <w:p>
      <w:pPr>
        <w:autoSpaceDE/>
        <w:autoSpaceDN/>
        <w:spacing w:line="360" w:lineRule="auto"/>
        <w:rPr>
          <w:b/>
          <w:sz w:val="24"/>
          <w:szCs w:val="24"/>
        </w:rPr>
      </w:pPr>
      <w:r>
        <w:rPr>
          <w:sz w:val="24"/>
          <w:szCs w:val="24"/>
        </w:rPr>
        <w:t xml:space="preserve">    </w:t>
      </w:r>
      <w:r>
        <w:rPr>
          <w:rFonts w:hint="eastAsia"/>
          <w:sz w:val="24"/>
          <w:szCs w:val="24"/>
        </w:rPr>
        <w:t>评标委员会成员到达评标现场时应在签到表上签到以证明其出席。评标委员会签到表见</w:t>
      </w:r>
      <w:r>
        <w:rPr>
          <w:rFonts w:hint="eastAsia"/>
          <w:b/>
          <w:sz w:val="24"/>
          <w:szCs w:val="24"/>
          <w:u w:val="single"/>
        </w:rPr>
        <w:t>附表</w:t>
      </w:r>
      <w:r>
        <w:rPr>
          <w:b/>
          <w:sz w:val="24"/>
          <w:szCs w:val="24"/>
          <w:u w:val="single"/>
        </w:rPr>
        <w:t>A-1</w:t>
      </w:r>
      <w:r>
        <w:rPr>
          <w:rFonts w:hint="eastAsia"/>
          <w:b/>
          <w:sz w:val="24"/>
          <w:szCs w:val="24"/>
        </w:rPr>
        <w:t>。</w:t>
      </w:r>
    </w:p>
    <w:p>
      <w:pPr>
        <w:pStyle w:val="5"/>
        <w:spacing w:line="360" w:lineRule="auto"/>
        <w:ind w:left="0"/>
        <w:rPr>
          <w:rFonts w:ascii="宋体" w:cs="宋体"/>
          <w:b/>
          <w:bCs/>
          <w:sz w:val="24"/>
          <w:szCs w:val="24"/>
        </w:rPr>
      </w:pPr>
      <w:r>
        <w:rPr>
          <w:rFonts w:ascii="宋体" w:hAnsi="宋体" w:cs="宋体"/>
          <w:b/>
          <w:bCs/>
          <w:sz w:val="24"/>
          <w:szCs w:val="24"/>
        </w:rPr>
        <w:t>A2.2</w:t>
      </w:r>
      <w:r>
        <w:rPr>
          <w:rFonts w:hint="eastAsia" w:ascii="宋体" w:hAnsi="宋体" w:cs="宋体"/>
          <w:b/>
          <w:bCs/>
          <w:sz w:val="24"/>
          <w:szCs w:val="24"/>
        </w:rPr>
        <w:t>评标委员会的分工</w:t>
      </w:r>
    </w:p>
    <w:p>
      <w:pPr>
        <w:autoSpaceDE/>
        <w:autoSpaceDN/>
        <w:spacing w:line="360" w:lineRule="auto"/>
        <w:rPr>
          <w:sz w:val="24"/>
          <w:szCs w:val="24"/>
        </w:rPr>
      </w:pPr>
      <w:r>
        <w:rPr>
          <w:sz w:val="24"/>
          <w:szCs w:val="24"/>
        </w:rPr>
        <w:t xml:space="preserve">    </w:t>
      </w:r>
      <w:r>
        <w:rPr>
          <w:rFonts w:hint="eastAsia"/>
          <w:sz w:val="24"/>
          <w:szCs w:val="24"/>
        </w:rPr>
        <w:t>评标委员会首先推选一名评标委员会主任。招标人也可以直接指定评标委员会主任。评标委员会主任负责评标活动的组织领导工作。</w:t>
      </w:r>
    </w:p>
    <w:p>
      <w:pPr>
        <w:pStyle w:val="5"/>
        <w:spacing w:line="360" w:lineRule="auto"/>
        <w:ind w:left="0"/>
        <w:rPr>
          <w:rFonts w:ascii="宋体" w:cs="宋体"/>
          <w:b/>
          <w:bCs/>
          <w:sz w:val="24"/>
          <w:szCs w:val="24"/>
        </w:rPr>
      </w:pPr>
      <w:r>
        <w:rPr>
          <w:rFonts w:ascii="宋体" w:hAnsi="宋体" w:cs="宋体"/>
          <w:b/>
          <w:bCs/>
          <w:sz w:val="24"/>
          <w:szCs w:val="24"/>
        </w:rPr>
        <w:t>A2.3</w:t>
      </w:r>
      <w:r>
        <w:rPr>
          <w:rFonts w:hint="eastAsia" w:ascii="宋体" w:hAnsi="宋体" w:cs="宋体"/>
          <w:b/>
          <w:bCs/>
          <w:sz w:val="24"/>
          <w:szCs w:val="24"/>
        </w:rPr>
        <w:t>熟悉文件资料</w:t>
      </w:r>
    </w:p>
    <w:p>
      <w:pPr>
        <w:autoSpaceDE/>
        <w:autoSpaceDN/>
        <w:spacing w:line="360" w:lineRule="auto"/>
        <w:rPr>
          <w:sz w:val="24"/>
          <w:szCs w:val="24"/>
        </w:rPr>
      </w:pPr>
      <w:r>
        <w:rPr>
          <w:sz w:val="24"/>
          <w:szCs w:val="24"/>
        </w:rPr>
        <w:t xml:space="preserve">    A2.3.1</w:t>
      </w:r>
      <w:r>
        <w:rPr>
          <w:rFonts w:hint="eastAsia"/>
          <w:sz w:val="24"/>
          <w:szCs w:val="24"/>
        </w:rPr>
        <w:t>评标委员会主任应组织评标委员会成员认真研究招标文件，了解和熟悉招标目的、招标范围、主要合同条件、技术标准和要求、质量标准和工期要求，掌握评标标准和方法，熟悉本章及附件，未在招标文件中规定的标准和方法不得作为评标的依据。</w:t>
      </w:r>
    </w:p>
    <w:p>
      <w:pPr>
        <w:autoSpaceDE/>
        <w:autoSpaceDN/>
        <w:spacing w:line="360" w:lineRule="auto"/>
        <w:rPr>
          <w:sz w:val="24"/>
          <w:szCs w:val="24"/>
        </w:rPr>
      </w:pPr>
      <w:r>
        <w:rPr>
          <w:sz w:val="24"/>
          <w:szCs w:val="24"/>
        </w:rPr>
        <w:t xml:space="preserve">    A2.3.2</w:t>
      </w:r>
      <w:r>
        <w:rPr>
          <w:rFonts w:hint="eastAsia"/>
          <w:sz w:val="24"/>
          <w:szCs w:val="24"/>
        </w:rPr>
        <w:t>招标人或招标代理机构应向评标委员会提供评标所需的信息和数据，包括招标文件、未在开标会上当场拒绝的各投标文件、开标会记录、资格预审文件及各投标人在资格预审阶段递交的资格预审申请文件</w:t>
      </w:r>
      <w:r>
        <w:rPr>
          <w:sz w:val="24"/>
          <w:szCs w:val="24"/>
        </w:rPr>
        <w:t>(</w:t>
      </w:r>
      <w:r>
        <w:rPr>
          <w:rFonts w:hint="eastAsia"/>
          <w:sz w:val="24"/>
          <w:szCs w:val="24"/>
        </w:rPr>
        <w:t>适用于已进行资格预审的</w:t>
      </w:r>
      <w:r>
        <w:rPr>
          <w:sz w:val="24"/>
          <w:szCs w:val="24"/>
        </w:rPr>
        <w:t>)</w:t>
      </w:r>
      <w:r>
        <w:rPr>
          <w:rFonts w:hint="eastAsia"/>
          <w:sz w:val="24"/>
          <w:szCs w:val="24"/>
        </w:rPr>
        <w:t>、工程所在地工程造价管理部门颁布的工程造价信息、定额</w:t>
      </w:r>
      <w:r>
        <w:rPr>
          <w:sz w:val="24"/>
          <w:szCs w:val="24"/>
        </w:rPr>
        <w:t>(</w:t>
      </w:r>
      <w:r>
        <w:rPr>
          <w:rFonts w:hint="eastAsia"/>
          <w:sz w:val="24"/>
          <w:szCs w:val="24"/>
        </w:rPr>
        <w:t>如作为计价依据时</w:t>
      </w:r>
      <w:r>
        <w:rPr>
          <w:sz w:val="24"/>
          <w:szCs w:val="24"/>
        </w:rPr>
        <w:t>)</w:t>
      </w:r>
      <w:r>
        <w:rPr>
          <w:rFonts w:hint="eastAsia"/>
          <w:sz w:val="24"/>
          <w:szCs w:val="24"/>
        </w:rPr>
        <w:t>、有关的法律、法规、规章、国家标准以及招标人或评标委员会认为必要的其他信息和数据。</w:t>
      </w:r>
    </w:p>
    <w:p>
      <w:pPr>
        <w:pStyle w:val="5"/>
        <w:spacing w:line="360" w:lineRule="auto"/>
        <w:ind w:left="0"/>
        <w:rPr>
          <w:rFonts w:ascii="宋体" w:cs="宋体"/>
          <w:b/>
          <w:bCs/>
          <w:sz w:val="24"/>
          <w:szCs w:val="24"/>
        </w:rPr>
      </w:pPr>
      <w:r>
        <w:rPr>
          <w:rFonts w:ascii="宋体" w:hAnsi="宋体" w:cs="宋体"/>
          <w:b/>
          <w:bCs/>
          <w:sz w:val="24"/>
          <w:szCs w:val="24"/>
        </w:rPr>
        <w:t>A2.4</w:t>
      </w:r>
      <w:r>
        <w:rPr>
          <w:rFonts w:hint="eastAsia" w:ascii="宋体" w:hAnsi="宋体" w:cs="宋体"/>
          <w:b/>
          <w:bCs/>
          <w:sz w:val="24"/>
          <w:szCs w:val="24"/>
        </w:rPr>
        <w:t>对投标文件进行基础性数据分析和整理工作</w:t>
      </w:r>
      <w:r>
        <w:rPr>
          <w:rFonts w:ascii="宋体" w:hAnsi="宋体" w:cs="宋体"/>
          <w:b/>
          <w:bCs/>
          <w:sz w:val="24"/>
          <w:szCs w:val="24"/>
        </w:rPr>
        <w:t>(</w:t>
      </w:r>
      <w:r>
        <w:rPr>
          <w:rFonts w:hint="eastAsia" w:ascii="宋体" w:hAnsi="宋体" w:cs="宋体"/>
          <w:b/>
          <w:bCs/>
          <w:sz w:val="24"/>
          <w:szCs w:val="24"/>
        </w:rPr>
        <w:t>清标</w:t>
      </w:r>
      <w:r>
        <w:rPr>
          <w:rFonts w:ascii="宋体" w:hAnsi="宋体" w:cs="宋体"/>
          <w:b/>
          <w:bCs/>
          <w:sz w:val="24"/>
          <w:szCs w:val="24"/>
        </w:rPr>
        <w:t>)</w:t>
      </w:r>
    </w:p>
    <w:p>
      <w:pPr>
        <w:autoSpaceDE/>
        <w:autoSpaceDN/>
        <w:spacing w:line="360" w:lineRule="auto"/>
        <w:rPr>
          <w:sz w:val="24"/>
          <w:szCs w:val="24"/>
        </w:rPr>
      </w:pPr>
      <w:r>
        <w:rPr>
          <w:sz w:val="24"/>
          <w:szCs w:val="24"/>
        </w:rPr>
        <w:t xml:space="preserve">    A2.</w:t>
      </w:r>
      <w:r>
        <w:rPr>
          <w:sz w:val="24"/>
          <w:szCs w:val="24"/>
          <w:lang w:val="en-US"/>
        </w:rPr>
        <w:t>4</w:t>
      </w:r>
      <w:r>
        <w:rPr>
          <w:sz w:val="24"/>
          <w:szCs w:val="24"/>
        </w:rPr>
        <w:t>.1</w:t>
      </w:r>
      <w:r>
        <w:rPr>
          <w:rFonts w:hint="eastAsia"/>
          <w:sz w:val="24"/>
          <w:szCs w:val="24"/>
        </w:rPr>
        <w:t>在不改变投标人投标文件实质性内容的前提下，评标委员会应当对投标文件进行基础性数据分析和整理</w:t>
      </w:r>
      <w:r>
        <w:rPr>
          <w:sz w:val="24"/>
          <w:szCs w:val="24"/>
        </w:rPr>
        <w:t>(</w:t>
      </w:r>
      <w:r>
        <w:rPr>
          <w:rFonts w:hint="eastAsia"/>
          <w:sz w:val="24"/>
          <w:szCs w:val="24"/>
        </w:rPr>
        <w:t>本章中简称为“清标”</w:t>
      </w:r>
      <w:r>
        <w:rPr>
          <w:sz w:val="24"/>
          <w:szCs w:val="24"/>
        </w:rPr>
        <w:t>)</w:t>
      </w:r>
      <w:r>
        <w:rPr>
          <w:rFonts w:hint="eastAsia"/>
          <w:sz w:val="24"/>
          <w:szCs w:val="24"/>
        </w:rPr>
        <w:t>，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w:t>
      </w:r>
      <w:r>
        <w:rPr>
          <w:sz w:val="24"/>
          <w:szCs w:val="24"/>
        </w:rPr>
        <w:t>(</w:t>
      </w:r>
      <w:r>
        <w:rPr>
          <w:rFonts w:hint="eastAsia"/>
          <w:sz w:val="24"/>
          <w:szCs w:val="24"/>
        </w:rPr>
        <w:t>包括质疑问卷</w:t>
      </w:r>
      <w:r>
        <w:rPr>
          <w:sz w:val="24"/>
          <w:szCs w:val="24"/>
        </w:rPr>
        <w:t>)</w:t>
      </w:r>
      <w:r>
        <w:rPr>
          <w:rFonts w:hint="eastAsia"/>
          <w:sz w:val="24"/>
          <w:szCs w:val="24"/>
        </w:rPr>
        <w:t>。</w:t>
      </w:r>
    </w:p>
    <w:p>
      <w:pPr>
        <w:pStyle w:val="4"/>
        <w:autoSpaceDE/>
        <w:autoSpaceDN/>
        <w:spacing w:line="360" w:lineRule="auto"/>
        <w:ind w:left="0"/>
        <w:rPr>
          <w:rFonts w:ascii="宋体" w:hAnsi="宋体" w:eastAsia="宋体" w:cs="宋体"/>
          <w:sz w:val="24"/>
          <w:szCs w:val="24"/>
        </w:rPr>
      </w:pPr>
      <w:bookmarkStart w:id="40" w:name="_Toc256000067"/>
      <w:r>
        <w:rPr>
          <w:rFonts w:ascii="宋体" w:hAnsi="宋体" w:eastAsia="宋体" w:cs="宋体"/>
          <w:sz w:val="24"/>
          <w:szCs w:val="24"/>
        </w:rPr>
        <w:t>A3</w:t>
      </w:r>
      <w:r>
        <w:rPr>
          <w:rFonts w:hint="eastAsia" w:ascii="宋体" w:hAnsi="宋体" w:eastAsia="宋体" w:cs="宋体"/>
          <w:sz w:val="24"/>
          <w:szCs w:val="24"/>
        </w:rPr>
        <w:t>初步评审</w:t>
      </w:r>
      <w:bookmarkEnd w:id="40"/>
    </w:p>
    <w:p>
      <w:pPr>
        <w:pStyle w:val="5"/>
        <w:spacing w:line="360" w:lineRule="auto"/>
        <w:ind w:left="0"/>
        <w:rPr>
          <w:rFonts w:ascii="宋体" w:cs="宋体"/>
          <w:b/>
          <w:bCs/>
          <w:sz w:val="24"/>
          <w:szCs w:val="24"/>
        </w:rPr>
      </w:pPr>
      <w:r>
        <w:rPr>
          <w:rFonts w:ascii="宋体" w:hAnsi="宋体" w:cs="宋体"/>
          <w:b/>
          <w:bCs/>
          <w:sz w:val="24"/>
          <w:szCs w:val="24"/>
        </w:rPr>
        <w:t>A3.1</w:t>
      </w:r>
      <w:r>
        <w:rPr>
          <w:rFonts w:hint="eastAsia" w:ascii="宋体" w:hAnsi="宋体" w:cs="宋体"/>
          <w:b/>
          <w:bCs/>
          <w:sz w:val="24"/>
          <w:szCs w:val="24"/>
        </w:rPr>
        <w:t>形式评审</w:t>
      </w:r>
    </w:p>
    <w:p>
      <w:pPr>
        <w:autoSpaceDE/>
        <w:autoSpaceDN/>
        <w:spacing w:line="360" w:lineRule="auto"/>
        <w:rPr>
          <w:sz w:val="24"/>
          <w:szCs w:val="24"/>
        </w:rPr>
      </w:pPr>
      <w:r>
        <w:rPr>
          <w:sz w:val="24"/>
          <w:szCs w:val="24"/>
        </w:rPr>
        <w:t xml:space="preserve">    </w:t>
      </w:r>
      <w:r>
        <w:rPr>
          <w:rFonts w:hint="eastAsia"/>
          <w:sz w:val="24"/>
          <w:szCs w:val="24"/>
        </w:rPr>
        <w:t>评标委员会根据评标办法前附表中规定的评审因素和评审标准，对投标人的投标文件进行形式评审，并使用附表</w:t>
      </w:r>
      <w:r>
        <w:rPr>
          <w:sz w:val="24"/>
          <w:szCs w:val="24"/>
        </w:rPr>
        <w:t>A-2</w:t>
      </w:r>
      <w:r>
        <w:rPr>
          <w:rFonts w:hint="eastAsia"/>
          <w:sz w:val="24"/>
          <w:szCs w:val="24"/>
        </w:rPr>
        <w:t>记录评审结果。</w:t>
      </w:r>
    </w:p>
    <w:p>
      <w:pPr>
        <w:pStyle w:val="5"/>
        <w:spacing w:line="360" w:lineRule="auto"/>
        <w:ind w:left="0"/>
        <w:rPr>
          <w:rFonts w:ascii="宋体" w:cs="宋体"/>
          <w:b/>
          <w:bCs/>
          <w:color w:val="000000"/>
          <w:sz w:val="24"/>
          <w:szCs w:val="24"/>
        </w:rPr>
      </w:pPr>
      <w:r>
        <w:rPr>
          <w:rFonts w:ascii="宋体" w:hAnsi="宋体" w:cs="宋体"/>
          <w:b/>
          <w:bCs/>
          <w:color w:val="000000"/>
          <w:sz w:val="24"/>
          <w:szCs w:val="24"/>
        </w:rPr>
        <w:t>A3.2</w:t>
      </w:r>
      <w:r>
        <w:rPr>
          <w:rFonts w:hint="eastAsia" w:ascii="宋体" w:hAnsi="宋体" w:cs="宋体"/>
          <w:b/>
          <w:bCs/>
          <w:color w:val="000000"/>
          <w:sz w:val="24"/>
          <w:szCs w:val="24"/>
        </w:rPr>
        <w:t>资格评审</w:t>
      </w:r>
    </w:p>
    <w:p>
      <w:pPr>
        <w:autoSpaceDE/>
        <w:autoSpaceDN/>
        <w:spacing w:line="360" w:lineRule="auto"/>
        <w:rPr>
          <w:sz w:val="24"/>
          <w:szCs w:val="24"/>
        </w:rPr>
      </w:pPr>
      <w:r>
        <w:rPr>
          <w:sz w:val="24"/>
          <w:szCs w:val="24"/>
        </w:rPr>
        <w:t xml:space="preserve">    A3.2.1</w:t>
      </w:r>
      <w:r>
        <w:rPr>
          <w:rFonts w:hint="eastAsia"/>
          <w:sz w:val="24"/>
          <w:szCs w:val="24"/>
        </w:rPr>
        <w:t>评标委员会根据评标办法前附表中规定的评审因素和评审标准，对投标人的投标文件进行资格评审，并使用附表</w:t>
      </w:r>
      <w:r>
        <w:rPr>
          <w:sz w:val="24"/>
          <w:szCs w:val="24"/>
        </w:rPr>
        <w:t>A-3</w:t>
      </w:r>
      <w:r>
        <w:rPr>
          <w:rFonts w:hint="eastAsia"/>
          <w:sz w:val="24"/>
          <w:szCs w:val="24"/>
        </w:rPr>
        <w:t>记录评审结果</w:t>
      </w:r>
      <w:r>
        <w:rPr>
          <w:sz w:val="24"/>
          <w:szCs w:val="24"/>
        </w:rPr>
        <w:t>(</w:t>
      </w:r>
      <w:r>
        <w:rPr>
          <w:rFonts w:hint="eastAsia"/>
          <w:sz w:val="24"/>
          <w:szCs w:val="24"/>
        </w:rPr>
        <w:t>适用于未进行资格预审的</w:t>
      </w:r>
      <w:r>
        <w:rPr>
          <w:sz w:val="24"/>
          <w:szCs w:val="24"/>
        </w:rPr>
        <w:t>)</w:t>
      </w:r>
      <w:r>
        <w:rPr>
          <w:rFonts w:hint="eastAsia"/>
          <w:sz w:val="24"/>
          <w:szCs w:val="24"/>
        </w:rPr>
        <w:t>。</w:t>
      </w:r>
    </w:p>
    <w:p>
      <w:pPr>
        <w:autoSpaceDE/>
        <w:autoSpaceDN/>
        <w:spacing w:line="360" w:lineRule="auto"/>
        <w:rPr>
          <w:sz w:val="24"/>
          <w:szCs w:val="24"/>
        </w:rPr>
      </w:pPr>
      <w:r>
        <w:rPr>
          <w:sz w:val="24"/>
          <w:szCs w:val="24"/>
        </w:rPr>
        <w:t xml:space="preserve">    A3.2.1</w:t>
      </w:r>
      <w:r>
        <w:rPr>
          <w:rFonts w:hint="eastAsia"/>
          <w:sz w:val="24"/>
          <w:szCs w:val="24"/>
        </w:rPr>
        <w:t>当投标人资格预审申请文件的内容发生重大变化时，评标委员会依据资格预审文件中规定的标准和方法，对照投标人在资格预审阶段递交的资格预审文件中的资料以及在投标文件中更新的资料，对其更新的资料进行评审</w:t>
      </w:r>
      <w:r>
        <w:rPr>
          <w:sz w:val="24"/>
          <w:szCs w:val="24"/>
        </w:rPr>
        <w:t>(</w:t>
      </w:r>
      <w:r>
        <w:rPr>
          <w:rFonts w:hint="eastAsia"/>
          <w:sz w:val="24"/>
          <w:szCs w:val="24"/>
        </w:rPr>
        <w:t>适用于已进行资格预审的</w:t>
      </w:r>
      <w:r>
        <w:rPr>
          <w:sz w:val="24"/>
          <w:szCs w:val="24"/>
        </w:rPr>
        <w:t>)</w:t>
      </w:r>
      <w:r>
        <w:rPr>
          <w:rFonts w:hint="eastAsia"/>
          <w:sz w:val="24"/>
          <w:szCs w:val="24"/>
        </w:rPr>
        <w:t>。其中：</w:t>
      </w:r>
    </w:p>
    <w:p>
      <w:pPr>
        <w:autoSpaceDE/>
        <w:autoSpaceDN/>
        <w:spacing w:line="360" w:lineRule="auto"/>
        <w:rPr>
          <w:sz w:val="24"/>
          <w:szCs w:val="24"/>
        </w:rPr>
      </w:pPr>
      <w:r>
        <w:rPr>
          <w:sz w:val="24"/>
          <w:szCs w:val="24"/>
        </w:rPr>
        <w:t xml:space="preserve">    (1)</w:t>
      </w:r>
      <w:r>
        <w:rPr>
          <w:rFonts w:hint="eastAsia"/>
          <w:sz w:val="24"/>
          <w:szCs w:val="24"/>
        </w:rPr>
        <w:t>资格预审采用“合格制”的，投标文件中更新的资料应当符合资格预审文件中规定的审查标准，否则其投标作否决投标处理；</w:t>
      </w:r>
    </w:p>
    <w:p>
      <w:pPr>
        <w:autoSpaceDE/>
        <w:autoSpaceDN/>
        <w:spacing w:line="360" w:lineRule="auto"/>
        <w:rPr>
          <w:sz w:val="24"/>
          <w:szCs w:val="24"/>
        </w:rPr>
      </w:pPr>
      <w:r>
        <w:rPr>
          <w:sz w:val="24"/>
          <w:szCs w:val="24"/>
        </w:rPr>
        <w:t xml:space="preserve">    (2)</w:t>
      </w:r>
      <w:r>
        <w:rPr>
          <w:rFonts w:hint="eastAsia"/>
          <w:sz w:val="24"/>
          <w:szCs w:val="24"/>
        </w:rPr>
        <w:t>资格预审采用“有限数量制”的，投标文件中更新的资料应当符合资格预审文件中规定的审查标准，其中以评分方式进行审查的，其更新的资料按照资格预审文件中规定的评分标准评分后，其得分应当保证即便在资格预审阶段仍然能够获得投标资格且没有对未通过资格预审的其他资格预审申请人构成不公平，否则其投标作否决投标处理。</w:t>
      </w:r>
    </w:p>
    <w:p>
      <w:pPr>
        <w:pStyle w:val="5"/>
        <w:spacing w:line="360" w:lineRule="auto"/>
        <w:ind w:left="0"/>
        <w:rPr>
          <w:rFonts w:ascii="宋体" w:cs="宋体"/>
          <w:b/>
          <w:bCs/>
          <w:sz w:val="24"/>
          <w:szCs w:val="24"/>
        </w:rPr>
      </w:pPr>
      <w:r>
        <w:rPr>
          <w:rFonts w:ascii="宋体" w:hAnsi="宋体" w:cs="宋体"/>
          <w:b/>
          <w:bCs/>
          <w:sz w:val="24"/>
          <w:szCs w:val="24"/>
        </w:rPr>
        <w:t>A3.3</w:t>
      </w:r>
      <w:r>
        <w:rPr>
          <w:rFonts w:hint="eastAsia" w:ascii="宋体" w:hAnsi="宋体" w:cs="宋体"/>
          <w:b/>
          <w:bCs/>
          <w:sz w:val="24"/>
          <w:szCs w:val="24"/>
        </w:rPr>
        <w:t>响应性评审</w:t>
      </w:r>
    </w:p>
    <w:p>
      <w:pPr>
        <w:autoSpaceDE/>
        <w:autoSpaceDN/>
        <w:spacing w:line="360" w:lineRule="auto"/>
        <w:rPr>
          <w:b/>
          <w:sz w:val="24"/>
          <w:szCs w:val="24"/>
        </w:rPr>
      </w:pPr>
      <w:r>
        <w:rPr>
          <w:sz w:val="24"/>
          <w:szCs w:val="24"/>
        </w:rPr>
        <w:t xml:space="preserve">    A3.3.1</w:t>
      </w:r>
      <w:r>
        <w:rPr>
          <w:rFonts w:hint="eastAsia"/>
          <w:sz w:val="24"/>
          <w:szCs w:val="24"/>
        </w:rPr>
        <w:t>评标委员会根据评标办法前附表中规定的评审因素和评审标准，对投标人的投标文件进行响应性评审，并使用附表</w:t>
      </w:r>
      <w:r>
        <w:rPr>
          <w:sz w:val="24"/>
          <w:szCs w:val="24"/>
        </w:rPr>
        <w:t>A-4</w:t>
      </w:r>
      <w:r>
        <w:rPr>
          <w:rFonts w:hint="eastAsia"/>
          <w:sz w:val="24"/>
          <w:szCs w:val="24"/>
        </w:rPr>
        <w:t>记录评审结果。</w:t>
      </w:r>
    </w:p>
    <w:p>
      <w:pPr>
        <w:autoSpaceDE/>
        <w:autoSpaceDN/>
        <w:spacing w:line="360" w:lineRule="auto"/>
        <w:rPr>
          <w:sz w:val="24"/>
          <w:szCs w:val="24"/>
        </w:rPr>
      </w:pPr>
      <w:r>
        <w:rPr>
          <w:sz w:val="24"/>
          <w:szCs w:val="24"/>
        </w:rPr>
        <w:t xml:space="preserve">    A3.3.</w:t>
      </w:r>
      <w:r>
        <w:rPr>
          <w:rFonts w:hint="eastAsia"/>
          <w:sz w:val="24"/>
          <w:szCs w:val="24"/>
        </w:rPr>
        <w:t>２投标人投标价格不得超出</w:t>
      </w:r>
      <w:r>
        <w:rPr>
          <w:sz w:val="24"/>
          <w:szCs w:val="24"/>
        </w:rPr>
        <w:t>(</w:t>
      </w:r>
      <w:r>
        <w:rPr>
          <w:rFonts w:hint="eastAsia"/>
          <w:sz w:val="24"/>
          <w:szCs w:val="24"/>
        </w:rPr>
        <w:t>不含等于</w:t>
      </w:r>
      <w:r>
        <w:rPr>
          <w:sz w:val="24"/>
          <w:szCs w:val="24"/>
        </w:rPr>
        <w:t>)</w:t>
      </w:r>
      <w:r>
        <w:rPr>
          <w:rFonts w:hint="eastAsia"/>
          <w:sz w:val="24"/>
          <w:szCs w:val="24"/>
        </w:rPr>
        <w:t>按照第二章“投标人须知”前附表第</w:t>
      </w:r>
      <w:r>
        <w:rPr>
          <w:sz w:val="24"/>
          <w:szCs w:val="24"/>
        </w:rPr>
        <w:t>7.3.1</w:t>
      </w:r>
      <w:r>
        <w:rPr>
          <w:rFonts w:hint="eastAsia"/>
          <w:sz w:val="24"/>
          <w:szCs w:val="24"/>
        </w:rPr>
        <w:t>款载明的招标控制价，凡投标人的投标价格超出招标控制价的，该投标人的投标文件不能通过响应性评审</w:t>
      </w:r>
      <w:r>
        <w:rPr>
          <w:sz w:val="24"/>
          <w:szCs w:val="24"/>
        </w:rPr>
        <w:t>(</w:t>
      </w:r>
      <w:r>
        <w:rPr>
          <w:rFonts w:hint="eastAsia"/>
          <w:sz w:val="24"/>
          <w:szCs w:val="24"/>
        </w:rPr>
        <w:t>适用于设立招标控制价的情形</w:t>
      </w:r>
      <w:r>
        <w:rPr>
          <w:sz w:val="24"/>
          <w:szCs w:val="24"/>
        </w:rPr>
        <w:t>)</w:t>
      </w:r>
      <w:r>
        <w:rPr>
          <w:rFonts w:hint="eastAsia"/>
          <w:sz w:val="24"/>
          <w:szCs w:val="24"/>
        </w:rPr>
        <w:t>。</w:t>
      </w:r>
    </w:p>
    <w:p>
      <w:pPr>
        <w:pStyle w:val="5"/>
        <w:spacing w:line="360" w:lineRule="auto"/>
        <w:ind w:left="0"/>
        <w:rPr>
          <w:rFonts w:ascii="宋体" w:cs="宋体"/>
          <w:sz w:val="24"/>
          <w:szCs w:val="24"/>
        </w:rPr>
      </w:pPr>
      <w:r>
        <w:rPr>
          <w:rFonts w:ascii="宋体" w:hAnsi="宋体" w:cs="宋体"/>
          <w:sz w:val="24"/>
          <w:szCs w:val="24"/>
        </w:rPr>
        <w:t xml:space="preserve">A3.4  </w:t>
      </w:r>
      <w:r>
        <w:rPr>
          <w:rFonts w:hint="eastAsia" w:ascii="宋体" w:hAnsi="宋体" w:cs="宋体"/>
          <w:sz w:val="24"/>
          <w:szCs w:val="24"/>
        </w:rPr>
        <w:t>判断投标是否为否决投标</w:t>
      </w:r>
    </w:p>
    <w:p>
      <w:pPr>
        <w:autoSpaceDE/>
        <w:autoSpaceDN/>
        <w:spacing w:line="360" w:lineRule="auto"/>
        <w:rPr>
          <w:sz w:val="24"/>
          <w:szCs w:val="24"/>
        </w:rPr>
      </w:pPr>
      <w:r>
        <w:rPr>
          <w:sz w:val="24"/>
          <w:szCs w:val="24"/>
        </w:rPr>
        <w:t xml:space="preserve">    A3.4.1</w:t>
      </w:r>
      <w:r>
        <w:rPr>
          <w:rFonts w:hint="eastAsia"/>
          <w:sz w:val="24"/>
          <w:szCs w:val="24"/>
        </w:rPr>
        <w:t>评标委员会在评标</w:t>
      </w:r>
      <w:r>
        <w:rPr>
          <w:sz w:val="24"/>
          <w:szCs w:val="24"/>
        </w:rPr>
        <w:t>(</w:t>
      </w:r>
      <w:r>
        <w:rPr>
          <w:rFonts w:hint="eastAsia"/>
          <w:sz w:val="24"/>
          <w:szCs w:val="24"/>
        </w:rPr>
        <w:t>初步评审</w:t>
      </w:r>
      <w:r>
        <w:rPr>
          <w:sz w:val="24"/>
          <w:szCs w:val="24"/>
        </w:rPr>
        <w:t>)</w:t>
      </w:r>
      <w:r>
        <w:rPr>
          <w:rFonts w:hint="eastAsia"/>
          <w:sz w:val="24"/>
          <w:szCs w:val="24"/>
        </w:rPr>
        <w:t>过程中，依据本章第</w:t>
      </w:r>
      <w:r>
        <w:rPr>
          <w:sz w:val="24"/>
          <w:szCs w:val="24"/>
        </w:rPr>
        <w:t>3</w:t>
      </w:r>
      <w:r>
        <w:rPr>
          <w:rFonts w:hint="eastAsia"/>
          <w:sz w:val="24"/>
          <w:szCs w:val="24"/>
        </w:rPr>
        <w:t>．</w:t>
      </w:r>
      <w:r>
        <w:rPr>
          <w:sz w:val="24"/>
          <w:szCs w:val="24"/>
        </w:rPr>
        <w:t>1</w:t>
      </w:r>
      <w:r>
        <w:rPr>
          <w:rFonts w:hint="eastAsia"/>
          <w:sz w:val="24"/>
          <w:szCs w:val="24"/>
        </w:rPr>
        <w:t>．</w:t>
      </w:r>
      <w:r>
        <w:rPr>
          <w:sz w:val="24"/>
          <w:szCs w:val="24"/>
        </w:rPr>
        <w:t>2</w:t>
      </w:r>
      <w:r>
        <w:rPr>
          <w:rFonts w:hint="eastAsia"/>
          <w:sz w:val="24"/>
          <w:szCs w:val="24"/>
        </w:rPr>
        <w:t>项中规定的否决投标条件判断投标人的投标是否为否决投标。</w:t>
      </w:r>
    </w:p>
    <w:p>
      <w:pPr>
        <w:pStyle w:val="5"/>
        <w:spacing w:line="360" w:lineRule="auto"/>
        <w:ind w:left="0"/>
        <w:rPr>
          <w:rFonts w:ascii="宋体" w:cs="宋体"/>
          <w:sz w:val="24"/>
          <w:szCs w:val="24"/>
        </w:rPr>
      </w:pPr>
      <w:r>
        <w:rPr>
          <w:rFonts w:ascii="宋体" w:hAnsi="宋体" w:cs="宋体"/>
          <w:b/>
          <w:bCs/>
          <w:sz w:val="24"/>
          <w:szCs w:val="24"/>
        </w:rPr>
        <w:t>A3.5</w:t>
      </w:r>
      <w:r>
        <w:rPr>
          <w:rFonts w:hint="eastAsia" w:ascii="宋体" w:hAnsi="宋体" w:cs="宋体"/>
          <w:b/>
          <w:bCs/>
          <w:sz w:val="24"/>
          <w:szCs w:val="24"/>
        </w:rPr>
        <w:t>算术错误修正</w:t>
      </w:r>
    </w:p>
    <w:p>
      <w:pPr>
        <w:autoSpaceDE/>
        <w:autoSpaceDN/>
        <w:spacing w:line="360" w:lineRule="auto"/>
        <w:rPr>
          <w:sz w:val="24"/>
          <w:szCs w:val="24"/>
        </w:rPr>
      </w:pPr>
      <w:r>
        <w:rPr>
          <w:sz w:val="24"/>
          <w:szCs w:val="24"/>
        </w:rPr>
        <w:t xml:space="preserve">    </w:t>
      </w:r>
      <w:r>
        <w:rPr>
          <w:rFonts w:hint="eastAsia"/>
          <w:sz w:val="24"/>
          <w:szCs w:val="24"/>
        </w:rPr>
        <w:t>评标委员会依据本章中规定的相关原则对投标报价中存在的算术错误进行修正，并根据算术错误修正结果计算评标价。</w:t>
      </w:r>
    </w:p>
    <w:p>
      <w:pPr>
        <w:pStyle w:val="5"/>
        <w:spacing w:line="360" w:lineRule="auto"/>
        <w:ind w:left="0"/>
        <w:rPr>
          <w:rFonts w:ascii="宋体" w:cs="宋体"/>
          <w:b/>
          <w:bCs/>
          <w:sz w:val="24"/>
          <w:szCs w:val="24"/>
        </w:rPr>
      </w:pPr>
      <w:r>
        <w:rPr>
          <w:rFonts w:ascii="宋体" w:hAnsi="宋体" w:cs="宋体"/>
          <w:b/>
          <w:bCs/>
          <w:sz w:val="24"/>
          <w:szCs w:val="24"/>
        </w:rPr>
        <w:t>A3</w:t>
      </w:r>
      <w:r>
        <w:rPr>
          <w:rFonts w:hint="eastAsia" w:ascii="宋体" w:hAnsi="宋体" w:cs="宋体"/>
          <w:b/>
          <w:bCs/>
          <w:sz w:val="24"/>
          <w:szCs w:val="24"/>
        </w:rPr>
        <w:t>．</w:t>
      </w:r>
      <w:r>
        <w:rPr>
          <w:rFonts w:ascii="宋体" w:hAnsi="宋体" w:cs="宋体"/>
          <w:b/>
          <w:bCs/>
          <w:sz w:val="24"/>
          <w:szCs w:val="24"/>
        </w:rPr>
        <w:t>6</w:t>
      </w:r>
      <w:r>
        <w:rPr>
          <w:rFonts w:hint="eastAsia" w:ascii="宋体" w:hAnsi="宋体" w:cs="宋体"/>
          <w:b/>
          <w:bCs/>
          <w:sz w:val="24"/>
          <w:szCs w:val="24"/>
        </w:rPr>
        <w:t>澄清、说明或补正</w:t>
      </w:r>
    </w:p>
    <w:p>
      <w:pPr>
        <w:autoSpaceDE/>
        <w:autoSpaceDN/>
        <w:spacing w:line="360" w:lineRule="auto"/>
        <w:rPr>
          <w:sz w:val="24"/>
          <w:szCs w:val="24"/>
        </w:rPr>
      </w:pPr>
      <w:r>
        <w:rPr>
          <w:sz w:val="24"/>
          <w:szCs w:val="24"/>
        </w:rPr>
        <w:t xml:space="preserve">    </w:t>
      </w:r>
      <w:r>
        <w:rPr>
          <w:rFonts w:hint="eastAsia"/>
          <w:sz w:val="24"/>
          <w:szCs w:val="24"/>
        </w:rPr>
        <w:t>在评审过程中，评标委员会应当就投标文件中不明确的内容要求投标人进行澄清、说明或者补正。投标人对此以书面形式予以澄清、说明或者补正。澄清、说明或补正根据本章第</w:t>
      </w:r>
      <w:r>
        <w:rPr>
          <w:sz w:val="24"/>
          <w:szCs w:val="24"/>
        </w:rPr>
        <w:t>3.3</w:t>
      </w:r>
      <w:r>
        <w:rPr>
          <w:rFonts w:hint="eastAsia"/>
          <w:sz w:val="24"/>
          <w:szCs w:val="24"/>
        </w:rPr>
        <w:t>款的规定执行。</w:t>
      </w:r>
    </w:p>
    <w:p>
      <w:pPr>
        <w:pStyle w:val="4"/>
        <w:autoSpaceDE/>
        <w:autoSpaceDN/>
        <w:spacing w:line="360" w:lineRule="auto"/>
        <w:ind w:left="0"/>
        <w:rPr>
          <w:rFonts w:ascii="宋体" w:hAnsi="宋体" w:eastAsia="宋体" w:cs="宋体"/>
          <w:sz w:val="24"/>
          <w:szCs w:val="24"/>
        </w:rPr>
      </w:pPr>
      <w:bookmarkStart w:id="41" w:name="_Toc256000068"/>
      <w:r>
        <w:rPr>
          <w:rFonts w:ascii="宋体" w:hAnsi="宋体" w:eastAsia="宋体" w:cs="宋体"/>
          <w:sz w:val="24"/>
          <w:szCs w:val="24"/>
        </w:rPr>
        <w:t>A4</w:t>
      </w:r>
      <w:r>
        <w:rPr>
          <w:rFonts w:hint="eastAsia" w:ascii="宋体" w:hAnsi="宋体" w:eastAsia="宋体" w:cs="宋体"/>
          <w:sz w:val="24"/>
          <w:szCs w:val="24"/>
        </w:rPr>
        <w:t>．详细评审</w:t>
      </w:r>
      <w:bookmarkEnd w:id="41"/>
    </w:p>
    <w:p>
      <w:pPr>
        <w:autoSpaceDE/>
        <w:autoSpaceDN/>
        <w:spacing w:line="360" w:lineRule="auto"/>
        <w:rPr>
          <w:sz w:val="24"/>
          <w:szCs w:val="24"/>
        </w:rPr>
      </w:pPr>
      <w:r>
        <w:rPr>
          <w:sz w:val="24"/>
          <w:szCs w:val="24"/>
        </w:rPr>
        <w:t xml:space="preserve">    </w:t>
      </w:r>
      <w:r>
        <w:rPr>
          <w:rFonts w:hint="eastAsia"/>
          <w:sz w:val="24"/>
          <w:szCs w:val="24"/>
        </w:rPr>
        <w:t>只有通过了初步评审、被判定为合格的投标方可进入详细评审。</w:t>
      </w:r>
    </w:p>
    <w:p>
      <w:pPr>
        <w:pStyle w:val="5"/>
        <w:spacing w:line="360" w:lineRule="auto"/>
        <w:ind w:left="0"/>
        <w:rPr>
          <w:rFonts w:ascii="宋体" w:cs="宋体"/>
          <w:b/>
          <w:bCs/>
          <w:sz w:val="24"/>
          <w:szCs w:val="24"/>
        </w:rPr>
      </w:pPr>
      <w:r>
        <w:rPr>
          <w:rFonts w:ascii="宋体" w:hAnsi="宋体" w:cs="宋体"/>
          <w:b/>
          <w:bCs/>
          <w:sz w:val="24"/>
          <w:szCs w:val="24"/>
        </w:rPr>
        <w:t>A4.1</w:t>
      </w:r>
      <w:r>
        <w:rPr>
          <w:rFonts w:hint="eastAsia" w:ascii="宋体" w:hAnsi="宋体" w:cs="宋体"/>
          <w:b/>
          <w:bCs/>
          <w:sz w:val="24"/>
          <w:szCs w:val="24"/>
        </w:rPr>
        <w:t>详细评审的程序</w:t>
      </w:r>
    </w:p>
    <w:p>
      <w:pPr>
        <w:autoSpaceDE/>
        <w:autoSpaceDN/>
        <w:spacing w:line="360" w:lineRule="auto"/>
        <w:rPr>
          <w:sz w:val="24"/>
          <w:szCs w:val="24"/>
        </w:rPr>
      </w:pPr>
      <w:r>
        <w:rPr>
          <w:sz w:val="24"/>
          <w:szCs w:val="24"/>
        </w:rPr>
        <w:t xml:space="preserve">    A4.1.1</w:t>
      </w:r>
      <w:r>
        <w:rPr>
          <w:rFonts w:hint="eastAsia"/>
          <w:sz w:val="24"/>
          <w:szCs w:val="24"/>
        </w:rPr>
        <w:t>评标委员会按照本章第</w:t>
      </w:r>
      <w:r>
        <w:rPr>
          <w:sz w:val="24"/>
          <w:szCs w:val="24"/>
        </w:rPr>
        <w:t>3</w:t>
      </w:r>
      <w:r>
        <w:rPr>
          <w:rFonts w:hint="eastAsia"/>
          <w:sz w:val="24"/>
          <w:szCs w:val="24"/>
        </w:rPr>
        <w:t>．</w:t>
      </w:r>
      <w:r>
        <w:rPr>
          <w:sz w:val="24"/>
          <w:szCs w:val="24"/>
        </w:rPr>
        <w:t>2</w:t>
      </w:r>
      <w:r>
        <w:rPr>
          <w:rFonts w:hint="eastAsia"/>
          <w:sz w:val="24"/>
          <w:szCs w:val="24"/>
        </w:rPr>
        <w:t>款中规定的程序进行详细评审：</w:t>
      </w:r>
    </w:p>
    <w:p>
      <w:pPr>
        <w:autoSpaceDE/>
        <w:autoSpaceDN/>
        <w:spacing w:line="360" w:lineRule="auto"/>
        <w:rPr>
          <w:sz w:val="24"/>
          <w:szCs w:val="24"/>
        </w:rPr>
      </w:pPr>
      <w:r>
        <w:rPr>
          <w:sz w:val="24"/>
          <w:szCs w:val="24"/>
        </w:rPr>
        <w:t xml:space="preserve">        (1)</w:t>
      </w:r>
      <w:r>
        <w:rPr>
          <w:rFonts w:hint="eastAsia"/>
          <w:sz w:val="24"/>
          <w:szCs w:val="24"/>
        </w:rPr>
        <w:t>对明显低于其他投标报价的投标报价，或者在设有标底时明显低于标底的投标报价，判断是否低于其个别成本；</w:t>
      </w:r>
    </w:p>
    <w:p>
      <w:pPr>
        <w:autoSpaceDE/>
        <w:autoSpaceDN/>
        <w:spacing w:line="360" w:lineRule="auto"/>
        <w:rPr>
          <w:sz w:val="24"/>
          <w:szCs w:val="24"/>
        </w:rPr>
      </w:pPr>
      <w:r>
        <w:rPr>
          <w:sz w:val="24"/>
          <w:szCs w:val="24"/>
        </w:rPr>
        <w:t xml:space="preserve">        (2)</w:t>
      </w:r>
      <w:r>
        <w:rPr>
          <w:rFonts w:hint="eastAsia"/>
          <w:sz w:val="24"/>
          <w:szCs w:val="24"/>
        </w:rPr>
        <w:t>施工组织设计评审和评分；</w:t>
      </w:r>
    </w:p>
    <w:p>
      <w:pPr>
        <w:autoSpaceDE/>
        <w:autoSpaceDN/>
        <w:spacing w:line="360" w:lineRule="auto"/>
        <w:rPr>
          <w:sz w:val="24"/>
          <w:szCs w:val="24"/>
        </w:rPr>
      </w:pPr>
      <w:r>
        <w:rPr>
          <w:sz w:val="24"/>
          <w:szCs w:val="24"/>
        </w:rPr>
        <w:t xml:space="preserve">        (3)</w:t>
      </w:r>
      <w:r>
        <w:rPr>
          <w:rFonts w:hint="eastAsia"/>
          <w:sz w:val="24"/>
          <w:szCs w:val="24"/>
        </w:rPr>
        <w:t>项目管理机构评审和评分；</w:t>
      </w:r>
    </w:p>
    <w:p>
      <w:pPr>
        <w:autoSpaceDE/>
        <w:autoSpaceDN/>
        <w:spacing w:line="360" w:lineRule="auto"/>
        <w:rPr>
          <w:sz w:val="24"/>
          <w:szCs w:val="24"/>
        </w:rPr>
      </w:pPr>
      <w:r>
        <w:rPr>
          <w:sz w:val="24"/>
          <w:szCs w:val="24"/>
        </w:rPr>
        <w:t xml:space="preserve">        (4)</w:t>
      </w:r>
      <w:r>
        <w:rPr>
          <w:rFonts w:hint="eastAsia"/>
          <w:sz w:val="24"/>
          <w:szCs w:val="24"/>
        </w:rPr>
        <w:t>投标报价评审和评分；</w:t>
      </w:r>
    </w:p>
    <w:p>
      <w:pPr>
        <w:autoSpaceDE/>
        <w:autoSpaceDN/>
        <w:spacing w:line="360" w:lineRule="auto"/>
        <w:rPr>
          <w:sz w:val="24"/>
          <w:szCs w:val="24"/>
          <w:lang w:val="en-US"/>
        </w:rPr>
      </w:pPr>
      <w:r>
        <w:rPr>
          <w:sz w:val="24"/>
          <w:szCs w:val="24"/>
          <w:lang w:val="en-US"/>
        </w:rPr>
        <w:t xml:space="preserve">       </w:t>
      </w:r>
      <w:r>
        <w:rPr>
          <w:rFonts w:hint="eastAsia"/>
          <w:sz w:val="24"/>
          <w:szCs w:val="24"/>
          <w:lang w:val="en-US"/>
        </w:rPr>
        <w:t>（</w:t>
      </w:r>
      <w:r>
        <w:rPr>
          <w:sz w:val="24"/>
          <w:szCs w:val="24"/>
          <w:lang w:val="en-US"/>
        </w:rPr>
        <w:t>5</w:t>
      </w:r>
      <w:r>
        <w:rPr>
          <w:rFonts w:hint="eastAsia"/>
          <w:sz w:val="24"/>
          <w:szCs w:val="24"/>
          <w:lang w:val="en-US"/>
        </w:rPr>
        <w:t>）</w:t>
      </w:r>
      <w:r>
        <w:rPr>
          <w:rFonts w:hint="eastAsia"/>
          <w:sz w:val="24"/>
          <w:szCs w:val="24"/>
        </w:rPr>
        <w:t>投标报价合理性评审和评分；</w:t>
      </w:r>
    </w:p>
    <w:p>
      <w:pPr>
        <w:autoSpaceDE/>
        <w:autoSpaceDN/>
        <w:spacing w:line="360" w:lineRule="auto"/>
        <w:rPr>
          <w:sz w:val="24"/>
          <w:szCs w:val="24"/>
        </w:rPr>
      </w:pPr>
      <w:r>
        <w:rPr>
          <w:sz w:val="24"/>
          <w:szCs w:val="24"/>
        </w:rPr>
        <w:t xml:space="preserve">        (</w:t>
      </w:r>
      <w:r>
        <w:rPr>
          <w:sz w:val="24"/>
          <w:szCs w:val="24"/>
          <w:lang w:val="en-US"/>
        </w:rPr>
        <w:t>6</w:t>
      </w:r>
      <w:r>
        <w:rPr>
          <w:sz w:val="24"/>
          <w:szCs w:val="24"/>
        </w:rPr>
        <w:t>)</w:t>
      </w:r>
      <w:r>
        <w:rPr>
          <w:rFonts w:hint="eastAsia"/>
          <w:sz w:val="24"/>
          <w:szCs w:val="24"/>
        </w:rPr>
        <w:t>其他评审和评分；</w:t>
      </w:r>
    </w:p>
    <w:p>
      <w:pPr>
        <w:autoSpaceDE/>
        <w:autoSpaceDN/>
        <w:spacing w:line="360" w:lineRule="auto"/>
        <w:rPr>
          <w:sz w:val="24"/>
          <w:szCs w:val="24"/>
        </w:rPr>
      </w:pPr>
      <w:r>
        <w:rPr>
          <w:sz w:val="24"/>
          <w:szCs w:val="24"/>
        </w:rPr>
        <w:t xml:space="preserve">        (</w:t>
      </w:r>
      <w:r>
        <w:rPr>
          <w:sz w:val="24"/>
          <w:szCs w:val="24"/>
          <w:lang w:val="en-US"/>
        </w:rPr>
        <w:t>7</w:t>
      </w:r>
      <w:r>
        <w:rPr>
          <w:sz w:val="24"/>
          <w:szCs w:val="24"/>
        </w:rPr>
        <w:t>)</w:t>
      </w:r>
      <w:r>
        <w:rPr>
          <w:rFonts w:hint="eastAsia"/>
          <w:sz w:val="24"/>
          <w:szCs w:val="24"/>
        </w:rPr>
        <w:t>汇总评分结果。</w:t>
      </w:r>
    </w:p>
    <w:p>
      <w:pPr>
        <w:pStyle w:val="5"/>
        <w:spacing w:line="360" w:lineRule="auto"/>
        <w:ind w:left="0"/>
        <w:rPr>
          <w:rFonts w:ascii="宋体" w:cs="宋体"/>
          <w:b/>
          <w:bCs/>
          <w:sz w:val="24"/>
          <w:szCs w:val="24"/>
        </w:rPr>
      </w:pPr>
      <w:r>
        <w:rPr>
          <w:rFonts w:ascii="宋体" w:hAnsi="宋体" w:cs="宋体"/>
          <w:b/>
          <w:bCs/>
          <w:sz w:val="24"/>
          <w:szCs w:val="24"/>
        </w:rPr>
        <w:t xml:space="preserve">A4.2  </w:t>
      </w:r>
      <w:r>
        <w:rPr>
          <w:rFonts w:hint="eastAsia" w:ascii="宋体" w:hAnsi="宋体" w:cs="宋体"/>
          <w:b/>
          <w:bCs/>
          <w:sz w:val="24"/>
          <w:szCs w:val="24"/>
        </w:rPr>
        <w:t>施工组织设计评审和评分</w:t>
      </w:r>
    </w:p>
    <w:p>
      <w:pPr>
        <w:autoSpaceDE/>
        <w:autoSpaceDN/>
        <w:spacing w:line="360" w:lineRule="auto"/>
        <w:rPr>
          <w:sz w:val="24"/>
          <w:szCs w:val="24"/>
        </w:rPr>
      </w:pPr>
      <w:r>
        <w:rPr>
          <w:sz w:val="24"/>
          <w:szCs w:val="24"/>
        </w:rPr>
        <w:t xml:space="preserve">    A4.2.1</w:t>
      </w:r>
      <w:r>
        <w:rPr>
          <w:rFonts w:hint="eastAsia"/>
          <w:sz w:val="24"/>
          <w:szCs w:val="24"/>
        </w:rPr>
        <w:t>按照评标办法前附表中规定的分值设定、各项评分因素、评分标准，对施工组织设计进行评审和评分，并使用附表</w:t>
      </w:r>
      <w:r>
        <w:rPr>
          <w:sz w:val="24"/>
          <w:szCs w:val="24"/>
        </w:rPr>
        <w:t>A-5</w:t>
      </w:r>
      <w:r>
        <w:rPr>
          <w:rFonts w:hint="eastAsia"/>
          <w:sz w:val="24"/>
          <w:szCs w:val="24"/>
        </w:rPr>
        <w:t>记录对施工组织设计的评分结果，施工组织设计的得分记录为</w:t>
      </w:r>
      <w:r>
        <w:rPr>
          <w:sz w:val="24"/>
          <w:szCs w:val="24"/>
        </w:rPr>
        <w:t>A</w:t>
      </w:r>
      <w:r>
        <w:rPr>
          <w:rFonts w:hint="eastAsia"/>
          <w:sz w:val="24"/>
          <w:szCs w:val="24"/>
        </w:rPr>
        <w:t>。</w:t>
      </w:r>
    </w:p>
    <w:p>
      <w:pPr>
        <w:pStyle w:val="5"/>
        <w:spacing w:line="360" w:lineRule="auto"/>
        <w:ind w:left="0"/>
        <w:rPr>
          <w:rFonts w:ascii="宋体" w:cs="宋体"/>
          <w:b/>
          <w:bCs/>
          <w:sz w:val="24"/>
          <w:szCs w:val="24"/>
        </w:rPr>
      </w:pPr>
      <w:r>
        <w:rPr>
          <w:rFonts w:ascii="宋体" w:hAnsi="宋体" w:cs="宋体"/>
          <w:b/>
          <w:bCs/>
          <w:sz w:val="24"/>
          <w:szCs w:val="24"/>
        </w:rPr>
        <w:t>A4</w:t>
      </w:r>
      <w:r>
        <w:rPr>
          <w:rFonts w:hint="eastAsia" w:ascii="宋体" w:hAnsi="宋体" w:cs="宋体"/>
          <w:b/>
          <w:bCs/>
          <w:sz w:val="24"/>
          <w:szCs w:val="24"/>
        </w:rPr>
        <w:t>．</w:t>
      </w:r>
      <w:r>
        <w:rPr>
          <w:rFonts w:ascii="宋体" w:hAnsi="宋体" w:cs="宋体"/>
          <w:b/>
          <w:bCs/>
          <w:sz w:val="24"/>
          <w:szCs w:val="24"/>
        </w:rPr>
        <w:t>3</w:t>
      </w:r>
      <w:r>
        <w:rPr>
          <w:rFonts w:hint="eastAsia" w:ascii="宋体" w:hAnsi="宋体" w:cs="宋体"/>
          <w:b/>
          <w:bCs/>
          <w:sz w:val="24"/>
          <w:szCs w:val="24"/>
        </w:rPr>
        <w:t>项目管理机构评审和评分</w:t>
      </w:r>
    </w:p>
    <w:p>
      <w:pPr>
        <w:autoSpaceDE/>
        <w:autoSpaceDN/>
        <w:spacing w:line="360" w:lineRule="auto"/>
        <w:rPr>
          <w:sz w:val="24"/>
          <w:szCs w:val="24"/>
        </w:rPr>
      </w:pPr>
      <w:r>
        <w:rPr>
          <w:sz w:val="24"/>
          <w:szCs w:val="24"/>
        </w:rPr>
        <w:t xml:space="preserve">    A4.3.1</w:t>
      </w:r>
      <w:r>
        <w:rPr>
          <w:rFonts w:hint="eastAsia"/>
          <w:sz w:val="24"/>
          <w:szCs w:val="24"/>
        </w:rPr>
        <w:t>按照评标办法前附表中规定的分值设定、各项评分因素、评分标准，对项目管理机构进行评审和评分，并使用附表</w:t>
      </w:r>
      <w:r>
        <w:rPr>
          <w:sz w:val="24"/>
          <w:szCs w:val="24"/>
        </w:rPr>
        <w:t>A-6</w:t>
      </w:r>
      <w:r>
        <w:rPr>
          <w:rFonts w:hint="eastAsia"/>
          <w:sz w:val="24"/>
          <w:szCs w:val="24"/>
        </w:rPr>
        <w:t>记录对项目管理机构的评分结果，项目管理机构的得分记录为</w:t>
      </w:r>
      <w:r>
        <w:rPr>
          <w:sz w:val="24"/>
          <w:szCs w:val="24"/>
        </w:rPr>
        <w:t>B</w:t>
      </w:r>
      <w:r>
        <w:rPr>
          <w:rFonts w:hint="eastAsia"/>
          <w:sz w:val="24"/>
          <w:szCs w:val="24"/>
        </w:rPr>
        <w:t>。</w:t>
      </w:r>
    </w:p>
    <w:p>
      <w:pPr>
        <w:pStyle w:val="5"/>
        <w:spacing w:line="360" w:lineRule="auto"/>
        <w:ind w:left="0"/>
        <w:rPr>
          <w:rFonts w:ascii="宋体" w:cs="宋体"/>
          <w:b/>
          <w:bCs/>
          <w:sz w:val="24"/>
          <w:szCs w:val="24"/>
        </w:rPr>
      </w:pPr>
      <w:r>
        <w:rPr>
          <w:rFonts w:ascii="宋体" w:hAnsi="宋体" w:cs="宋体"/>
          <w:b/>
          <w:bCs/>
          <w:sz w:val="24"/>
          <w:szCs w:val="24"/>
        </w:rPr>
        <w:t>A4.4</w:t>
      </w:r>
      <w:r>
        <w:rPr>
          <w:rFonts w:hint="eastAsia" w:ascii="宋体" w:hAnsi="宋体" w:cs="宋体"/>
          <w:b/>
          <w:bCs/>
          <w:sz w:val="24"/>
          <w:szCs w:val="24"/>
        </w:rPr>
        <w:t>投标报价评审和评分</w:t>
      </w:r>
      <w:r>
        <w:rPr>
          <w:rFonts w:ascii="宋体" w:hAnsi="宋体" w:cs="宋体"/>
          <w:b/>
          <w:bCs/>
          <w:sz w:val="24"/>
          <w:szCs w:val="24"/>
        </w:rPr>
        <w:t>(</w:t>
      </w:r>
      <w:r>
        <w:rPr>
          <w:rFonts w:hint="eastAsia" w:ascii="宋体" w:hAnsi="宋体" w:cs="宋体"/>
          <w:b/>
          <w:bCs/>
          <w:sz w:val="24"/>
          <w:szCs w:val="24"/>
        </w:rPr>
        <w:t>仅按投标报价进行评分</w:t>
      </w:r>
      <w:r>
        <w:rPr>
          <w:rFonts w:ascii="宋体" w:hAnsi="宋体" w:cs="宋体"/>
          <w:b/>
          <w:bCs/>
          <w:sz w:val="24"/>
          <w:szCs w:val="24"/>
        </w:rPr>
        <w:t>)</w:t>
      </w:r>
    </w:p>
    <w:p>
      <w:pPr>
        <w:autoSpaceDE/>
        <w:autoSpaceDN/>
        <w:spacing w:line="360" w:lineRule="auto"/>
        <w:rPr>
          <w:sz w:val="24"/>
          <w:szCs w:val="24"/>
        </w:rPr>
      </w:pPr>
      <w:r>
        <w:rPr>
          <w:sz w:val="24"/>
          <w:szCs w:val="24"/>
        </w:rPr>
        <w:t xml:space="preserve">    A4.4.1</w:t>
      </w:r>
      <w:r>
        <w:rPr>
          <w:rFonts w:hint="eastAsia"/>
          <w:sz w:val="24"/>
          <w:szCs w:val="24"/>
        </w:rPr>
        <w:t>按照评标办法前附表中规定的方法计算“评标基准价”。</w:t>
      </w:r>
    </w:p>
    <w:p>
      <w:pPr>
        <w:autoSpaceDE/>
        <w:autoSpaceDN/>
        <w:spacing w:line="360" w:lineRule="auto"/>
        <w:rPr>
          <w:sz w:val="24"/>
          <w:szCs w:val="24"/>
        </w:rPr>
      </w:pPr>
      <w:r>
        <w:rPr>
          <w:sz w:val="24"/>
          <w:szCs w:val="24"/>
        </w:rPr>
        <w:t xml:space="preserve">    A4.4.2</w:t>
      </w:r>
      <w:r>
        <w:rPr>
          <w:rFonts w:hint="eastAsia"/>
          <w:sz w:val="24"/>
          <w:szCs w:val="24"/>
        </w:rPr>
        <w:t>按照评标办法前附表中规定的方法，计算各个已通过了初步评审、施工组织设计评审和项目管理机构评审并且经过评审认定为不低于其成本的投标报价的“偏差率”。</w:t>
      </w:r>
    </w:p>
    <w:p>
      <w:pPr>
        <w:autoSpaceDE/>
        <w:autoSpaceDN/>
        <w:spacing w:line="360" w:lineRule="auto"/>
        <w:ind w:firstLine="480"/>
        <w:rPr>
          <w:sz w:val="24"/>
          <w:szCs w:val="24"/>
        </w:rPr>
      </w:pPr>
      <w:r>
        <w:rPr>
          <w:sz w:val="24"/>
          <w:szCs w:val="24"/>
        </w:rPr>
        <w:t>A4.4.3</w:t>
      </w:r>
      <w:r>
        <w:rPr>
          <w:rFonts w:hint="eastAsia"/>
          <w:sz w:val="24"/>
          <w:szCs w:val="24"/>
        </w:rPr>
        <w:t>按照评标办法前附表中规定的评分标准，对照投标报价的偏差率，分别对各个投标报价进行评分，使用附表</w:t>
      </w:r>
      <w:r>
        <w:rPr>
          <w:sz w:val="24"/>
          <w:szCs w:val="24"/>
        </w:rPr>
        <w:t>A-7</w:t>
      </w:r>
      <w:r>
        <w:rPr>
          <w:rFonts w:hint="eastAsia"/>
          <w:sz w:val="24"/>
          <w:szCs w:val="24"/>
        </w:rPr>
        <w:t>记录对投标报价的评分结果，投标报价的得分记录为</w:t>
      </w:r>
      <w:r>
        <w:rPr>
          <w:sz w:val="24"/>
          <w:szCs w:val="24"/>
        </w:rPr>
        <w:t>C</w:t>
      </w:r>
      <w:r>
        <w:rPr>
          <w:rFonts w:hint="eastAsia"/>
          <w:sz w:val="24"/>
          <w:szCs w:val="24"/>
        </w:rPr>
        <w:t>。</w:t>
      </w:r>
    </w:p>
    <w:p>
      <w:pPr>
        <w:autoSpaceDE/>
        <w:autoSpaceDN/>
        <w:spacing w:line="360" w:lineRule="auto"/>
        <w:rPr>
          <w:b/>
          <w:bCs/>
          <w:sz w:val="24"/>
          <w:szCs w:val="24"/>
        </w:rPr>
      </w:pPr>
      <w:r>
        <w:rPr>
          <w:b/>
          <w:bCs/>
          <w:sz w:val="24"/>
          <w:szCs w:val="24"/>
        </w:rPr>
        <w:t>A4.</w:t>
      </w:r>
      <w:r>
        <w:rPr>
          <w:b/>
          <w:bCs/>
          <w:sz w:val="24"/>
          <w:szCs w:val="24"/>
          <w:lang w:val="en-US"/>
        </w:rPr>
        <w:t>5</w:t>
      </w:r>
      <w:r>
        <w:rPr>
          <w:b/>
          <w:bCs/>
          <w:sz w:val="24"/>
          <w:szCs w:val="24"/>
        </w:rPr>
        <w:t xml:space="preserve"> </w:t>
      </w:r>
      <w:r>
        <w:rPr>
          <w:rFonts w:hint="eastAsia"/>
          <w:b/>
          <w:bCs/>
          <w:sz w:val="24"/>
          <w:szCs w:val="24"/>
        </w:rPr>
        <w:t>投标报价评审和评分</w:t>
      </w:r>
      <w:r>
        <w:rPr>
          <w:b/>
          <w:bCs/>
          <w:sz w:val="24"/>
          <w:szCs w:val="24"/>
        </w:rPr>
        <w:t>(</w:t>
      </w:r>
      <w:r>
        <w:rPr>
          <w:rFonts w:hint="eastAsia"/>
          <w:b/>
          <w:bCs/>
          <w:sz w:val="24"/>
          <w:szCs w:val="24"/>
        </w:rPr>
        <w:t>按投标总报价中的分项报价分别进行评分</w:t>
      </w:r>
      <w:r>
        <w:rPr>
          <w:b/>
          <w:bCs/>
          <w:sz w:val="24"/>
          <w:szCs w:val="24"/>
        </w:rPr>
        <w:t xml:space="preserve">) </w:t>
      </w:r>
    </w:p>
    <w:p>
      <w:pPr>
        <w:autoSpaceDE/>
        <w:autoSpaceDN/>
        <w:spacing w:line="360" w:lineRule="auto"/>
        <w:ind w:firstLine="480" w:firstLineChars="200"/>
        <w:rPr>
          <w:sz w:val="24"/>
          <w:szCs w:val="24"/>
        </w:rPr>
      </w:pPr>
      <w:r>
        <w:rPr>
          <w:sz w:val="24"/>
          <w:szCs w:val="24"/>
        </w:rPr>
        <w:t>A4.</w:t>
      </w:r>
      <w:r>
        <w:rPr>
          <w:sz w:val="24"/>
          <w:szCs w:val="24"/>
          <w:lang w:val="en-US"/>
        </w:rPr>
        <w:t>5</w:t>
      </w:r>
      <w:r>
        <w:rPr>
          <w:sz w:val="24"/>
          <w:szCs w:val="24"/>
        </w:rPr>
        <w:t xml:space="preserve">.1 </w:t>
      </w:r>
      <w:r>
        <w:rPr>
          <w:rFonts w:hint="eastAsia"/>
          <w:sz w:val="24"/>
          <w:szCs w:val="24"/>
        </w:rPr>
        <w:t>投标报价按以下项目的分项投标报价分别进行评审和评分</w:t>
      </w:r>
      <w:r>
        <w:rPr>
          <w:sz w:val="24"/>
          <w:szCs w:val="24"/>
        </w:rPr>
        <w:t>:</w:t>
      </w:r>
    </w:p>
    <w:p>
      <w:pPr>
        <w:autoSpaceDE/>
        <w:autoSpaceDN/>
        <w:spacing w:line="360" w:lineRule="auto"/>
        <w:ind w:firstLine="307" w:firstLineChars="128"/>
        <w:rPr>
          <w:sz w:val="24"/>
          <w:szCs w:val="24"/>
        </w:rPr>
      </w:pPr>
      <w:r>
        <w:rPr>
          <w:sz w:val="24"/>
          <w:szCs w:val="24"/>
        </w:rPr>
        <w:t>(1)</w:t>
      </w:r>
      <w:r>
        <w:rPr>
          <w:rFonts w:hint="eastAsia"/>
          <w:sz w:val="24"/>
          <w:szCs w:val="24"/>
        </w:rPr>
        <w:t>投标总报价减去以下分别进行评分的各个分项投标报价以后的部分；</w:t>
      </w:r>
    </w:p>
    <w:p>
      <w:pPr>
        <w:autoSpaceDE/>
        <w:autoSpaceDN/>
        <w:spacing w:line="360" w:lineRule="auto"/>
        <w:ind w:firstLine="307" w:firstLineChars="128"/>
        <w:rPr>
          <w:sz w:val="24"/>
          <w:szCs w:val="24"/>
        </w:rPr>
      </w:pPr>
      <w:r>
        <w:rPr>
          <w:sz w:val="24"/>
          <w:szCs w:val="24"/>
        </w:rPr>
        <w:t>(2)</w:t>
      </w:r>
      <w:r>
        <w:rPr>
          <w:sz w:val="24"/>
          <w:szCs w:val="24"/>
          <w:u w:val="single"/>
          <w:lang w:val="en-US"/>
        </w:rPr>
        <w:t xml:space="preserve">                         </w:t>
      </w:r>
      <w:r>
        <w:rPr>
          <w:rFonts w:hint="eastAsia"/>
          <w:sz w:val="24"/>
          <w:szCs w:val="24"/>
        </w:rPr>
        <w:t>；</w:t>
      </w:r>
    </w:p>
    <w:p>
      <w:pPr>
        <w:autoSpaceDE/>
        <w:autoSpaceDN/>
        <w:spacing w:line="360" w:lineRule="auto"/>
        <w:ind w:firstLine="307" w:firstLineChars="128"/>
        <w:rPr>
          <w:sz w:val="24"/>
          <w:szCs w:val="24"/>
        </w:rPr>
      </w:pPr>
      <w:r>
        <w:rPr>
          <w:sz w:val="24"/>
          <w:szCs w:val="24"/>
        </w:rPr>
        <w:t>(3)</w:t>
      </w:r>
      <w:r>
        <w:rPr>
          <w:sz w:val="24"/>
          <w:szCs w:val="24"/>
          <w:u w:val="single"/>
          <w:lang w:val="en-US"/>
        </w:rPr>
        <w:t xml:space="preserve">                         </w:t>
      </w:r>
      <w:r>
        <w:rPr>
          <w:rFonts w:hint="eastAsia"/>
          <w:sz w:val="24"/>
          <w:szCs w:val="24"/>
        </w:rPr>
        <w:t>；</w:t>
      </w:r>
    </w:p>
    <w:p>
      <w:pPr>
        <w:autoSpaceDE/>
        <w:autoSpaceDN/>
        <w:spacing w:line="360" w:lineRule="auto"/>
        <w:ind w:firstLine="307" w:firstLineChars="128"/>
        <w:rPr>
          <w:sz w:val="24"/>
          <w:szCs w:val="24"/>
          <w:lang w:val="en-US"/>
        </w:rPr>
      </w:pPr>
      <w:r>
        <w:rPr>
          <w:sz w:val="24"/>
          <w:szCs w:val="24"/>
        </w:rPr>
        <w:t>(4)</w:t>
      </w:r>
      <w:r>
        <w:rPr>
          <w:sz w:val="24"/>
          <w:szCs w:val="24"/>
          <w:u w:val="single"/>
          <w:lang w:val="en-US"/>
        </w:rPr>
        <w:t xml:space="preserve">                         </w:t>
      </w:r>
      <w:r>
        <w:rPr>
          <w:rFonts w:hint="eastAsia"/>
          <w:sz w:val="24"/>
          <w:szCs w:val="24"/>
          <w:lang w:val="en-US"/>
        </w:rPr>
        <w:t>；</w:t>
      </w:r>
    </w:p>
    <w:p>
      <w:pPr>
        <w:autoSpaceDE/>
        <w:autoSpaceDN/>
        <w:spacing w:line="360" w:lineRule="auto"/>
        <w:ind w:firstLine="307" w:firstLineChars="128"/>
        <w:rPr>
          <w:sz w:val="24"/>
          <w:szCs w:val="24"/>
          <w:lang w:val="en-US"/>
        </w:rPr>
      </w:pPr>
      <w:r>
        <w:rPr>
          <w:sz w:val="24"/>
          <w:szCs w:val="24"/>
        </w:rPr>
        <w:t>(5)</w:t>
      </w:r>
      <w:r>
        <w:rPr>
          <w:sz w:val="24"/>
          <w:szCs w:val="24"/>
          <w:u w:val="single"/>
          <w:lang w:val="en-US"/>
        </w:rPr>
        <w:t xml:space="preserve">                         </w:t>
      </w:r>
      <w:r>
        <w:rPr>
          <w:rFonts w:hint="eastAsia"/>
          <w:sz w:val="24"/>
          <w:szCs w:val="24"/>
          <w:lang w:val="en-US"/>
        </w:rPr>
        <w:t>；</w:t>
      </w:r>
    </w:p>
    <w:p>
      <w:pPr>
        <w:autoSpaceDE/>
        <w:autoSpaceDN/>
        <w:spacing w:line="360" w:lineRule="auto"/>
        <w:ind w:firstLine="480"/>
        <w:rPr>
          <w:sz w:val="24"/>
          <w:szCs w:val="24"/>
        </w:rPr>
      </w:pPr>
      <w:r>
        <w:rPr>
          <w:sz w:val="24"/>
          <w:szCs w:val="24"/>
        </w:rPr>
        <w:t>A4.</w:t>
      </w:r>
      <w:r>
        <w:rPr>
          <w:sz w:val="24"/>
          <w:szCs w:val="24"/>
          <w:lang w:val="en-US"/>
        </w:rPr>
        <w:t>5</w:t>
      </w:r>
      <w:r>
        <w:rPr>
          <w:sz w:val="24"/>
          <w:szCs w:val="24"/>
        </w:rPr>
        <w:t xml:space="preserve">.2 </w:t>
      </w:r>
      <w:r>
        <w:rPr>
          <w:rFonts w:hint="eastAsia"/>
          <w:sz w:val="24"/>
          <w:szCs w:val="24"/>
        </w:rPr>
        <w:t>按照评标办法前附表中规定的方法，分别计算各个分项投标报价“评标基准价”。</w:t>
      </w:r>
    </w:p>
    <w:p>
      <w:pPr>
        <w:autoSpaceDE/>
        <w:autoSpaceDN/>
        <w:spacing w:line="360" w:lineRule="auto"/>
        <w:ind w:firstLine="480"/>
        <w:rPr>
          <w:sz w:val="24"/>
          <w:szCs w:val="24"/>
        </w:rPr>
      </w:pPr>
      <w:r>
        <w:rPr>
          <w:sz w:val="24"/>
          <w:szCs w:val="24"/>
        </w:rPr>
        <w:t>A4.</w:t>
      </w:r>
      <w:r>
        <w:rPr>
          <w:sz w:val="24"/>
          <w:szCs w:val="24"/>
          <w:lang w:val="en-US"/>
        </w:rPr>
        <w:t>5</w:t>
      </w:r>
      <w:r>
        <w:rPr>
          <w:sz w:val="24"/>
          <w:szCs w:val="24"/>
        </w:rPr>
        <w:t xml:space="preserve">.3 </w:t>
      </w:r>
      <w:r>
        <w:rPr>
          <w:rFonts w:hint="eastAsia"/>
          <w:sz w:val="24"/>
          <w:szCs w:val="24"/>
        </w:rPr>
        <w:t>按照评标办法前附表中规定的方法，分别计算各个分项投标报价与对应的分项投</w:t>
      </w:r>
      <w:r>
        <w:rPr>
          <w:sz w:val="24"/>
          <w:szCs w:val="24"/>
        </w:rPr>
        <w:t xml:space="preserve"> </w:t>
      </w:r>
      <w:r>
        <w:rPr>
          <w:rFonts w:hint="eastAsia"/>
          <w:sz w:val="24"/>
          <w:szCs w:val="24"/>
        </w:rPr>
        <w:t>标报价评标基准价之间的偏差率。</w:t>
      </w:r>
    </w:p>
    <w:p>
      <w:pPr>
        <w:autoSpaceDE/>
        <w:autoSpaceDN/>
        <w:spacing w:line="360" w:lineRule="auto"/>
        <w:ind w:firstLine="480"/>
        <w:rPr>
          <w:sz w:val="24"/>
          <w:szCs w:val="24"/>
        </w:rPr>
      </w:pPr>
      <w:r>
        <w:rPr>
          <w:sz w:val="24"/>
          <w:szCs w:val="24"/>
        </w:rPr>
        <w:t>A4.</w:t>
      </w:r>
      <w:r>
        <w:rPr>
          <w:sz w:val="24"/>
          <w:szCs w:val="24"/>
          <w:lang w:val="en-US"/>
        </w:rPr>
        <w:t>5</w:t>
      </w:r>
      <w:r>
        <w:rPr>
          <w:sz w:val="24"/>
          <w:szCs w:val="24"/>
        </w:rPr>
        <w:t xml:space="preserve">.4 </w:t>
      </w:r>
      <w:r>
        <w:rPr>
          <w:rFonts w:hint="eastAsia"/>
          <w:sz w:val="24"/>
          <w:szCs w:val="24"/>
        </w:rPr>
        <w:t>按照评标办法前附表中规定的评分标准，对照分项投标报价的偏差率，分别对各</w:t>
      </w:r>
    </w:p>
    <w:p>
      <w:pPr>
        <w:autoSpaceDE/>
        <w:autoSpaceDN/>
        <w:spacing w:line="360" w:lineRule="auto"/>
        <w:ind w:firstLine="480"/>
        <w:rPr>
          <w:sz w:val="24"/>
          <w:szCs w:val="24"/>
        </w:rPr>
      </w:pPr>
      <w:r>
        <w:rPr>
          <w:rFonts w:hint="eastAsia"/>
          <w:sz w:val="24"/>
          <w:szCs w:val="24"/>
        </w:rPr>
        <w:t>个分项投标报价进行评分，汇总各个分项投标报价的得分，使用附表</w:t>
      </w:r>
      <w:r>
        <w:rPr>
          <w:sz w:val="24"/>
          <w:szCs w:val="24"/>
        </w:rPr>
        <w:t xml:space="preserve"> A-7 </w:t>
      </w:r>
      <w:r>
        <w:rPr>
          <w:rFonts w:hint="eastAsia"/>
          <w:sz w:val="24"/>
          <w:szCs w:val="24"/>
        </w:rPr>
        <w:t>记录对各个投标报</w:t>
      </w:r>
    </w:p>
    <w:p>
      <w:pPr>
        <w:autoSpaceDE/>
        <w:autoSpaceDN/>
        <w:spacing w:line="360" w:lineRule="auto"/>
        <w:ind w:firstLine="480"/>
        <w:rPr>
          <w:sz w:val="24"/>
          <w:szCs w:val="24"/>
        </w:rPr>
      </w:pPr>
      <w:r>
        <w:rPr>
          <w:rFonts w:hint="eastAsia"/>
          <w:sz w:val="24"/>
          <w:szCs w:val="24"/>
        </w:rPr>
        <w:t>价的评分结果，投标报价的得分记录为</w:t>
      </w:r>
      <w:r>
        <w:rPr>
          <w:sz w:val="24"/>
          <w:szCs w:val="24"/>
        </w:rPr>
        <w:t xml:space="preserve"> C</w:t>
      </w:r>
      <w:r>
        <w:rPr>
          <w:rFonts w:hint="eastAsia"/>
          <w:sz w:val="24"/>
          <w:szCs w:val="24"/>
        </w:rPr>
        <w:t>。</w:t>
      </w:r>
    </w:p>
    <w:p>
      <w:pPr>
        <w:autoSpaceDE/>
        <w:autoSpaceDN/>
        <w:spacing w:line="360" w:lineRule="auto"/>
        <w:rPr>
          <w:sz w:val="24"/>
          <w:szCs w:val="24"/>
        </w:rPr>
      </w:pPr>
      <w:r>
        <w:rPr>
          <w:b/>
          <w:bCs/>
          <w:sz w:val="24"/>
          <w:szCs w:val="24"/>
        </w:rPr>
        <w:t>A4.</w:t>
      </w:r>
      <w:r>
        <w:rPr>
          <w:b/>
          <w:bCs/>
          <w:sz w:val="24"/>
          <w:szCs w:val="24"/>
          <w:lang w:val="en-US"/>
        </w:rPr>
        <w:t>6</w:t>
      </w:r>
      <w:r>
        <w:rPr>
          <w:b/>
          <w:bCs/>
          <w:sz w:val="24"/>
          <w:szCs w:val="24"/>
        </w:rPr>
        <w:t xml:space="preserve"> </w:t>
      </w:r>
      <w:r>
        <w:rPr>
          <w:rFonts w:hint="eastAsia"/>
          <w:b/>
          <w:bCs/>
          <w:sz w:val="24"/>
          <w:szCs w:val="24"/>
        </w:rPr>
        <w:t>其他评审和评分</w:t>
      </w:r>
      <w:r>
        <w:rPr>
          <w:b/>
          <w:bCs/>
          <w:sz w:val="24"/>
          <w:szCs w:val="24"/>
        </w:rPr>
        <w:t xml:space="preserve"> </w:t>
      </w:r>
      <w:r>
        <w:rPr>
          <w:rFonts w:hint="eastAsia"/>
          <w:b/>
          <w:bCs/>
          <w:sz w:val="24"/>
          <w:szCs w:val="24"/>
        </w:rPr>
        <w:t>根据评标办法前附表中规定的分值设定、各项评分因素和相应的评分标准</w:t>
      </w:r>
    </w:p>
    <w:p>
      <w:pPr>
        <w:pStyle w:val="5"/>
        <w:spacing w:line="360" w:lineRule="auto"/>
        <w:ind w:left="0"/>
        <w:rPr>
          <w:rFonts w:ascii="宋体" w:cs="宋体"/>
          <w:b/>
          <w:bCs/>
          <w:sz w:val="24"/>
          <w:szCs w:val="24"/>
        </w:rPr>
      </w:pPr>
      <w:r>
        <w:rPr>
          <w:rFonts w:ascii="宋体" w:hAnsi="宋体" w:cs="宋体"/>
          <w:b/>
          <w:bCs/>
          <w:sz w:val="24"/>
          <w:szCs w:val="24"/>
        </w:rPr>
        <w:t xml:space="preserve">A4.7  </w:t>
      </w:r>
      <w:r>
        <w:rPr>
          <w:rFonts w:hint="eastAsia" w:ascii="宋体" w:hAnsi="宋体" w:cs="宋体"/>
          <w:b/>
          <w:bCs/>
          <w:sz w:val="24"/>
          <w:szCs w:val="24"/>
        </w:rPr>
        <w:t>其他评审和评分</w:t>
      </w:r>
    </w:p>
    <w:p>
      <w:pPr>
        <w:autoSpaceDE/>
        <w:autoSpaceDN/>
        <w:spacing w:line="360" w:lineRule="auto"/>
        <w:rPr>
          <w:b/>
          <w:sz w:val="24"/>
          <w:szCs w:val="24"/>
        </w:rPr>
      </w:pPr>
      <w:r>
        <w:rPr>
          <w:sz w:val="24"/>
          <w:szCs w:val="24"/>
        </w:rPr>
        <w:t xml:space="preserve">    </w:t>
      </w:r>
      <w:r>
        <w:rPr>
          <w:rFonts w:hint="eastAsia"/>
          <w:sz w:val="24"/>
          <w:szCs w:val="24"/>
        </w:rPr>
        <w:t>根据评标办法前附表中规定的分值设定、各项评分因素和相应的评分标准，对其他因素进行评审和评分，并使用附表</w:t>
      </w:r>
      <w:r>
        <w:rPr>
          <w:sz w:val="24"/>
          <w:szCs w:val="24"/>
        </w:rPr>
        <w:t>A-8</w:t>
      </w:r>
      <w:r>
        <w:rPr>
          <w:rFonts w:hint="eastAsia"/>
          <w:sz w:val="24"/>
          <w:szCs w:val="24"/>
        </w:rPr>
        <w:t>记录对其他因素的评分结果，其他因素的得分记录为</w:t>
      </w:r>
      <w:r>
        <w:rPr>
          <w:sz w:val="24"/>
          <w:szCs w:val="24"/>
        </w:rPr>
        <w:t>D</w:t>
      </w:r>
      <w:r>
        <w:rPr>
          <w:rFonts w:hint="eastAsia"/>
          <w:sz w:val="24"/>
          <w:szCs w:val="24"/>
        </w:rPr>
        <w:t>。</w:t>
      </w:r>
    </w:p>
    <w:p>
      <w:pPr>
        <w:pStyle w:val="5"/>
        <w:spacing w:line="360" w:lineRule="auto"/>
        <w:ind w:left="0"/>
        <w:rPr>
          <w:rFonts w:ascii="宋体" w:cs="宋体"/>
          <w:b/>
          <w:bCs/>
          <w:sz w:val="24"/>
          <w:szCs w:val="24"/>
        </w:rPr>
      </w:pPr>
      <w:r>
        <w:rPr>
          <w:rFonts w:ascii="宋体" w:hAnsi="宋体" w:cs="宋体"/>
          <w:b/>
          <w:bCs/>
          <w:sz w:val="24"/>
          <w:szCs w:val="24"/>
        </w:rPr>
        <w:t xml:space="preserve">A4.8  </w:t>
      </w:r>
      <w:r>
        <w:rPr>
          <w:rFonts w:hint="eastAsia" w:ascii="宋体" w:hAnsi="宋体" w:cs="宋体"/>
          <w:b/>
          <w:bCs/>
          <w:sz w:val="24"/>
          <w:szCs w:val="24"/>
        </w:rPr>
        <w:t>判断投标报价是否低于成本</w:t>
      </w:r>
    </w:p>
    <w:p>
      <w:pPr>
        <w:autoSpaceDE/>
        <w:autoSpaceDN/>
        <w:spacing w:line="360" w:lineRule="auto"/>
        <w:ind w:firstLine="480"/>
        <w:rPr>
          <w:sz w:val="24"/>
          <w:szCs w:val="24"/>
        </w:rPr>
      </w:pPr>
      <w:r>
        <w:rPr>
          <w:rFonts w:hint="eastAsia"/>
          <w:sz w:val="24"/>
          <w:szCs w:val="24"/>
        </w:rPr>
        <w:t>根据本章第</w:t>
      </w:r>
      <w:r>
        <w:rPr>
          <w:sz w:val="24"/>
          <w:szCs w:val="24"/>
        </w:rPr>
        <w:t>3.2.4</w:t>
      </w:r>
      <w:r>
        <w:rPr>
          <w:rFonts w:hint="eastAsia"/>
          <w:sz w:val="24"/>
          <w:szCs w:val="24"/>
        </w:rPr>
        <w:t>项的规定，评标委员会根据本章附件</w:t>
      </w:r>
      <w:r>
        <w:rPr>
          <w:sz w:val="24"/>
          <w:szCs w:val="24"/>
        </w:rPr>
        <w:t>B</w:t>
      </w:r>
      <w:r>
        <w:rPr>
          <w:rFonts w:hint="eastAsia"/>
          <w:sz w:val="24"/>
          <w:szCs w:val="24"/>
        </w:rPr>
        <w:t>中规定的程序、标准和方法，判断投标报价是否低于其成本。由评标委员会认定投标人以低于成本竞标的，其投标作否决投标处理。</w:t>
      </w:r>
    </w:p>
    <w:p>
      <w:pPr>
        <w:autoSpaceDE/>
        <w:autoSpaceDN/>
        <w:spacing w:line="360" w:lineRule="auto"/>
        <w:rPr>
          <w:sz w:val="24"/>
          <w:szCs w:val="24"/>
          <w:lang w:val="en-US"/>
        </w:rPr>
      </w:pPr>
      <w:r>
        <w:rPr>
          <w:b/>
          <w:bCs/>
          <w:sz w:val="24"/>
          <w:szCs w:val="24"/>
        </w:rPr>
        <w:t>A4.</w:t>
      </w:r>
      <w:r>
        <w:rPr>
          <w:b/>
          <w:bCs/>
          <w:sz w:val="24"/>
          <w:szCs w:val="24"/>
          <w:lang w:val="en-US"/>
        </w:rPr>
        <w:t>9</w:t>
      </w:r>
      <w:r>
        <w:rPr>
          <w:sz w:val="24"/>
          <w:szCs w:val="24"/>
          <w:lang w:val="en-US"/>
        </w:rPr>
        <w:t xml:space="preserve"> </w:t>
      </w:r>
      <w:r>
        <w:rPr>
          <w:rFonts w:hint="eastAsia"/>
          <w:sz w:val="24"/>
          <w:szCs w:val="24"/>
          <w:lang w:val="en-US"/>
        </w:rPr>
        <w:t>投标报价合理性的评审和评分根据评标办法前附表中规定的分值设定、各项评分因素和相应的评分标准，对投标报价合理性进行评审和评分，并使用附表</w:t>
      </w:r>
      <w:r>
        <w:rPr>
          <w:sz w:val="24"/>
          <w:szCs w:val="24"/>
          <w:lang w:val="en-US"/>
        </w:rPr>
        <w:t>A-9</w:t>
      </w:r>
      <w:r>
        <w:rPr>
          <w:rFonts w:hint="eastAsia"/>
          <w:sz w:val="24"/>
          <w:szCs w:val="24"/>
          <w:lang w:val="en-US"/>
        </w:rPr>
        <w:t>记录对投标报价合理性的评分结果，其他因素的得分记录为</w:t>
      </w:r>
      <w:r>
        <w:rPr>
          <w:sz w:val="24"/>
          <w:szCs w:val="24"/>
          <w:lang w:val="en-US"/>
        </w:rPr>
        <w:t>E</w:t>
      </w:r>
      <w:r>
        <w:rPr>
          <w:rFonts w:hint="eastAsia"/>
          <w:sz w:val="24"/>
          <w:szCs w:val="24"/>
          <w:lang w:val="en-US"/>
        </w:rPr>
        <w:t>。</w:t>
      </w:r>
    </w:p>
    <w:p>
      <w:pPr>
        <w:pStyle w:val="5"/>
        <w:spacing w:line="360" w:lineRule="auto"/>
        <w:ind w:left="0"/>
        <w:rPr>
          <w:rFonts w:ascii="宋体" w:cs="宋体"/>
          <w:b/>
          <w:bCs/>
          <w:sz w:val="24"/>
          <w:szCs w:val="24"/>
        </w:rPr>
      </w:pPr>
      <w:r>
        <w:rPr>
          <w:rFonts w:ascii="宋体" w:hAnsi="宋体" w:cs="宋体"/>
          <w:b/>
          <w:bCs/>
          <w:sz w:val="24"/>
          <w:szCs w:val="24"/>
        </w:rPr>
        <w:t xml:space="preserve">A5. </w:t>
      </w:r>
      <w:r>
        <w:rPr>
          <w:rFonts w:hint="eastAsia" w:ascii="宋体" w:hAnsi="宋体" w:cs="宋体"/>
          <w:b/>
          <w:bCs/>
          <w:sz w:val="24"/>
          <w:szCs w:val="24"/>
        </w:rPr>
        <w:t>澄清、说明或补正</w:t>
      </w:r>
    </w:p>
    <w:p>
      <w:pPr>
        <w:autoSpaceDE/>
        <w:autoSpaceDN/>
        <w:spacing w:line="360" w:lineRule="auto"/>
        <w:rPr>
          <w:sz w:val="24"/>
          <w:szCs w:val="24"/>
        </w:rPr>
      </w:pPr>
      <w:r>
        <w:rPr>
          <w:sz w:val="24"/>
          <w:szCs w:val="24"/>
        </w:rPr>
        <w:t xml:space="preserve">    </w:t>
      </w:r>
      <w:r>
        <w:rPr>
          <w:rFonts w:hint="eastAsia"/>
          <w:sz w:val="24"/>
          <w:szCs w:val="24"/>
        </w:rPr>
        <w:t>在详细评审过程中，评标委员会应当就投标文件中不明确的内容要求投标人进行澄清、说明或者补正。投标人对此以书面形式予以澄清、说明或者补正。澄清、说明或补正根据本章第</w:t>
      </w:r>
      <w:r>
        <w:rPr>
          <w:sz w:val="24"/>
          <w:szCs w:val="24"/>
        </w:rPr>
        <w:t>3.3</w:t>
      </w:r>
      <w:r>
        <w:rPr>
          <w:rFonts w:hint="eastAsia"/>
          <w:sz w:val="24"/>
          <w:szCs w:val="24"/>
        </w:rPr>
        <w:t>款的规定执行。</w:t>
      </w:r>
    </w:p>
    <w:p>
      <w:pPr>
        <w:pStyle w:val="5"/>
        <w:spacing w:line="360" w:lineRule="auto"/>
        <w:ind w:left="0"/>
        <w:rPr>
          <w:rFonts w:ascii="宋体" w:cs="宋体"/>
          <w:b/>
          <w:bCs/>
          <w:sz w:val="24"/>
          <w:szCs w:val="24"/>
        </w:rPr>
      </w:pPr>
      <w:r>
        <w:rPr>
          <w:rFonts w:ascii="宋体" w:hAnsi="宋体" w:cs="宋体"/>
          <w:b/>
          <w:bCs/>
          <w:sz w:val="24"/>
          <w:szCs w:val="24"/>
        </w:rPr>
        <w:t xml:space="preserve">A5.1 </w:t>
      </w:r>
      <w:r>
        <w:rPr>
          <w:rFonts w:hint="eastAsia" w:ascii="宋体" w:hAnsi="宋体" w:cs="宋体"/>
          <w:b/>
          <w:bCs/>
          <w:sz w:val="24"/>
          <w:szCs w:val="24"/>
        </w:rPr>
        <w:t>汇总评分结果</w:t>
      </w:r>
    </w:p>
    <w:p>
      <w:pPr>
        <w:autoSpaceDE/>
        <w:autoSpaceDN/>
        <w:spacing w:line="360" w:lineRule="auto"/>
        <w:rPr>
          <w:sz w:val="24"/>
          <w:szCs w:val="24"/>
        </w:rPr>
      </w:pPr>
      <w:r>
        <w:rPr>
          <w:sz w:val="24"/>
          <w:szCs w:val="24"/>
        </w:rPr>
        <w:t xml:space="preserve">    A</w:t>
      </w:r>
      <w:r>
        <w:rPr>
          <w:sz w:val="24"/>
          <w:szCs w:val="24"/>
          <w:lang w:val="en-US"/>
        </w:rPr>
        <w:t>5.1.1</w:t>
      </w:r>
      <w:r>
        <w:rPr>
          <w:rFonts w:hint="eastAsia"/>
          <w:sz w:val="24"/>
          <w:szCs w:val="24"/>
        </w:rPr>
        <w:t>评标委员会成员应按照附表</w:t>
      </w:r>
      <w:r>
        <w:rPr>
          <w:sz w:val="24"/>
          <w:szCs w:val="24"/>
        </w:rPr>
        <w:t>A-9</w:t>
      </w:r>
      <w:r>
        <w:rPr>
          <w:rFonts w:hint="eastAsia"/>
          <w:sz w:val="24"/>
          <w:szCs w:val="24"/>
        </w:rPr>
        <w:t>的格式填写详细评审评分汇总表。</w:t>
      </w:r>
    </w:p>
    <w:p>
      <w:pPr>
        <w:autoSpaceDE/>
        <w:autoSpaceDN/>
        <w:spacing w:line="360" w:lineRule="auto"/>
        <w:rPr>
          <w:sz w:val="24"/>
          <w:szCs w:val="24"/>
        </w:rPr>
      </w:pPr>
      <w:r>
        <w:rPr>
          <w:sz w:val="24"/>
          <w:szCs w:val="24"/>
        </w:rPr>
        <w:t xml:space="preserve">    A</w:t>
      </w:r>
      <w:r>
        <w:rPr>
          <w:sz w:val="24"/>
          <w:szCs w:val="24"/>
          <w:lang w:val="en-US"/>
        </w:rPr>
        <w:t>5.1.2</w:t>
      </w:r>
      <w:r>
        <w:rPr>
          <w:rFonts w:hint="eastAsia"/>
          <w:sz w:val="24"/>
          <w:szCs w:val="24"/>
        </w:rPr>
        <w:t>详细评审工作全部结束后，按照附表</w:t>
      </w:r>
      <w:r>
        <w:rPr>
          <w:sz w:val="24"/>
          <w:szCs w:val="24"/>
        </w:rPr>
        <w:t>A-10</w:t>
      </w:r>
      <w:r>
        <w:rPr>
          <w:rFonts w:hint="eastAsia"/>
          <w:sz w:val="24"/>
          <w:szCs w:val="24"/>
        </w:rPr>
        <w:t>的格式汇总各个评标委员会成员的详细评审评分结果，并按照详细评审最终得分由高至低的次序对投标人进行排序。</w:t>
      </w:r>
    </w:p>
    <w:p>
      <w:pPr>
        <w:pStyle w:val="4"/>
        <w:autoSpaceDE/>
        <w:autoSpaceDN/>
        <w:spacing w:line="360" w:lineRule="auto"/>
        <w:ind w:left="0"/>
        <w:rPr>
          <w:rFonts w:ascii="宋体" w:hAnsi="宋体" w:eastAsia="宋体" w:cs="宋体"/>
          <w:sz w:val="24"/>
          <w:szCs w:val="24"/>
        </w:rPr>
      </w:pPr>
      <w:bookmarkStart w:id="42" w:name="_Toc256000069"/>
      <w:r>
        <w:rPr>
          <w:rFonts w:ascii="宋体" w:hAnsi="宋体" w:eastAsia="宋体" w:cs="宋体"/>
          <w:sz w:val="24"/>
          <w:szCs w:val="24"/>
        </w:rPr>
        <w:t>A</w:t>
      </w:r>
      <w:r>
        <w:rPr>
          <w:rFonts w:ascii="宋体" w:hAnsi="宋体" w:eastAsia="宋体" w:cs="宋体"/>
          <w:sz w:val="24"/>
          <w:szCs w:val="24"/>
          <w:lang w:val="en-US"/>
        </w:rPr>
        <w:t>6</w:t>
      </w:r>
      <w:r>
        <w:rPr>
          <w:rFonts w:ascii="宋体" w:hAnsi="宋体" w:eastAsia="宋体" w:cs="宋体"/>
          <w:sz w:val="24"/>
          <w:szCs w:val="24"/>
        </w:rPr>
        <w:t>.</w:t>
      </w:r>
      <w:r>
        <w:rPr>
          <w:rFonts w:hint="eastAsia" w:ascii="宋体" w:hAnsi="宋体" w:eastAsia="宋体" w:cs="宋体"/>
          <w:sz w:val="24"/>
          <w:szCs w:val="24"/>
        </w:rPr>
        <w:t>推荐中标候选人或者直接确定中标人</w:t>
      </w:r>
      <w:bookmarkEnd w:id="42"/>
    </w:p>
    <w:p>
      <w:pPr>
        <w:pStyle w:val="5"/>
        <w:spacing w:line="360" w:lineRule="auto"/>
        <w:ind w:left="0"/>
        <w:rPr>
          <w:rFonts w:ascii="宋体" w:cs="宋体"/>
          <w:b/>
          <w:bCs/>
          <w:sz w:val="24"/>
          <w:szCs w:val="24"/>
        </w:rPr>
      </w:pPr>
      <w:r>
        <w:rPr>
          <w:rFonts w:ascii="宋体" w:hAnsi="宋体" w:cs="宋体"/>
          <w:b/>
          <w:bCs/>
          <w:sz w:val="24"/>
          <w:szCs w:val="24"/>
        </w:rPr>
        <w:t xml:space="preserve">A6.1  </w:t>
      </w:r>
      <w:r>
        <w:rPr>
          <w:rFonts w:hint="eastAsia" w:ascii="宋体" w:hAnsi="宋体" w:cs="宋体"/>
          <w:b/>
          <w:bCs/>
          <w:sz w:val="24"/>
          <w:szCs w:val="24"/>
        </w:rPr>
        <w:t>推荐中标候选人</w:t>
      </w:r>
    </w:p>
    <w:p>
      <w:pPr>
        <w:autoSpaceDE/>
        <w:autoSpaceDN/>
        <w:spacing w:line="360" w:lineRule="auto"/>
        <w:rPr>
          <w:sz w:val="24"/>
          <w:szCs w:val="24"/>
        </w:rPr>
      </w:pPr>
      <w:r>
        <w:rPr>
          <w:sz w:val="24"/>
          <w:szCs w:val="24"/>
        </w:rPr>
        <w:t xml:space="preserve">    A</w:t>
      </w:r>
      <w:r>
        <w:rPr>
          <w:sz w:val="24"/>
          <w:szCs w:val="24"/>
          <w:lang w:val="en-US"/>
        </w:rPr>
        <w:t>6</w:t>
      </w:r>
      <w:r>
        <w:rPr>
          <w:sz w:val="24"/>
          <w:szCs w:val="24"/>
        </w:rPr>
        <w:t>.1.1</w:t>
      </w:r>
      <w:r>
        <w:rPr>
          <w:rFonts w:hint="eastAsia"/>
          <w:sz w:val="24"/>
          <w:szCs w:val="24"/>
        </w:rPr>
        <w:t>除第二章“投标人须知”前附表第</w:t>
      </w:r>
      <w:r>
        <w:rPr>
          <w:sz w:val="24"/>
          <w:szCs w:val="24"/>
        </w:rPr>
        <w:t>7</w:t>
      </w:r>
      <w:r>
        <w:rPr>
          <w:rFonts w:hint="eastAsia"/>
          <w:sz w:val="24"/>
          <w:szCs w:val="24"/>
        </w:rPr>
        <w:t>．</w:t>
      </w:r>
      <w:r>
        <w:rPr>
          <w:sz w:val="24"/>
          <w:szCs w:val="24"/>
        </w:rPr>
        <w:t>1</w:t>
      </w:r>
      <w:r>
        <w:rPr>
          <w:rFonts w:hint="eastAsia"/>
          <w:sz w:val="24"/>
          <w:szCs w:val="24"/>
        </w:rPr>
        <w:t>款授权直接确定中标人外，评标委员会在推荐中标候选人时，应遵照以下原则</w:t>
      </w:r>
      <w:r>
        <w:rPr>
          <w:sz w:val="24"/>
          <w:szCs w:val="24"/>
        </w:rPr>
        <w:t>:</w:t>
      </w:r>
    </w:p>
    <w:p>
      <w:pPr>
        <w:autoSpaceDE/>
        <w:autoSpaceDN/>
        <w:spacing w:line="360" w:lineRule="auto"/>
        <w:ind w:firstLine="480" w:firstLineChars="200"/>
        <w:rPr>
          <w:sz w:val="24"/>
          <w:szCs w:val="24"/>
        </w:rPr>
      </w:pPr>
      <w:r>
        <w:rPr>
          <w:sz w:val="24"/>
          <w:szCs w:val="24"/>
        </w:rPr>
        <w:t xml:space="preserve">(1)  </w:t>
      </w:r>
      <w:r>
        <w:rPr>
          <w:rFonts w:hint="eastAsia"/>
          <w:sz w:val="24"/>
          <w:szCs w:val="24"/>
        </w:rPr>
        <w:t>评标委员会按照最终得分由高至低的次序排列，并根据第二章“投标人须知”前附表第</w:t>
      </w:r>
      <w:r>
        <w:rPr>
          <w:sz w:val="24"/>
          <w:szCs w:val="24"/>
        </w:rPr>
        <w:t>7.1</w:t>
      </w:r>
      <w:r>
        <w:rPr>
          <w:rFonts w:hint="eastAsia"/>
          <w:sz w:val="24"/>
          <w:szCs w:val="24"/>
        </w:rPr>
        <w:t>款规定的中标候选人数量，将排序在前的投标人推荐为中标候选人。</w:t>
      </w:r>
    </w:p>
    <w:p>
      <w:pPr>
        <w:autoSpaceDE/>
        <w:autoSpaceDN/>
        <w:spacing w:line="360" w:lineRule="auto"/>
        <w:ind w:firstLine="480" w:firstLineChars="200"/>
        <w:rPr>
          <w:sz w:val="24"/>
          <w:szCs w:val="24"/>
        </w:rPr>
      </w:pPr>
      <w:r>
        <w:rPr>
          <w:sz w:val="24"/>
          <w:szCs w:val="24"/>
        </w:rPr>
        <w:t xml:space="preserve">(2)  </w:t>
      </w:r>
      <w:r>
        <w:rPr>
          <w:rFonts w:hint="eastAsia"/>
          <w:sz w:val="24"/>
          <w:szCs w:val="24"/>
        </w:rPr>
        <w:t>如果评标委员会根据本章的规定作否决投标处理后，有效投标不足三个，且少于第二章“投标人须知”前附表第</w:t>
      </w:r>
      <w:r>
        <w:rPr>
          <w:sz w:val="24"/>
          <w:szCs w:val="24"/>
        </w:rPr>
        <w:t>7.1</w:t>
      </w:r>
      <w:r>
        <w:rPr>
          <w:rFonts w:hint="eastAsia"/>
          <w:sz w:val="24"/>
          <w:szCs w:val="24"/>
        </w:rPr>
        <w:t>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pPr>
        <w:autoSpaceDE/>
        <w:autoSpaceDN/>
        <w:spacing w:line="360" w:lineRule="auto"/>
        <w:rPr>
          <w:sz w:val="24"/>
          <w:szCs w:val="24"/>
        </w:rPr>
      </w:pPr>
      <w:r>
        <w:rPr>
          <w:sz w:val="24"/>
          <w:szCs w:val="24"/>
        </w:rPr>
        <w:t xml:space="preserve">    A</w:t>
      </w:r>
      <w:r>
        <w:rPr>
          <w:sz w:val="24"/>
          <w:szCs w:val="24"/>
          <w:lang w:val="en-US"/>
        </w:rPr>
        <w:t>6</w:t>
      </w:r>
      <w:r>
        <w:rPr>
          <w:sz w:val="24"/>
          <w:szCs w:val="24"/>
        </w:rPr>
        <w:t>.2.2</w:t>
      </w:r>
      <w:r>
        <w:rPr>
          <w:rFonts w:hint="eastAsia"/>
          <w:sz w:val="24"/>
          <w:szCs w:val="24"/>
        </w:rPr>
        <w:t>投标人数量少于三个或者所有投标被否决的，招标人应当依法重新招标。</w:t>
      </w:r>
    </w:p>
    <w:p>
      <w:pPr>
        <w:pStyle w:val="5"/>
        <w:spacing w:line="360" w:lineRule="auto"/>
        <w:ind w:left="0"/>
        <w:rPr>
          <w:rFonts w:ascii="宋体" w:cs="宋体"/>
          <w:b/>
          <w:bCs/>
          <w:sz w:val="24"/>
          <w:szCs w:val="24"/>
        </w:rPr>
      </w:pPr>
      <w:r>
        <w:rPr>
          <w:rFonts w:ascii="宋体" w:hAnsi="宋体" w:cs="宋体"/>
          <w:b/>
          <w:bCs/>
          <w:sz w:val="24"/>
          <w:szCs w:val="24"/>
        </w:rPr>
        <w:t>A6.2</w:t>
      </w:r>
      <w:r>
        <w:rPr>
          <w:rFonts w:hint="eastAsia" w:ascii="宋体" w:hAnsi="宋体" w:cs="宋体"/>
          <w:b/>
          <w:bCs/>
          <w:sz w:val="24"/>
          <w:szCs w:val="24"/>
        </w:rPr>
        <w:t>直接确定中标人</w:t>
      </w:r>
    </w:p>
    <w:p>
      <w:pPr>
        <w:autoSpaceDE/>
        <w:autoSpaceDN/>
        <w:spacing w:line="360" w:lineRule="auto"/>
        <w:rPr>
          <w:sz w:val="24"/>
          <w:szCs w:val="24"/>
        </w:rPr>
      </w:pPr>
      <w:r>
        <w:rPr>
          <w:sz w:val="24"/>
          <w:szCs w:val="24"/>
        </w:rPr>
        <w:t xml:space="preserve">    </w:t>
      </w:r>
      <w:r>
        <w:rPr>
          <w:rFonts w:hint="eastAsia"/>
          <w:sz w:val="24"/>
          <w:szCs w:val="24"/>
        </w:rPr>
        <w:t>第二章“投标人须知”前附表授权评标委员会直接确定中标人的，评标委员会按照最终得分由高至低的次序排列，并确定排名第一的投标人为中标人。</w:t>
      </w:r>
    </w:p>
    <w:p>
      <w:pPr>
        <w:pStyle w:val="5"/>
        <w:spacing w:line="360" w:lineRule="auto"/>
        <w:ind w:left="0"/>
        <w:rPr>
          <w:rFonts w:ascii="宋体" w:cs="宋体"/>
          <w:b/>
          <w:bCs/>
          <w:sz w:val="24"/>
          <w:szCs w:val="24"/>
        </w:rPr>
      </w:pPr>
      <w:r>
        <w:rPr>
          <w:rFonts w:ascii="宋体" w:hAnsi="宋体" w:cs="宋体"/>
          <w:b/>
          <w:bCs/>
          <w:sz w:val="24"/>
          <w:szCs w:val="24"/>
        </w:rPr>
        <w:t>A6.3</w:t>
      </w:r>
      <w:r>
        <w:rPr>
          <w:rFonts w:hint="eastAsia" w:ascii="宋体" w:hAnsi="宋体" w:cs="宋体"/>
          <w:b/>
          <w:bCs/>
          <w:sz w:val="24"/>
          <w:szCs w:val="24"/>
        </w:rPr>
        <w:t>编制评标报告</w:t>
      </w:r>
    </w:p>
    <w:p>
      <w:pPr>
        <w:autoSpaceDE/>
        <w:autoSpaceDN/>
        <w:spacing w:line="360" w:lineRule="auto"/>
        <w:rPr>
          <w:sz w:val="24"/>
          <w:szCs w:val="24"/>
        </w:rPr>
      </w:pPr>
      <w:r>
        <w:rPr>
          <w:sz w:val="24"/>
          <w:szCs w:val="24"/>
        </w:rPr>
        <w:t xml:space="preserve">    </w:t>
      </w:r>
      <w:r>
        <w:rPr>
          <w:rFonts w:hint="eastAsia"/>
          <w:sz w:val="24"/>
          <w:szCs w:val="24"/>
        </w:rPr>
        <w:t>评标委员会根据本章第</w:t>
      </w:r>
      <w:r>
        <w:rPr>
          <w:sz w:val="24"/>
          <w:szCs w:val="24"/>
        </w:rPr>
        <w:t>3.4.2</w:t>
      </w:r>
      <w:r>
        <w:rPr>
          <w:rFonts w:hint="eastAsia"/>
          <w:sz w:val="24"/>
          <w:szCs w:val="24"/>
        </w:rPr>
        <w:t>项的规定向招标人提交评标报告。评标报告应当由全体评标委员会成员签字，并于评标结束时抄送有关行政监督部门。评标报告应当包括以下内容：</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1</w:t>
      </w:r>
      <w:r>
        <w:rPr>
          <w:rFonts w:hint="eastAsia"/>
          <w:sz w:val="24"/>
          <w:szCs w:val="24"/>
        </w:rPr>
        <w:t>）基本情况和数据表；</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2</w:t>
      </w:r>
      <w:r>
        <w:rPr>
          <w:rFonts w:hint="eastAsia"/>
          <w:sz w:val="24"/>
          <w:szCs w:val="24"/>
        </w:rPr>
        <w:t>）评标委员会成员名单；</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3</w:t>
      </w:r>
      <w:r>
        <w:rPr>
          <w:rFonts w:hint="eastAsia"/>
          <w:sz w:val="24"/>
          <w:szCs w:val="24"/>
        </w:rPr>
        <w:t>）开标记录；</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4</w:t>
      </w:r>
      <w:r>
        <w:rPr>
          <w:rFonts w:hint="eastAsia"/>
          <w:sz w:val="24"/>
          <w:szCs w:val="24"/>
        </w:rPr>
        <w:t>）符合要求的投标一览表；</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5</w:t>
      </w:r>
      <w:r>
        <w:rPr>
          <w:rFonts w:hint="eastAsia"/>
          <w:sz w:val="24"/>
          <w:szCs w:val="24"/>
        </w:rPr>
        <w:t>）否决投标情况说明；</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6</w:t>
      </w:r>
      <w:r>
        <w:rPr>
          <w:rFonts w:hint="eastAsia"/>
          <w:sz w:val="24"/>
          <w:szCs w:val="24"/>
        </w:rPr>
        <w:t>）评标标准、评标方法或者评标因素一览表；</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7</w:t>
      </w:r>
      <w:r>
        <w:rPr>
          <w:rFonts w:hint="eastAsia"/>
          <w:sz w:val="24"/>
          <w:szCs w:val="24"/>
        </w:rPr>
        <w:t>）经评审的价格一览表</w:t>
      </w:r>
      <w:r>
        <w:rPr>
          <w:sz w:val="24"/>
          <w:szCs w:val="24"/>
        </w:rPr>
        <w:t>(</w:t>
      </w:r>
      <w:r>
        <w:rPr>
          <w:rFonts w:hint="eastAsia"/>
          <w:sz w:val="24"/>
          <w:szCs w:val="24"/>
        </w:rPr>
        <w:t>包括评标委员会在评标过程中所形成的所有记载评标结果、结论的表格、说明、记录等文件</w:t>
      </w:r>
      <w:r>
        <w:rPr>
          <w:sz w:val="24"/>
          <w:szCs w:val="24"/>
        </w:rPr>
        <w:t>)</w:t>
      </w:r>
      <w:r>
        <w:rPr>
          <w:rFonts w:hint="eastAsia"/>
          <w:sz w:val="24"/>
          <w:szCs w:val="24"/>
        </w:rPr>
        <w:t>；</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8</w:t>
      </w:r>
      <w:r>
        <w:rPr>
          <w:rFonts w:hint="eastAsia"/>
          <w:sz w:val="24"/>
          <w:szCs w:val="24"/>
        </w:rPr>
        <w:t>）经评审的投标人排序；</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9</w:t>
      </w:r>
      <w:r>
        <w:rPr>
          <w:rFonts w:hint="eastAsia"/>
          <w:sz w:val="24"/>
          <w:szCs w:val="24"/>
        </w:rPr>
        <w:t>）推荐的中标候选人名单</w:t>
      </w:r>
      <w:r>
        <w:rPr>
          <w:sz w:val="24"/>
          <w:szCs w:val="24"/>
        </w:rPr>
        <w:t>(</w:t>
      </w:r>
      <w:r>
        <w:rPr>
          <w:rFonts w:hint="eastAsia"/>
          <w:sz w:val="24"/>
          <w:szCs w:val="24"/>
        </w:rPr>
        <w:t>如果第二章“投标人须知”前附表授权评标委员会直接确定中标人，则为“确定的中标人”</w:t>
      </w:r>
      <w:r>
        <w:rPr>
          <w:sz w:val="24"/>
          <w:szCs w:val="24"/>
        </w:rPr>
        <w:t>)</w:t>
      </w:r>
      <w:r>
        <w:rPr>
          <w:rFonts w:hint="eastAsia"/>
          <w:sz w:val="24"/>
          <w:szCs w:val="24"/>
        </w:rPr>
        <w:t>与签订合同前要处理的事宜；</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10</w:t>
      </w:r>
      <w:r>
        <w:rPr>
          <w:rFonts w:hint="eastAsia"/>
          <w:sz w:val="24"/>
          <w:szCs w:val="24"/>
        </w:rPr>
        <w:t>）澄清、说明、补正事项纪要。</w:t>
      </w:r>
    </w:p>
    <w:p>
      <w:pPr>
        <w:pStyle w:val="4"/>
        <w:autoSpaceDE/>
        <w:autoSpaceDN/>
        <w:spacing w:line="360" w:lineRule="auto"/>
        <w:ind w:left="0"/>
        <w:rPr>
          <w:rFonts w:ascii="宋体" w:hAnsi="宋体" w:eastAsia="宋体" w:cs="宋体"/>
          <w:sz w:val="24"/>
          <w:szCs w:val="24"/>
        </w:rPr>
      </w:pPr>
      <w:bookmarkStart w:id="43" w:name="_Toc256000070"/>
      <w:r>
        <w:rPr>
          <w:rFonts w:ascii="宋体" w:hAnsi="宋体" w:eastAsia="宋体" w:cs="宋体"/>
          <w:sz w:val="24"/>
          <w:szCs w:val="24"/>
        </w:rPr>
        <w:t>A</w:t>
      </w:r>
      <w:r>
        <w:rPr>
          <w:rFonts w:ascii="宋体" w:hAnsi="宋体" w:eastAsia="宋体" w:cs="宋体"/>
          <w:sz w:val="24"/>
          <w:szCs w:val="24"/>
          <w:lang w:val="en-US"/>
        </w:rPr>
        <w:t>7</w:t>
      </w:r>
      <w:r>
        <w:rPr>
          <w:rFonts w:hint="eastAsia" w:ascii="宋体" w:hAnsi="宋体" w:eastAsia="宋体" w:cs="宋体"/>
          <w:sz w:val="24"/>
          <w:szCs w:val="24"/>
        </w:rPr>
        <w:t>．特殊情况的处置程序</w:t>
      </w:r>
      <w:bookmarkEnd w:id="43"/>
    </w:p>
    <w:p>
      <w:pPr>
        <w:widowControl/>
        <w:autoSpaceDE/>
        <w:autoSpaceDN/>
        <w:spacing w:line="360" w:lineRule="auto"/>
        <w:rPr>
          <w:b/>
          <w:bCs/>
          <w:kern w:val="2"/>
          <w:sz w:val="24"/>
          <w:szCs w:val="24"/>
          <w:lang w:val="en-US"/>
        </w:rPr>
      </w:pPr>
      <w:r>
        <w:rPr>
          <w:b/>
          <w:bCs/>
          <w:kern w:val="2"/>
          <w:sz w:val="24"/>
          <w:szCs w:val="24"/>
          <w:lang w:val="en-US"/>
        </w:rPr>
        <w:t xml:space="preserve">A7.1 </w:t>
      </w:r>
      <w:r>
        <w:rPr>
          <w:rFonts w:hint="eastAsia"/>
          <w:b/>
          <w:bCs/>
          <w:kern w:val="2"/>
          <w:sz w:val="24"/>
          <w:szCs w:val="24"/>
          <w:lang w:val="en-US"/>
        </w:rPr>
        <w:t>暗标评审的评审程序规定</w:t>
      </w:r>
      <w:r>
        <w:rPr>
          <w:b/>
          <w:bCs/>
          <w:kern w:val="2"/>
          <w:sz w:val="24"/>
          <w:szCs w:val="24"/>
          <w:lang w:val="en-US"/>
        </w:rPr>
        <w:t>(</w:t>
      </w:r>
      <w:r>
        <w:rPr>
          <w:rFonts w:hint="eastAsia"/>
          <w:b/>
          <w:bCs/>
          <w:kern w:val="2"/>
          <w:sz w:val="24"/>
          <w:szCs w:val="24"/>
          <w:lang w:val="en-US"/>
        </w:rPr>
        <w:t>适用于对施工组织设计进行暗标评审的</w:t>
      </w:r>
      <w:r>
        <w:rPr>
          <w:b/>
          <w:bCs/>
          <w:kern w:val="2"/>
          <w:sz w:val="24"/>
          <w:szCs w:val="24"/>
          <w:lang w:val="en-US"/>
        </w:rPr>
        <w:t xml:space="preserve">) </w:t>
      </w:r>
    </w:p>
    <w:p>
      <w:pPr>
        <w:autoSpaceDE/>
        <w:autoSpaceDN/>
        <w:spacing w:line="360" w:lineRule="auto"/>
        <w:ind w:firstLine="480" w:firstLineChars="200"/>
        <w:rPr>
          <w:sz w:val="24"/>
          <w:szCs w:val="24"/>
        </w:rPr>
      </w:pPr>
      <w:r>
        <w:rPr>
          <w:rFonts w:hint="eastAsia"/>
          <w:sz w:val="24"/>
          <w:szCs w:val="24"/>
          <w:lang w:val="en-US"/>
        </w:rPr>
        <w:t>如果第二章“投标人须知”前附表第</w:t>
      </w:r>
      <w:r>
        <w:rPr>
          <w:sz w:val="24"/>
          <w:szCs w:val="24"/>
          <w:lang w:val="en-US"/>
        </w:rPr>
        <w:t xml:space="preserve"> 10.3 </w:t>
      </w:r>
      <w:r>
        <w:rPr>
          <w:rFonts w:hint="eastAsia"/>
          <w:sz w:val="24"/>
          <w:szCs w:val="24"/>
          <w:lang w:val="en-US"/>
        </w:rPr>
        <w:t>款要求对施工组织设计采用“暗标”评审方式且第八章“投标文件格式”中对施工组织设计的编制有暗标要求，评标委员会需对施工组织设计进行暗标评审的，则评标委员会需将施工组织设计</w:t>
      </w:r>
      <w:r>
        <w:rPr>
          <w:sz w:val="24"/>
          <w:szCs w:val="24"/>
          <w:lang w:val="en-US"/>
        </w:rPr>
        <w:t>(</w:t>
      </w:r>
      <w:r>
        <w:rPr>
          <w:rFonts w:hint="eastAsia"/>
          <w:sz w:val="24"/>
          <w:szCs w:val="24"/>
          <w:lang w:val="en-US"/>
        </w:rPr>
        <w:t>暗标</w:t>
      </w:r>
      <w:r>
        <w:rPr>
          <w:sz w:val="24"/>
          <w:szCs w:val="24"/>
          <w:lang w:val="en-US"/>
        </w:rPr>
        <w:t>)</w:t>
      </w:r>
      <w:r>
        <w:rPr>
          <w:rFonts w:hint="eastAsia"/>
          <w:sz w:val="24"/>
          <w:szCs w:val="24"/>
          <w:lang w:val="en-US"/>
        </w:rPr>
        <w:t>评审放到投标报价合理性打分之前进行。待项目管理机构评审、其他评审明标步骤评审完成后再进行施工组织设计暗标评审。最后再公开暗标编码与投标人名称之间的对应关系。</w:t>
      </w:r>
      <w:r>
        <w:rPr>
          <w:sz w:val="24"/>
          <w:szCs w:val="24"/>
          <w:lang w:val="en-US"/>
        </w:rPr>
        <w:t xml:space="preserve"> </w:t>
      </w:r>
    </w:p>
    <w:p>
      <w:pPr>
        <w:pStyle w:val="5"/>
        <w:spacing w:line="360" w:lineRule="auto"/>
        <w:ind w:left="0"/>
        <w:rPr>
          <w:rFonts w:ascii="宋体" w:cs="宋体"/>
          <w:b/>
          <w:bCs/>
          <w:sz w:val="24"/>
          <w:szCs w:val="24"/>
        </w:rPr>
      </w:pPr>
      <w:r>
        <w:rPr>
          <w:rFonts w:ascii="宋体" w:hAnsi="宋体" w:cs="宋体"/>
          <w:b/>
          <w:bCs/>
          <w:sz w:val="24"/>
          <w:szCs w:val="24"/>
        </w:rPr>
        <w:t>A7.2</w:t>
      </w:r>
      <w:r>
        <w:rPr>
          <w:rFonts w:hint="eastAsia" w:ascii="宋体" w:hAnsi="宋体" w:cs="宋体"/>
          <w:b/>
          <w:bCs/>
          <w:sz w:val="24"/>
          <w:szCs w:val="24"/>
        </w:rPr>
        <w:t>关于评标活动暂停</w:t>
      </w:r>
    </w:p>
    <w:p>
      <w:pPr>
        <w:autoSpaceDE/>
        <w:autoSpaceDN/>
        <w:spacing w:line="360" w:lineRule="auto"/>
        <w:rPr>
          <w:sz w:val="24"/>
          <w:szCs w:val="24"/>
        </w:rPr>
      </w:pPr>
      <w:r>
        <w:rPr>
          <w:sz w:val="24"/>
          <w:szCs w:val="24"/>
        </w:rPr>
        <w:t xml:space="preserve">    A</w:t>
      </w:r>
      <w:r>
        <w:rPr>
          <w:sz w:val="24"/>
          <w:szCs w:val="24"/>
          <w:lang w:val="en-US"/>
        </w:rPr>
        <w:t>7</w:t>
      </w:r>
      <w:r>
        <w:rPr>
          <w:sz w:val="24"/>
          <w:szCs w:val="24"/>
        </w:rPr>
        <w:t>.2.1</w:t>
      </w:r>
      <w:r>
        <w:rPr>
          <w:rFonts w:hint="eastAsia"/>
          <w:sz w:val="24"/>
          <w:szCs w:val="24"/>
        </w:rPr>
        <w:t>评标委员会应当执行连续评标的原则，按评标办法中规定的程序、内容、方法、标准完成全部评标工作。只有发生不可抗力导致评标工作无法继续时，评标活动方可暂停。</w:t>
      </w:r>
    </w:p>
    <w:p>
      <w:pPr>
        <w:autoSpaceDE/>
        <w:autoSpaceDN/>
        <w:spacing w:line="360" w:lineRule="auto"/>
        <w:rPr>
          <w:sz w:val="24"/>
          <w:szCs w:val="24"/>
        </w:rPr>
      </w:pPr>
      <w:r>
        <w:rPr>
          <w:sz w:val="24"/>
          <w:szCs w:val="24"/>
        </w:rPr>
        <w:t xml:space="preserve">    A</w:t>
      </w:r>
      <w:r>
        <w:rPr>
          <w:sz w:val="24"/>
          <w:szCs w:val="24"/>
          <w:lang w:val="en-US"/>
        </w:rPr>
        <w:t>7</w:t>
      </w:r>
      <w:r>
        <w:rPr>
          <w:sz w:val="24"/>
          <w:szCs w:val="24"/>
        </w:rPr>
        <w:t>.2.2</w:t>
      </w:r>
      <w:r>
        <w:rPr>
          <w:rFonts w:hint="eastAsia"/>
          <w:sz w:val="24"/>
          <w:szCs w:val="24"/>
        </w:rPr>
        <w:t>发生评标暂停情况时，评标委员会应当封存全部投标文件和评标记录，待不可抗力的影响结束且具备继续评标的条件时，由原评标委员会继续评标。</w:t>
      </w:r>
    </w:p>
    <w:p>
      <w:pPr>
        <w:pStyle w:val="5"/>
        <w:spacing w:line="360" w:lineRule="auto"/>
        <w:ind w:left="0"/>
        <w:rPr>
          <w:rFonts w:ascii="宋体" w:cs="宋体"/>
          <w:b/>
          <w:bCs/>
          <w:sz w:val="24"/>
          <w:szCs w:val="24"/>
        </w:rPr>
      </w:pPr>
      <w:r>
        <w:rPr>
          <w:rFonts w:ascii="宋体" w:hAnsi="宋体" w:cs="宋体"/>
          <w:b/>
          <w:bCs/>
          <w:sz w:val="24"/>
          <w:szCs w:val="24"/>
        </w:rPr>
        <w:t xml:space="preserve">A7.3  </w:t>
      </w:r>
      <w:r>
        <w:rPr>
          <w:rFonts w:hint="eastAsia" w:ascii="宋体" w:hAnsi="宋体" w:cs="宋体"/>
          <w:b/>
          <w:bCs/>
          <w:sz w:val="24"/>
          <w:szCs w:val="24"/>
        </w:rPr>
        <w:t>关于评标中途更换评委</w:t>
      </w:r>
    </w:p>
    <w:p>
      <w:pPr>
        <w:autoSpaceDE/>
        <w:autoSpaceDN/>
        <w:spacing w:line="360" w:lineRule="auto"/>
        <w:rPr>
          <w:sz w:val="24"/>
          <w:szCs w:val="24"/>
        </w:rPr>
      </w:pPr>
      <w:r>
        <w:rPr>
          <w:sz w:val="24"/>
          <w:szCs w:val="24"/>
        </w:rPr>
        <w:t xml:space="preserve">    A</w:t>
      </w:r>
      <w:r>
        <w:rPr>
          <w:sz w:val="24"/>
          <w:szCs w:val="24"/>
          <w:lang w:val="en-US"/>
        </w:rPr>
        <w:t>7</w:t>
      </w:r>
      <w:r>
        <w:rPr>
          <w:sz w:val="24"/>
          <w:szCs w:val="24"/>
        </w:rPr>
        <w:t>.3.1</w:t>
      </w:r>
      <w:r>
        <w:rPr>
          <w:rFonts w:hint="eastAsia"/>
          <w:sz w:val="24"/>
          <w:szCs w:val="24"/>
        </w:rPr>
        <w:t>除非发生下列情况之一，评标委员会成员不得在评标中途更换：</w:t>
      </w:r>
    </w:p>
    <w:p>
      <w:pPr>
        <w:autoSpaceDE/>
        <w:autoSpaceDN/>
        <w:spacing w:line="360" w:lineRule="auto"/>
        <w:rPr>
          <w:sz w:val="24"/>
          <w:szCs w:val="24"/>
        </w:rPr>
      </w:pPr>
      <w:r>
        <w:rPr>
          <w:sz w:val="24"/>
          <w:szCs w:val="24"/>
        </w:rPr>
        <w:t xml:space="preserve">    (1) </w:t>
      </w:r>
      <w:r>
        <w:rPr>
          <w:rFonts w:hint="eastAsia"/>
          <w:sz w:val="24"/>
          <w:szCs w:val="24"/>
        </w:rPr>
        <w:t>因不可抗拒的客观原因，不能到场或需在评标中途退出评标活动。</w:t>
      </w:r>
    </w:p>
    <w:p>
      <w:pPr>
        <w:autoSpaceDE/>
        <w:autoSpaceDN/>
        <w:spacing w:line="360" w:lineRule="auto"/>
        <w:rPr>
          <w:sz w:val="24"/>
          <w:szCs w:val="24"/>
        </w:rPr>
      </w:pPr>
      <w:r>
        <w:rPr>
          <w:sz w:val="24"/>
          <w:szCs w:val="24"/>
        </w:rPr>
        <w:t xml:space="preserve">    (2) </w:t>
      </w:r>
      <w:r>
        <w:rPr>
          <w:rFonts w:hint="eastAsia"/>
          <w:sz w:val="24"/>
          <w:szCs w:val="24"/>
        </w:rPr>
        <w:t>根据法律法规规定，某个或某几个评标委员会成员需要回避。</w:t>
      </w:r>
    </w:p>
    <w:p>
      <w:pPr>
        <w:autoSpaceDE/>
        <w:autoSpaceDN/>
        <w:spacing w:line="360" w:lineRule="auto"/>
        <w:rPr>
          <w:sz w:val="24"/>
          <w:szCs w:val="24"/>
        </w:rPr>
      </w:pPr>
      <w:r>
        <w:rPr>
          <w:sz w:val="24"/>
          <w:szCs w:val="24"/>
        </w:rPr>
        <w:t xml:space="preserve">    A</w:t>
      </w:r>
      <w:r>
        <w:rPr>
          <w:sz w:val="24"/>
          <w:szCs w:val="24"/>
          <w:lang w:val="en-US"/>
        </w:rPr>
        <w:t>7</w:t>
      </w:r>
      <w:r>
        <w:rPr>
          <w:sz w:val="24"/>
          <w:szCs w:val="24"/>
        </w:rPr>
        <w:t>.3.2</w:t>
      </w:r>
      <w:r>
        <w:rPr>
          <w:rFonts w:hint="eastAsia"/>
          <w:sz w:val="24"/>
          <w:szCs w:val="24"/>
        </w:rPr>
        <w:t>退出评标的评标委员会成员，其已完成的评标行为无效。由招标人根据本招标文件规定的评标委员会成员</w:t>
      </w:r>
      <w:r>
        <w:rPr>
          <w:rFonts w:hint="eastAsia"/>
          <w:sz w:val="24"/>
          <w:szCs w:val="24"/>
          <w:lang w:val="en-US"/>
        </w:rPr>
        <w:t>产生</w:t>
      </w:r>
      <w:r>
        <w:rPr>
          <w:rFonts w:hint="eastAsia"/>
          <w:sz w:val="24"/>
          <w:szCs w:val="24"/>
        </w:rPr>
        <w:t>方式另行确定替代者进行评标。</w:t>
      </w:r>
    </w:p>
    <w:p>
      <w:pPr>
        <w:pStyle w:val="5"/>
        <w:spacing w:line="360" w:lineRule="auto"/>
        <w:ind w:left="0"/>
        <w:rPr>
          <w:rFonts w:ascii="宋体" w:cs="宋体"/>
          <w:b/>
          <w:bCs/>
          <w:sz w:val="24"/>
          <w:szCs w:val="24"/>
        </w:rPr>
      </w:pPr>
      <w:r>
        <w:rPr>
          <w:rFonts w:ascii="宋体" w:hAnsi="宋体" w:cs="宋体"/>
          <w:b/>
          <w:bCs/>
          <w:sz w:val="24"/>
          <w:szCs w:val="24"/>
        </w:rPr>
        <w:t>A7.4</w:t>
      </w:r>
      <w:r>
        <w:rPr>
          <w:rFonts w:hint="eastAsia" w:ascii="宋体" w:hAnsi="宋体" w:cs="宋体"/>
          <w:b/>
          <w:bCs/>
          <w:sz w:val="24"/>
          <w:szCs w:val="24"/>
        </w:rPr>
        <w:t>记名投票</w:t>
      </w:r>
    </w:p>
    <w:p>
      <w:pPr>
        <w:autoSpaceDE/>
        <w:autoSpaceDN/>
        <w:spacing w:line="360" w:lineRule="auto"/>
        <w:rPr>
          <w:sz w:val="24"/>
          <w:szCs w:val="24"/>
        </w:rPr>
      </w:pPr>
      <w:r>
        <w:rPr>
          <w:sz w:val="24"/>
          <w:szCs w:val="24"/>
        </w:rPr>
        <w:t xml:space="preserve">    </w:t>
      </w:r>
      <w:r>
        <w:rPr>
          <w:rFonts w:hint="eastAsia"/>
          <w:sz w:val="24"/>
          <w:szCs w:val="24"/>
        </w:rPr>
        <w:t>在任何评标环节中，需评标委员会就某项定性的评审结论做出表决的，由评标委员会全体成员按照少数服从多数的原则，以记名投票方式表决。</w:t>
      </w:r>
    </w:p>
    <w:p>
      <w:pPr>
        <w:pStyle w:val="4"/>
        <w:autoSpaceDE/>
        <w:autoSpaceDN/>
        <w:spacing w:line="360" w:lineRule="auto"/>
        <w:ind w:left="0"/>
        <w:rPr>
          <w:rFonts w:ascii="宋体" w:hAnsi="宋体" w:eastAsia="宋体" w:cs="宋体"/>
          <w:sz w:val="24"/>
          <w:szCs w:val="24"/>
        </w:rPr>
      </w:pPr>
      <w:bookmarkStart w:id="44" w:name="_Toc256000071"/>
      <w:r>
        <w:rPr>
          <w:rFonts w:ascii="宋体" w:hAnsi="宋体" w:eastAsia="宋体" w:cs="宋体"/>
          <w:sz w:val="24"/>
          <w:szCs w:val="24"/>
        </w:rPr>
        <w:t>A</w:t>
      </w:r>
      <w:r>
        <w:rPr>
          <w:rFonts w:ascii="宋体" w:hAnsi="宋体" w:eastAsia="宋体" w:cs="宋体"/>
          <w:sz w:val="24"/>
          <w:szCs w:val="24"/>
          <w:lang w:val="en-US"/>
        </w:rPr>
        <w:t>8</w:t>
      </w:r>
      <w:r>
        <w:rPr>
          <w:rFonts w:ascii="宋体" w:hAnsi="宋体" w:eastAsia="宋体" w:cs="宋体"/>
          <w:sz w:val="24"/>
          <w:szCs w:val="24"/>
        </w:rPr>
        <w:t>.</w:t>
      </w:r>
      <w:r>
        <w:rPr>
          <w:rFonts w:hint="eastAsia" w:ascii="宋体" w:hAnsi="宋体" w:eastAsia="宋体" w:cs="宋体"/>
          <w:sz w:val="24"/>
          <w:szCs w:val="24"/>
        </w:rPr>
        <w:t>补充条款</w:t>
      </w:r>
      <w:bookmarkEnd w:id="44"/>
    </w:p>
    <w:p>
      <w:pPr>
        <w:widowControl/>
        <w:autoSpaceDE/>
        <w:autoSpaceDN/>
        <w:spacing w:line="360" w:lineRule="auto"/>
        <w:rPr>
          <w:rFonts w:hint="eastAsia"/>
          <w:sz w:val="24"/>
          <w:szCs w:val="24"/>
        </w:rPr>
      </w:pPr>
      <w:bookmarkStart w:id="45" w:name="_Toc256000072"/>
    </w:p>
    <w:p>
      <w:pPr>
        <w:widowControl/>
        <w:autoSpaceDE/>
        <w:autoSpaceDN/>
        <w:spacing w:line="360" w:lineRule="auto"/>
        <w:rPr>
          <w:rFonts w:hint="eastAsia"/>
          <w:sz w:val="24"/>
          <w:szCs w:val="24"/>
        </w:rPr>
      </w:pPr>
    </w:p>
    <w:p>
      <w:pPr>
        <w:widowControl/>
        <w:autoSpaceDE/>
        <w:autoSpaceDN/>
        <w:spacing w:line="360" w:lineRule="auto"/>
        <w:rPr>
          <w:rFonts w:hint="eastAsia"/>
          <w:sz w:val="24"/>
          <w:szCs w:val="24"/>
        </w:rPr>
      </w:pPr>
    </w:p>
    <w:p>
      <w:pPr>
        <w:widowControl/>
        <w:autoSpaceDE/>
        <w:autoSpaceDN/>
        <w:spacing w:line="360" w:lineRule="auto"/>
        <w:rPr>
          <w:rFonts w:hint="eastAsia"/>
          <w:sz w:val="24"/>
          <w:szCs w:val="24"/>
        </w:rPr>
      </w:pPr>
    </w:p>
    <w:p>
      <w:pPr>
        <w:widowControl/>
        <w:autoSpaceDE/>
        <w:autoSpaceDN/>
        <w:spacing w:line="360" w:lineRule="auto"/>
        <w:rPr>
          <w:rFonts w:hint="eastAsia"/>
          <w:sz w:val="24"/>
          <w:szCs w:val="24"/>
        </w:rPr>
      </w:pPr>
    </w:p>
    <w:p>
      <w:pPr>
        <w:widowControl/>
        <w:autoSpaceDE/>
        <w:autoSpaceDN/>
        <w:spacing w:line="360" w:lineRule="auto"/>
        <w:rPr>
          <w:rFonts w:hint="eastAsia"/>
          <w:sz w:val="24"/>
          <w:szCs w:val="24"/>
        </w:rPr>
      </w:pPr>
    </w:p>
    <w:p>
      <w:pPr>
        <w:widowControl/>
        <w:autoSpaceDE/>
        <w:autoSpaceDN/>
        <w:spacing w:line="360" w:lineRule="auto"/>
        <w:rPr>
          <w:b/>
          <w:bCs/>
          <w:kern w:val="2"/>
          <w:sz w:val="24"/>
          <w:szCs w:val="24"/>
          <w:lang w:val="en-US"/>
        </w:rPr>
      </w:pPr>
      <w:r>
        <w:rPr>
          <w:rFonts w:hint="eastAsia"/>
          <w:sz w:val="24"/>
          <w:szCs w:val="24"/>
        </w:rPr>
        <w:t>附件</w:t>
      </w:r>
      <w:r>
        <w:rPr>
          <w:sz w:val="24"/>
          <w:szCs w:val="24"/>
        </w:rPr>
        <w:t>B</w:t>
      </w:r>
      <w:r>
        <w:rPr>
          <w:rFonts w:hint="eastAsia"/>
          <w:sz w:val="24"/>
          <w:szCs w:val="24"/>
        </w:rPr>
        <w:t>：</w:t>
      </w:r>
      <w:bookmarkEnd w:id="45"/>
      <w:bookmarkStart w:id="46" w:name="_Toc256000075"/>
      <w:r>
        <w:rPr>
          <w:rFonts w:hint="eastAsia"/>
          <w:b/>
          <w:bCs/>
          <w:kern w:val="2"/>
          <w:sz w:val="24"/>
          <w:szCs w:val="24"/>
          <w:lang w:val="en-US"/>
        </w:rPr>
        <w:t>废标条件</w:t>
      </w:r>
      <w:r>
        <w:rPr>
          <w:b/>
          <w:bCs/>
          <w:kern w:val="2"/>
          <w:sz w:val="24"/>
          <w:szCs w:val="24"/>
          <w:lang w:val="en-US"/>
        </w:rPr>
        <w:t xml:space="preserve"> </w:t>
      </w:r>
    </w:p>
    <w:p>
      <w:pPr>
        <w:widowControl/>
        <w:autoSpaceDE/>
        <w:autoSpaceDN/>
        <w:spacing w:line="360" w:lineRule="auto"/>
        <w:jc w:val="center"/>
        <w:rPr>
          <w:b/>
          <w:bCs/>
          <w:kern w:val="2"/>
          <w:sz w:val="24"/>
          <w:szCs w:val="24"/>
          <w:lang w:val="en-US"/>
        </w:rPr>
      </w:pPr>
      <w:r>
        <w:rPr>
          <w:rFonts w:hint="eastAsia"/>
          <w:b/>
          <w:bCs/>
          <w:kern w:val="2"/>
          <w:sz w:val="24"/>
          <w:szCs w:val="24"/>
          <w:lang w:val="en-US"/>
        </w:rPr>
        <w:t>废标条件</w:t>
      </w:r>
    </w:p>
    <w:p>
      <w:pPr>
        <w:pStyle w:val="4"/>
        <w:autoSpaceDE/>
        <w:autoSpaceDN/>
        <w:spacing w:line="360" w:lineRule="auto"/>
        <w:ind w:left="0"/>
        <w:rPr>
          <w:rFonts w:ascii="宋体" w:hAnsi="宋体" w:eastAsia="宋体" w:cs="宋体"/>
          <w:sz w:val="24"/>
          <w:szCs w:val="24"/>
        </w:rPr>
      </w:pPr>
      <w:r>
        <w:rPr>
          <w:rFonts w:ascii="宋体" w:hAnsi="宋体" w:eastAsia="宋体" w:cs="宋体"/>
          <w:sz w:val="24"/>
          <w:szCs w:val="24"/>
          <w:lang w:val="en-US"/>
        </w:rPr>
        <w:t>B0.</w:t>
      </w:r>
      <w:r>
        <w:rPr>
          <w:rFonts w:hint="eastAsia" w:ascii="宋体" w:hAnsi="宋体" w:eastAsia="宋体" w:cs="宋体"/>
          <w:sz w:val="24"/>
          <w:szCs w:val="24"/>
          <w:lang w:val="en-US"/>
        </w:rPr>
        <w:t>总</w:t>
      </w:r>
      <w:r>
        <w:rPr>
          <w:rFonts w:ascii="宋体" w:hAnsi="宋体" w:eastAsia="宋体" w:cs="宋体"/>
          <w:sz w:val="24"/>
          <w:szCs w:val="24"/>
          <w:lang w:val="en-US"/>
        </w:rPr>
        <w:t xml:space="preserve"> </w:t>
      </w:r>
      <w:r>
        <w:rPr>
          <w:rFonts w:hint="eastAsia" w:ascii="宋体" w:hAnsi="宋体" w:eastAsia="宋体" w:cs="宋体"/>
          <w:sz w:val="24"/>
          <w:szCs w:val="24"/>
          <w:lang w:val="en-US"/>
        </w:rPr>
        <w:t>则</w:t>
      </w:r>
      <w:r>
        <w:rPr>
          <w:rFonts w:ascii="宋体" w:hAnsi="宋体" w:eastAsia="宋体" w:cs="宋体"/>
          <w:sz w:val="24"/>
          <w:szCs w:val="24"/>
          <w:lang w:val="en-US"/>
        </w:rPr>
        <w:t xml:space="preserve"> </w:t>
      </w:r>
    </w:p>
    <w:p>
      <w:pPr>
        <w:autoSpaceDE/>
        <w:autoSpaceDN/>
        <w:spacing w:line="360" w:lineRule="auto"/>
        <w:rPr>
          <w:sz w:val="24"/>
          <w:szCs w:val="24"/>
        </w:rPr>
      </w:pPr>
      <w:r>
        <w:rPr>
          <w:rFonts w:hint="eastAsia"/>
          <w:sz w:val="24"/>
          <w:szCs w:val="24"/>
          <w:lang w:val="en-US"/>
        </w:rPr>
        <w:t>本附件所集中列示的废标条件，是本章“评标办法”的组成部分，是对第二章“投标人须知”和本章正文部分所规定的废标条件的总结和补充，如果出现相互矛盾的情况，以第二章“投标人须知”和本章正文部分的规定为准。</w:t>
      </w:r>
      <w:r>
        <w:rPr>
          <w:sz w:val="24"/>
          <w:szCs w:val="24"/>
          <w:lang w:val="en-US"/>
        </w:rPr>
        <w:t xml:space="preserve"> </w:t>
      </w:r>
    </w:p>
    <w:p>
      <w:pPr>
        <w:pStyle w:val="4"/>
        <w:autoSpaceDE/>
        <w:autoSpaceDN/>
        <w:spacing w:line="360" w:lineRule="auto"/>
        <w:ind w:left="0"/>
        <w:rPr>
          <w:rFonts w:ascii="宋体" w:hAnsi="宋体" w:eastAsia="宋体" w:cs="宋体"/>
          <w:sz w:val="24"/>
          <w:szCs w:val="24"/>
          <w:lang w:val="en-US"/>
        </w:rPr>
      </w:pPr>
      <w:r>
        <w:rPr>
          <w:rFonts w:ascii="宋体" w:hAnsi="宋体" w:eastAsia="宋体" w:cs="宋体"/>
          <w:sz w:val="24"/>
          <w:szCs w:val="24"/>
          <w:lang w:val="en-US"/>
        </w:rPr>
        <w:t>B1</w:t>
      </w:r>
      <w:r>
        <w:rPr>
          <w:rFonts w:hint="eastAsia" w:ascii="宋体" w:hAnsi="宋体" w:eastAsia="宋体" w:cs="宋体"/>
          <w:sz w:val="24"/>
          <w:szCs w:val="24"/>
          <w:lang w:val="en-US"/>
        </w:rPr>
        <w:t>．废标条件</w:t>
      </w:r>
      <w:r>
        <w:rPr>
          <w:rFonts w:ascii="宋体" w:hAnsi="宋体" w:eastAsia="宋体" w:cs="宋体"/>
          <w:sz w:val="24"/>
          <w:szCs w:val="24"/>
          <w:lang w:val="en-US"/>
        </w:rPr>
        <w:t xml:space="preserve"> </w:t>
      </w:r>
    </w:p>
    <w:p>
      <w:pPr>
        <w:autoSpaceDE/>
        <w:autoSpaceDN/>
        <w:spacing w:line="360" w:lineRule="auto"/>
        <w:rPr>
          <w:sz w:val="24"/>
          <w:szCs w:val="24"/>
          <w:lang w:val="en-US"/>
        </w:rPr>
      </w:pPr>
      <w:r>
        <w:rPr>
          <w:rFonts w:hint="eastAsia"/>
          <w:sz w:val="24"/>
          <w:szCs w:val="24"/>
          <w:lang w:val="en-US"/>
        </w:rPr>
        <w:t>投标人或其投标文件有下列情形之一的，其投标作废标处理：</w:t>
      </w:r>
      <w:r>
        <w:rPr>
          <w:sz w:val="24"/>
          <w:szCs w:val="24"/>
          <w:lang w:val="en-US"/>
        </w:rPr>
        <w:t xml:space="preserve"> </w:t>
      </w:r>
    </w:p>
    <w:p>
      <w:pPr>
        <w:widowControl/>
        <w:autoSpaceDE/>
        <w:autoSpaceDN/>
        <w:spacing w:line="360" w:lineRule="auto"/>
        <w:rPr>
          <w:sz w:val="24"/>
          <w:szCs w:val="24"/>
          <w:lang w:val="en-US"/>
        </w:rPr>
      </w:pPr>
      <w:r>
        <w:rPr>
          <w:b/>
          <w:bCs/>
          <w:kern w:val="2"/>
          <w:sz w:val="24"/>
          <w:szCs w:val="24"/>
          <w:lang w:val="en-US"/>
        </w:rPr>
        <w:t xml:space="preserve">B1.1 </w:t>
      </w:r>
      <w:r>
        <w:rPr>
          <w:rFonts w:hint="eastAsia"/>
          <w:sz w:val="24"/>
          <w:szCs w:val="24"/>
          <w:lang w:val="en-US"/>
        </w:rPr>
        <w:t>投标文件中的投标函未加盖投标人的公章；</w:t>
      </w:r>
      <w:r>
        <w:rPr>
          <w:sz w:val="24"/>
          <w:szCs w:val="24"/>
          <w:lang w:val="en-US"/>
        </w:rPr>
        <w:t xml:space="preserve"> </w:t>
      </w:r>
    </w:p>
    <w:p>
      <w:pPr>
        <w:widowControl/>
        <w:autoSpaceDE/>
        <w:autoSpaceDN/>
        <w:spacing w:line="360" w:lineRule="auto"/>
        <w:rPr>
          <w:sz w:val="24"/>
          <w:szCs w:val="24"/>
          <w:lang w:val="en-US"/>
        </w:rPr>
      </w:pPr>
      <w:r>
        <w:rPr>
          <w:b/>
          <w:bCs/>
          <w:kern w:val="2"/>
          <w:sz w:val="24"/>
          <w:szCs w:val="24"/>
          <w:lang w:val="en-US"/>
        </w:rPr>
        <w:t xml:space="preserve">B1.2 </w:t>
      </w:r>
      <w:r>
        <w:rPr>
          <w:rFonts w:hint="eastAsia"/>
          <w:sz w:val="24"/>
          <w:szCs w:val="24"/>
          <w:lang w:val="en-US"/>
        </w:rPr>
        <w:t>投标文件中的投标函未加盖企业法定代表人（或企业法定代表人委托代理人）印章（或签字）的；</w:t>
      </w:r>
      <w:r>
        <w:rPr>
          <w:sz w:val="24"/>
          <w:szCs w:val="24"/>
          <w:lang w:val="en-US"/>
        </w:rPr>
        <w:t xml:space="preserve"> </w:t>
      </w:r>
    </w:p>
    <w:p>
      <w:pPr>
        <w:widowControl/>
        <w:autoSpaceDE/>
        <w:autoSpaceDN/>
        <w:spacing w:line="360" w:lineRule="auto"/>
        <w:rPr>
          <w:sz w:val="24"/>
          <w:szCs w:val="24"/>
          <w:lang w:val="en-US"/>
        </w:rPr>
      </w:pPr>
      <w:r>
        <w:rPr>
          <w:b/>
          <w:bCs/>
          <w:kern w:val="2"/>
          <w:sz w:val="24"/>
          <w:szCs w:val="24"/>
          <w:lang w:val="en-US"/>
        </w:rPr>
        <w:t xml:space="preserve">B1.3 </w:t>
      </w:r>
      <w:r>
        <w:rPr>
          <w:rFonts w:hint="eastAsia"/>
          <w:sz w:val="24"/>
          <w:szCs w:val="24"/>
          <w:lang w:val="en-US"/>
        </w:rPr>
        <w:t>如投标函加盖企业法定代表人委托代理人印章（或签字）的，企业法定代表人委托代理人没有合法、有效的委托书（原件）的；</w:t>
      </w:r>
      <w:r>
        <w:rPr>
          <w:sz w:val="24"/>
          <w:szCs w:val="24"/>
          <w:lang w:val="en-US"/>
        </w:rPr>
        <w:t xml:space="preserve"> </w:t>
      </w:r>
    </w:p>
    <w:p>
      <w:pPr>
        <w:widowControl/>
        <w:autoSpaceDE/>
        <w:autoSpaceDN/>
        <w:spacing w:line="360" w:lineRule="auto"/>
        <w:rPr>
          <w:sz w:val="24"/>
          <w:szCs w:val="24"/>
          <w:lang w:val="en-US"/>
        </w:rPr>
      </w:pPr>
      <w:r>
        <w:rPr>
          <w:b/>
          <w:bCs/>
          <w:kern w:val="2"/>
          <w:sz w:val="24"/>
          <w:szCs w:val="24"/>
          <w:lang w:val="en-US"/>
        </w:rPr>
        <w:t xml:space="preserve">B1.4 </w:t>
      </w:r>
      <w:r>
        <w:rPr>
          <w:rFonts w:hint="eastAsia"/>
          <w:sz w:val="24"/>
          <w:szCs w:val="24"/>
          <w:lang w:val="en-US"/>
        </w:rPr>
        <w:t>投标人资格条件不符合国家有关规定或招标文件要求的；</w:t>
      </w:r>
      <w:r>
        <w:rPr>
          <w:sz w:val="24"/>
          <w:szCs w:val="24"/>
          <w:lang w:val="en-US"/>
        </w:rPr>
        <w:t xml:space="preserve"> </w:t>
      </w:r>
    </w:p>
    <w:p>
      <w:pPr>
        <w:widowControl/>
        <w:autoSpaceDE/>
        <w:autoSpaceDN/>
        <w:spacing w:line="360" w:lineRule="auto"/>
        <w:rPr>
          <w:sz w:val="24"/>
          <w:szCs w:val="24"/>
          <w:lang w:val="en-US"/>
        </w:rPr>
      </w:pPr>
      <w:r>
        <w:rPr>
          <w:b/>
          <w:bCs/>
          <w:color w:val="000000"/>
          <w:sz w:val="24"/>
          <w:szCs w:val="24"/>
          <w:lang w:val="en-US"/>
        </w:rPr>
        <w:t>B</w:t>
      </w:r>
      <w:r>
        <w:rPr>
          <w:b/>
          <w:bCs/>
          <w:kern w:val="2"/>
          <w:sz w:val="24"/>
          <w:szCs w:val="24"/>
          <w:lang w:val="en-US"/>
        </w:rPr>
        <w:t>1.5</w:t>
      </w:r>
      <w:r>
        <w:rPr>
          <w:color w:val="000000"/>
          <w:sz w:val="20"/>
          <w:szCs w:val="20"/>
          <w:lang w:val="en-US"/>
        </w:rPr>
        <w:t xml:space="preserve"> </w:t>
      </w:r>
      <w:r>
        <w:rPr>
          <w:rFonts w:hint="eastAsia"/>
          <w:sz w:val="24"/>
          <w:szCs w:val="24"/>
          <w:lang w:val="en-US"/>
        </w:rPr>
        <w:t>投标人名称或组织结构与资格预审时不一致的；</w:t>
      </w:r>
      <w:r>
        <w:rPr>
          <w:sz w:val="24"/>
          <w:szCs w:val="24"/>
          <w:lang w:val="en-US"/>
        </w:rPr>
        <w:t xml:space="preserve"> </w:t>
      </w:r>
    </w:p>
    <w:p>
      <w:pPr>
        <w:widowControl/>
        <w:autoSpaceDE/>
        <w:autoSpaceDN/>
        <w:spacing w:line="360" w:lineRule="auto"/>
        <w:rPr>
          <w:sz w:val="24"/>
          <w:szCs w:val="24"/>
          <w:lang w:val="en-US"/>
        </w:rPr>
      </w:pPr>
      <w:r>
        <w:rPr>
          <w:b/>
          <w:bCs/>
          <w:color w:val="000000"/>
          <w:sz w:val="24"/>
          <w:szCs w:val="24"/>
          <w:lang w:val="en-US"/>
        </w:rPr>
        <w:t>B1.6</w:t>
      </w:r>
      <w:r>
        <w:rPr>
          <w:color w:val="000000"/>
          <w:sz w:val="24"/>
          <w:szCs w:val="24"/>
          <w:lang w:val="en-US"/>
        </w:rPr>
        <w:t xml:space="preserve"> </w:t>
      </w:r>
      <w:r>
        <w:rPr>
          <w:rFonts w:hint="eastAsia"/>
          <w:sz w:val="24"/>
          <w:szCs w:val="24"/>
          <w:lang w:val="en-US"/>
        </w:rPr>
        <w:t>除在投标截止时间前经招标人书面同意外，项目负责人与资格预审时不一致的；</w:t>
      </w:r>
      <w:r>
        <w:rPr>
          <w:sz w:val="24"/>
          <w:szCs w:val="24"/>
          <w:lang w:val="en-US"/>
        </w:rPr>
        <w:t xml:space="preserve"> </w:t>
      </w:r>
    </w:p>
    <w:p>
      <w:pPr>
        <w:widowControl/>
        <w:autoSpaceDE/>
        <w:autoSpaceDN/>
        <w:spacing w:line="360" w:lineRule="auto"/>
        <w:rPr>
          <w:sz w:val="24"/>
          <w:szCs w:val="24"/>
          <w:lang w:val="en-US"/>
        </w:rPr>
      </w:pPr>
      <w:r>
        <w:rPr>
          <w:b/>
          <w:bCs/>
          <w:color w:val="000000"/>
          <w:sz w:val="24"/>
          <w:szCs w:val="24"/>
          <w:lang w:val="en-US"/>
        </w:rPr>
        <w:t xml:space="preserve">B1.7 </w:t>
      </w:r>
      <w:r>
        <w:rPr>
          <w:rFonts w:hint="eastAsia"/>
          <w:sz w:val="24"/>
          <w:szCs w:val="24"/>
          <w:lang w:val="en-US"/>
        </w:rPr>
        <w:t>组成联合体投标未提供联合体各方共同投标协议的；</w:t>
      </w:r>
      <w:r>
        <w:rPr>
          <w:sz w:val="24"/>
          <w:szCs w:val="24"/>
          <w:lang w:val="en-US"/>
        </w:rPr>
        <w:t xml:space="preserve"> </w:t>
      </w:r>
    </w:p>
    <w:p>
      <w:pPr>
        <w:widowControl/>
        <w:autoSpaceDE/>
        <w:autoSpaceDN/>
        <w:spacing w:line="360" w:lineRule="auto"/>
      </w:pPr>
      <w:r>
        <w:rPr>
          <w:b/>
          <w:bCs/>
          <w:color w:val="000000"/>
          <w:sz w:val="24"/>
          <w:szCs w:val="24"/>
          <w:lang w:val="en-US"/>
        </w:rPr>
        <w:t xml:space="preserve">B1.8 </w:t>
      </w:r>
      <w:r>
        <w:rPr>
          <w:rFonts w:hint="eastAsia"/>
          <w:sz w:val="24"/>
          <w:szCs w:val="24"/>
          <w:lang w:val="en-US"/>
        </w:rPr>
        <w:t>在同一招标项目中，联合体成员以自己名义单独投标或者参加其他联合体投标的；</w:t>
      </w:r>
      <w:r>
        <w:rPr>
          <w:sz w:val="24"/>
          <w:szCs w:val="24"/>
          <w:lang w:val="en-US"/>
        </w:rPr>
        <w:t xml:space="preserve"> </w:t>
      </w:r>
    </w:p>
    <w:p>
      <w:pPr>
        <w:widowControl/>
        <w:autoSpaceDE/>
        <w:autoSpaceDN/>
        <w:spacing w:line="360" w:lineRule="auto"/>
        <w:rPr>
          <w:sz w:val="24"/>
          <w:szCs w:val="24"/>
          <w:lang w:val="en-US"/>
        </w:rPr>
      </w:pPr>
      <w:r>
        <w:rPr>
          <w:b/>
          <w:bCs/>
          <w:color w:val="000000"/>
          <w:sz w:val="24"/>
          <w:szCs w:val="24"/>
          <w:lang w:val="en-US"/>
        </w:rPr>
        <w:t>B1.9</w:t>
      </w:r>
      <w:r>
        <w:rPr>
          <w:color w:val="000000"/>
          <w:sz w:val="20"/>
          <w:szCs w:val="20"/>
          <w:lang w:val="en-US"/>
        </w:rPr>
        <w:t xml:space="preserve"> </w:t>
      </w:r>
      <w:r>
        <w:rPr>
          <w:rFonts w:hint="eastAsia"/>
          <w:sz w:val="24"/>
          <w:szCs w:val="24"/>
          <w:lang w:val="en-US"/>
        </w:rPr>
        <w:t>联合体成员与资格预审确定的结果不一致的；</w:t>
      </w:r>
      <w:r>
        <w:rPr>
          <w:sz w:val="24"/>
          <w:szCs w:val="24"/>
          <w:lang w:val="en-US"/>
        </w:rPr>
        <w:t xml:space="preserve"> </w:t>
      </w:r>
    </w:p>
    <w:p>
      <w:pPr>
        <w:widowControl/>
        <w:autoSpaceDE/>
        <w:autoSpaceDN/>
        <w:spacing w:line="360" w:lineRule="auto"/>
        <w:rPr>
          <w:sz w:val="24"/>
          <w:szCs w:val="24"/>
          <w:lang w:val="en-US"/>
        </w:rPr>
      </w:pPr>
      <w:r>
        <w:rPr>
          <w:b/>
          <w:bCs/>
          <w:color w:val="000000"/>
          <w:sz w:val="24"/>
          <w:szCs w:val="24"/>
          <w:lang w:val="en-US"/>
        </w:rPr>
        <w:t xml:space="preserve">B1.10 </w:t>
      </w:r>
      <w:r>
        <w:rPr>
          <w:rFonts w:hint="eastAsia"/>
          <w:sz w:val="24"/>
          <w:szCs w:val="24"/>
          <w:lang w:val="en-US"/>
        </w:rPr>
        <w:t>投标报价低于成本或者高于招标文件设定的最高投标限价的；</w:t>
      </w:r>
      <w:r>
        <w:rPr>
          <w:sz w:val="24"/>
          <w:szCs w:val="24"/>
          <w:lang w:val="en-US"/>
        </w:rPr>
        <w:t xml:space="preserve"> </w:t>
      </w:r>
    </w:p>
    <w:p>
      <w:pPr>
        <w:widowControl/>
        <w:autoSpaceDE/>
        <w:autoSpaceDN/>
        <w:spacing w:line="360" w:lineRule="auto"/>
        <w:rPr>
          <w:sz w:val="24"/>
          <w:szCs w:val="24"/>
          <w:lang w:val="en-US"/>
        </w:rPr>
      </w:pPr>
      <w:r>
        <w:rPr>
          <w:b/>
          <w:bCs/>
          <w:color w:val="000000"/>
          <w:sz w:val="24"/>
          <w:szCs w:val="24"/>
          <w:lang w:val="en-US"/>
        </w:rPr>
        <w:t xml:space="preserve">B1.11 </w:t>
      </w:r>
      <w:r>
        <w:rPr>
          <w:rFonts w:hint="eastAsia"/>
          <w:sz w:val="24"/>
          <w:szCs w:val="24"/>
          <w:lang w:val="en-US"/>
        </w:rPr>
        <w:t>同一投标人提交两个及以上不同的投标文件或者投标报价，但招标文件要求提交备选投标的除外；</w:t>
      </w:r>
      <w:r>
        <w:rPr>
          <w:sz w:val="24"/>
          <w:szCs w:val="24"/>
          <w:lang w:val="en-US"/>
        </w:rPr>
        <w:t xml:space="preserve"> </w:t>
      </w:r>
    </w:p>
    <w:p>
      <w:pPr>
        <w:widowControl/>
        <w:autoSpaceDE/>
        <w:autoSpaceDN/>
        <w:spacing w:line="360" w:lineRule="auto"/>
        <w:rPr>
          <w:sz w:val="24"/>
          <w:szCs w:val="24"/>
          <w:lang w:val="en-US"/>
        </w:rPr>
      </w:pPr>
      <w:r>
        <w:rPr>
          <w:b/>
          <w:bCs/>
          <w:color w:val="000000"/>
          <w:sz w:val="24"/>
          <w:szCs w:val="24"/>
          <w:lang w:val="en-US"/>
        </w:rPr>
        <w:t xml:space="preserve">B1.12 </w:t>
      </w:r>
      <w:r>
        <w:rPr>
          <w:rFonts w:hint="eastAsia"/>
          <w:sz w:val="24"/>
          <w:szCs w:val="24"/>
          <w:lang w:val="en-US"/>
        </w:rPr>
        <w:t>与招标文件规定的暂估价、暂列金额及甲供材料价格不一致的；</w:t>
      </w:r>
      <w:r>
        <w:rPr>
          <w:sz w:val="24"/>
          <w:szCs w:val="24"/>
          <w:lang w:val="en-US"/>
        </w:rPr>
        <w:t xml:space="preserve"> </w:t>
      </w:r>
    </w:p>
    <w:p>
      <w:pPr>
        <w:widowControl/>
        <w:autoSpaceDE/>
        <w:autoSpaceDN/>
        <w:spacing w:line="360" w:lineRule="auto"/>
        <w:rPr>
          <w:sz w:val="24"/>
          <w:szCs w:val="24"/>
          <w:lang w:val="en-US"/>
        </w:rPr>
      </w:pPr>
      <w:r>
        <w:rPr>
          <w:b/>
          <w:bCs/>
          <w:color w:val="000000"/>
          <w:sz w:val="24"/>
          <w:szCs w:val="24"/>
          <w:lang w:val="en-US"/>
        </w:rPr>
        <w:t>B1.13</w:t>
      </w:r>
      <w:r>
        <w:rPr>
          <w:color w:val="000000"/>
          <w:sz w:val="20"/>
          <w:szCs w:val="20"/>
          <w:lang w:val="en-US"/>
        </w:rPr>
        <w:t xml:space="preserve"> </w:t>
      </w:r>
      <w:r>
        <w:rPr>
          <w:rFonts w:hint="eastAsia"/>
          <w:sz w:val="24"/>
          <w:szCs w:val="24"/>
          <w:lang w:val="en-US"/>
        </w:rPr>
        <w:t>与招标文件明确列出的不可竞争费用项目或费率或计算基础不一致的；</w:t>
      </w:r>
      <w:r>
        <w:rPr>
          <w:sz w:val="24"/>
          <w:szCs w:val="24"/>
          <w:lang w:val="en-US"/>
        </w:rPr>
        <w:t xml:space="preserve"> </w:t>
      </w:r>
    </w:p>
    <w:p>
      <w:pPr>
        <w:widowControl/>
        <w:autoSpaceDE/>
        <w:autoSpaceDN/>
        <w:spacing w:line="360" w:lineRule="auto"/>
        <w:rPr>
          <w:sz w:val="24"/>
          <w:szCs w:val="24"/>
          <w:lang w:val="en-US"/>
        </w:rPr>
      </w:pPr>
      <w:r>
        <w:rPr>
          <w:b/>
          <w:bCs/>
          <w:color w:val="000000"/>
          <w:sz w:val="24"/>
          <w:szCs w:val="24"/>
          <w:lang w:val="en-US"/>
        </w:rPr>
        <w:t xml:space="preserve">B1.14 </w:t>
      </w:r>
      <w:r>
        <w:rPr>
          <w:rFonts w:hint="eastAsia"/>
          <w:sz w:val="24"/>
          <w:szCs w:val="24"/>
          <w:lang w:val="en-US"/>
        </w:rPr>
        <w:t>与招标文件提供的工程量清单中的项目编码、项目名称、项目特征、计量单位、工程量不一致的；</w:t>
      </w:r>
      <w:r>
        <w:rPr>
          <w:sz w:val="24"/>
          <w:szCs w:val="24"/>
          <w:lang w:val="en-US"/>
        </w:rPr>
        <w:t xml:space="preserve"> </w:t>
      </w:r>
    </w:p>
    <w:p>
      <w:pPr>
        <w:widowControl/>
        <w:autoSpaceDE/>
        <w:autoSpaceDN/>
        <w:spacing w:line="360" w:lineRule="auto"/>
        <w:rPr>
          <w:sz w:val="24"/>
          <w:szCs w:val="24"/>
          <w:lang w:val="en-US"/>
        </w:rPr>
      </w:pPr>
      <w:r>
        <w:rPr>
          <w:b/>
          <w:bCs/>
          <w:color w:val="000000"/>
          <w:sz w:val="24"/>
          <w:szCs w:val="24"/>
          <w:lang w:val="en-US"/>
        </w:rPr>
        <w:t>B1.15</w:t>
      </w:r>
      <w:r>
        <w:rPr>
          <w:color w:val="000000"/>
          <w:sz w:val="20"/>
          <w:szCs w:val="20"/>
          <w:lang w:val="en-US"/>
        </w:rPr>
        <w:t xml:space="preserve"> </w:t>
      </w:r>
      <w:r>
        <w:rPr>
          <w:rFonts w:hint="eastAsia"/>
          <w:sz w:val="24"/>
          <w:szCs w:val="24"/>
          <w:lang w:val="en-US"/>
        </w:rPr>
        <w:t>未按招标文件要求提供投标保证金的；</w:t>
      </w:r>
      <w:r>
        <w:rPr>
          <w:sz w:val="24"/>
          <w:szCs w:val="24"/>
          <w:lang w:val="en-US"/>
        </w:rPr>
        <w:t xml:space="preserve"> </w:t>
      </w:r>
    </w:p>
    <w:p>
      <w:pPr>
        <w:widowControl/>
        <w:autoSpaceDE/>
        <w:autoSpaceDN/>
        <w:spacing w:line="360" w:lineRule="auto"/>
        <w:rPr>
          <w:sz w:val="24"/>
          <w:szCs w:val="24"/>
          <w:lang w:val="en-US"/>
        </w:rPr>
      </w:pPr>
      <w:r>
        <w:rPr>
          <w:b/>
          <w:bCs/>
          <w:color w:val="000000"/>
          <w:sz w:val="24"/>
          <w:szCs w:val="24"/>
          <w:lang w:val="en-US"/>
        </w:rPr>
        <w:t xml:space="preserve">B1.16 </w:t>
      </w:r>
      <w:r>
        <w:rPr>
          <w:rFonts w:hint="eastAsia"/>
          <w:sz w:val="24"/>
          <w:szCs w:val="24"/>
          <w:lang w:val="en-US"/>
        </w:rPr>
        <w:t>投标文件载明的招标项目完成期限超过招标文件规定的期限的；</w:t>
      </w:r>
      <w:r>
        <w:rPr>
          <w:sz w:val="24"/>
          <w:szCs w:val="24"/>
          <w:lang w:val="en-US"/>
        </w:rPr>
        <w:t xml:space="preserve"> </w:t>
      </w:r>
    </w:p>
    <w:p>
      <w:pPr>
        <w:widowControl/>
        <w:autoSpaceDE/>
        <w:autoSpaceDN/>
        <w:spacing w:line="360" w:lineRule="auto"/>
        <w:rPr>
          <w:sz w:val="24"/>
          <w:szCs w:val="24"/>
          <w:lang w:val="en-US"/>
        </w:rPr>
      </w:pPr>
      <w:r>
        <w:rPr>
          <w:b/>
          <w:bCs/>
          <w:color w:val="000000"/>
          <w:sz w:val="24"/>
          <w:szCs w:val="24"/>
          <w:lang w:val="en-US"/>
        </w:rPr>
        <w:t xml:space="preserve">B1.17 </w:t>
      </w:r>
      <w:r>
        <w:rPr>
          <w:rFonts w:hint="eastAsia"/>
          <w:sz w:val="24"/>
          <w:szCs w:val="24"/>
          <w:lang w:val="en-US"/>
        </w:rPr>
        <w:t>明显不符合技术规范、技术标准的要求的；</w:t>
      </w:r>
      <w:r>
        <w:rPr>
          <w:sz w:val="24"/>
          <w:szCs w:val="24"/>
          <w:lang w:val="en-US"/>
        </w:rPr>
        <w:t xml:space="preserve"> </w:t>
      </w:r>
    </w:p>
    <w:p>
      <w:pPr>
        <w:widowControl/>
        <w:autoSpaceDE/>
        <w:autoSpaceDN/>
        <w:spacing w:line="360" w:lineRule="auto"/>
        <w:rPr>
          <w:sz w:val="24"/>
          <w:szCs w:val="24"/>
          <w:lang w:val="en-US"/>
        </w:rPr>
      </w:pPr>
      <w:r>
        <w:rPr>
          <w:b/>
          <w:bCs/>
          <w:color w:val="000000"/>
          <w:sz w:val="24"/>
          <w:szCs w:val="24"/>
          <w:lang w:val="en-US"/>
        </w:rPr>
        <w:t xml:space="preserve">B1.18 </w:t>
      </w:r>
      <w:r>
        <w:rPr>
          <w:rFonts w:hint="eastAsia"/>
          <w:sz w:val="24"/>
          <w:szCs w:val="24"/>
          <w:lang w:val="en-US"/>
        </w:rPr>
        <w:t>投标文件载明的货物包装方式、检验标准和方法等不符合招标文件的要求的；</w:t>
      </w:r>
      <w:r>
        <w:rPr>
          <w:sz w:val="24"/>
          <w:szCs w:val="24"/>
          <w:lang w:val="en-US"/>
        </w:rPr>
        <w:t xml:space="preserve"> </w:t>
      </w:r>
    </w:p>
    <w:p>
      <w:pPr>
        <w:widowControl/>
        <w:autoSpaceDE/>
        <w:autoSpaceDN/>
        <w:spacing w:line="360" w:lineRule="auto"/>
        <w:rPr>
          <w:sz w:val="24"/>
          <w:szCs w:val="24"/>
          <w:lang w:val="en-US"/>
        </w:rPr>
      </w:pPr>
      <w:r>
        <w:rPr>
          <w:b/>
          <w:bCs/>
          <w:color w:val="000000"/>
          <w:sz w:val="24"/>
          <w:szCs w:val="24"/>
          <w:lang w:val="en-US"/>
        </w:rPr>
        <w:t>B1.19</w:t>
      </w:r>
      <w:r>
        <w:rPr>
          <w:color w:val="000000"/>
          <w:sz w:val="20"/>
          <w:szCs w:val="20"/>
          <w:lang w:val="en-US"/>
        </w:rPr>
        <w:t xml:space="preserve"> </w:t>
      </w:r>
      <w:r>
        <w:rPr>
          <w:rFonts w:hint="eastAsia"/>
          <w:sz w:val="24"/>
          <w:szCs w:val="24"/>
          <w:lang w:val="en-US"/>
        </w:rPr>
        <w:t>投标文件提出了不能满足招标文件要求或招标人不能接受的工程验收、计量、价款结算和支付办法的；</w:t>
      </w:r>
      <w:r>
        <w:rPr>
          <w:sz w:val="24"/>
          <w:szCs w:val="24"/>
          <w:lang w:val="en-US"/>
        </w:rPr>
        <w:t xml:space="preserve"> </w:t>
      </w:r>
    </w:p>
    <w:p>
      <w:pPr>
        <w:widowControl/>
        <w:autoSpaceDE/>
        <w:autoSpaceDN/>
        <w:spacing w:line="360" w:lineRule="auto"/>
        <w:rPr>
          <w:sz w:val="24"/>
          <w:szCs w:val="24"/>
          <w:lang w:val="en-US"/>
        </w:rPr>
      </w:pPr>
      <w:r>
        <w:rPr>
          <w:b/>
          <w:bCs/>
          <w:color w:val="000000"/>
          <w:sz w:val="24"/>
          <w:szCs w:val="24"/>
          <w:lang w:val="en-US"/>
        </w:rPr>
        <w:t xml:space="preserve">B1.20 </w:t>
      </w:r>
      <w:r>
        <w:rPr>
          <w:rFonts w:hint="eastAsia"/>
          <w:sz w:val="24"/>
          <w:szCs w:val="24"/>
          <w:lang w:val="en-US"/>
        </w:rPr>
        <w:t>未按招标文件要求提供电子投标文件，或者投标文件未能在规定时间内解密且按照招标文件明确的投标文件解密失败的补救方案补救不成功的；</w:t>
      </w:r>
    </w:p>
    <w:p>
      <w:pPr>
        <w:widowControl/>
        <w:autoSpaceDE/>
        <w:autoSpaceDN/>
        <w:spacing w:line="360" w:lineRule="auto"/>
        <w:rPr>
          <w:sz w:val="24"/>
          <w:szCs w:val="24"/>
          <w:lang w:val="en-US"/>
        </w:rPr>
      </w:pPr>
      <w:r>
        <w:rPr>
          <w:b/>
          <w:bCs/>
          <w:color w:val="000000"/>
          <w:sz w:val="24"/>
          <w:szCs w:val="24"/>
          <w:lang w:val="en-US"/>
        </w:rPr>
        <w:t xml:space="preserve">B1.21 </w:t>
      </w:r>
      <w:r>
        <w:rPr>
          <w:rFonts w:hint="eastAsia"/>
          <w:sz w:val="24"/>
          <w:szCs w:val="24"/>
          <w:lang w:val="en-US"/>
        </w:rPr>
        <w:t>不同投标人的投标文件以及投标文件制作过程出现了评标委员会认为不应当雷同的情况的；</w:t>
      </w:r>
      <w:r>
        <w:rPr>
          <w:sz w:val="24"/>
          <w:szCs w:val="24"/>
          <w:lang w:val="en-US"/>
        </w:rPr>
        <w:t xml:space="preserve"> </w:t>
      </w:r>
    </w:p>
    <w:p>
      <w:pPr>
        <w:widowControl/>
        <w:autoSpaceDE/>
        <w:autoSpaceDN/>
        <w:spacing w:line="360" w:lineRule="auto"/>
        <w:rPr>
          <w:sz w:val="24"/>
          <w:szCs w:val="24"/>
          <w:lang w:val="en-US"/>
        </w:rPr>
      </w:pPr>
      <w:r>
        <w:rPr>
          <w:b/>
          <w:bCs/>
          <w:color w:val="000000"/>
          <w:sz w:val="24"/>
          <w:szCs w:val="24"/>
          <w:lang w:val="en-US"/>
        </w:rPr>
        <w:t xml:space="preserve">B1.22 </w:t>
      </w:r>
      <w:r>
        <w:rPr>
          <w:rFonts w:hint="eastAsia"/>
          <w:sz w:val="24"/>
          <w:szCs w:val="24"/>
          <w:lang w:val="en-US"/>
        </w:rPr>
        <w:t>以他人的名义投标、串通投标、以行贿手段谋取中标或者以其他弄虚作假方式投标的；</w:t>
      </w:r>
    </w:p>
    <w:p>
      <w:pPr>
        <w:widowControl/>
        <w:autoSpaceDE/>
        <w:autoSpaceDN/>
        <w:spacing w:line="360" w:lineRule="auto"/>
        <w:rPr>
          <w:sz w:val="24"/>
          <w:szCs w:val="24"/>
          <w:lang w:val="en-US"/>
        </w:rPr>
      </w:pPr>
      <w:r>
        <w:rPr>
          <w:b/>
          <w:bCs/>
          <w:color w:val="000000"/>
          <w:sz w:val="24"/>
          <w:szCs w:val="24"/>
          <w:lang w:val="en-US"/>
        </w:rPr>
        <w:t xml:space="preserve">B1.23 </w:t>
      </w:r>
      <w:r>
        <w:rPr>
          <w:rFonts w:hint="eastAsia"/>
          <w:sz w:val="24"/>
          <w:szCs w:val="24"/>
          <w:lang w:val="en-US"/>
        </w:rPr>
        <w:t>不符合招标文件有关暗标的要求。</w:t>
      </w:r>
      <w:r>
        <w:rPr>
          <w:sz w:val="24"/>
          <w:szCs w:val="24"/>
          <w:lang w:val="en-US"/>
        </w:rPr>
        <w:t xml:space="preserve"> </w:t>
      </w:r>
    </w:p>
    <w:p>
      <w:pPr>
        <w:widowControl/>
        <w:autoSpaceDE/>
        <w:autoSpaceDN/>
        <w:spacing w:line="360" w:lineRule="auto"/>
        <w:rPr>
          <w:sz w:val="24"/>
          <w:szCs w:val="24"/>
          <w:lang w:val="en-US"/>
        </w:rPr>
      </w:pPr>
      <w:r>
        <w:rPr>
          <w:b/>
          <w:bCs/>
          <w:color w:val="000000"/>
          <w:sz w:val="24"/>
          <w:szCs w:val="24"/>
          <w:lang w:val="en-US"/>
        </w:rPr>
        <w:t xml:space="preserve">B1.24 </w:t>
      </w:r>
      <w:r>
        <w:rPr>
          <w:rFonts w:hint="eastAsia"/>
          <w:sz w:val="24"/>
          <w:szCs w:val="24"/>
          <w:lang w:val="en-US"/>
        </w:rPr>
        <w:t>法律规定的其他情形。</w:t>
      </w:r>
      <w:r>
        <w:rPr>
          <w:sz w:val="24"/>
          <w:szCs w:val="24"/>
          <w:lang w:val="en-US"/>
        </w:rPr>
        <w:t xml:space="preserve"> </w:t>
      </w:r>
    </w:p>
    <w:p>
      <w:pPr>
        <w:widowControl/>
        <w:autoSpaceDE/>
        <w:autoSpaceDN/>
        <w:spacing w:line="360" w:lineRule="auto"/>
        <w:rPr>
          <w:sz w:val="24"/>
          <w:szCs w:val="24"/>
        </w:rPr>
      </w:pPr>
      <w:r>
        <w:rPr>
          <w:rFonts w:hint="eastAsia"/>
          <w:b/>
          <w:bCs/>
          <w:color w:val="000000"/>
          <w:sz w:val="24"/>
          <w:szCs w:val="24"/>
          <w:lang w:val="en-US"/>
        </w:rPr>
        <w:t>备注：</w:t>
      </w:r>
      <w:r>
        <w:rPr>
          <w:rFonts w:hint="eastAsia"/>
          <w:sz w:val="24"/>
          <w:szCs w:val="24"/>
          <w:lang w:val="en-US"/>
        </w:rPr>
        <w:t>如果工程所在地管理规定要求评标委员会对判定为废标的投标文件说明废标情况的，应增加“废标情况说明表”格式，废标情况说明应当对照招标文件规定的废标条件以及投标文件存在的具体问题。</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3"/>
        <w:autoSpaceDE/>
        <w:autoSpaceDN/>
        <w:spacing w:before="0" w:line="360" w:lineRule="auto"/>
        <w:ind w:left="0"/>
        <w:rPr>
          <w:sz w:val="24"/>
          <w:szCs w:val="24"/>
        </w:rPr>
      </w:pPr>
      <w:r>
        <w:rPr>
          <w:rFonts w:hint="eastAsia"/>
          <w:sz w:val="24"/>
          <w:szCs w:val="24"/>
        </w:rPr>
        <w:t>附件</w:t>
      </w:r>
      <w:r>
        <w:rPr>
          <w:sz w:val="24"/>
          <w:szCs w:val="24"/>
        </w:rPr>
        <w:t>C</w:t>
      </w:r>
      <w:r>
        <w:rPr>
          <w:rFonts w:hint="eastAsia"/>
          <w:sz w:val="24"/>
          <w:szCs w:val="24"/>
        </w:rPr>
        <w:t>：备选投标方案的评审方法</w:t>
      </w:r>
      <w:bookmarkEnd w:id="46"/>
    </w:p>
    <w:p>
      <w:pPr>
        <w:autoSpaceDE/>
        <w:autoSpaceDN/>
        <w:spacing w:line="360" w:lineRule="auto"/>
        <w:jc w:val="center"/>
        <w:rPr>
          <w:b/>
          <w:sz w:val="24"/>
          <w:szCs w:val="24"/>
        </w:rPr>
      </w:pPr>
      <w:r>
        <w:rPr>
          <w:rFonts w:hint="eastAsia"/>
          <w:b/>
          <w:sz w:val="24"/>
          <w:szCs w:val="24"/>
        </w:rPr>
        <w:t>备选投标方案的评审方法</w:t>
      </w:r>
    </w:p>
    <w:p>
      <w:pPr>
        <w:pStyle w:val="4"/>
        <w:autoSpaceDE/>
        <w:autoSpaceDN/>
        <w:spacing w:line="360" w:lineRule="auto"/>
        <w:ind w:left="0"/>
        <w:rPr>
          <w:rFonts w:ascii="宋体" w:hAnsi="宋体" w:eastAsia="宋体" w:cs="宋体"/>
          <w:sz w:val="24"/>
          <w:szCs w:val="24"/>
        </w:rPr>
      </w:pPr>
      <w:bookmarkStart w:id="47" w:name="_Toc256000076"/>
      <w:r>
        <w:rPr>
          <w:rFonts w:ascii="宋体" w:hAnsi="宋体" w:eastAsia="宋体" w:cs="宋体"/>
          <w:sz w:val="24"/>
          <w:szCs w:val="24"/>
        </w:rPr>
        <w:t>C0.</w:t>
      </w:r>
      <w:r>
        <w:rPr>
          <w:rFonts w:hint="eastAsia" w:ascii="宋体" w:hAnsi="宋体" w:eastAsia="宋体" w:cs="宋体"/>
          <w:sz w:val="24"/>
          <w:szCs w:val="24"/>
        </w:rPr>
        <w:t>总</w:t>
      </w:r>
      <w:r>
        <w:rPr>
          <w:rFonts w:ascii="宋体" w:hAnsi="宋体" w:eastAsia="宋体" w:cs="宋体"/>
          <w:sz w:val="24"/>
          <w:szCs w:val="24"/>
        </w:rPr>
        <w:t xml:space="preserve">  </w:t>
      </w:r>
      <w:r>
        <w:rPr>
          <w:rFonts w:hint="eastAsia" w:ascii="宋体" w:hAnsi="宋体" w:eastAsia="宋体" w:cs="宋体"/>
          <w:sz w:val="24"/>
          <w:szCs w:val="24"/>
        </w:rPr>
        <w:t>则</w:t>
      </w:r>
      <w:bookmarkEnd w:id="47"/>
    </w:p>
    <w:p>
      <w:pPr>
        <w:autoSpaceDE/>
        <w:autoSpaceDN/>
        <w:spacing w:line="360" w:lineRule="auto"/>
        <w:rPr>
          <w:sz w:val="24"/>
          <w:szCs w:val="24"/>
        </w:rPr>
      </w:pPr>
      <w:r>
        <w:rPr>
          <w:sz w:val="24"/>
          <w:szCs w:val="24"/>
        </w:rPr>
        <w:t xml:space="preserve">    </w:t>
      </w:r>
      <w:r>
        <w:rPr>
          <w:rFonts w:hint="eastAsia"/>
          <w:sz w:val="24"/>
          <w:szCs w:val="24"/>
        </w:rPr>
        <w:t>本附件是本章“评标办法”的组成部分。当第二章“投标人须知”第</w:t>
      </w:r>
      <w:r>
        <w:rPr>
          <w:sz w:val="24"/>
          <w:szCs w:val="24"/>
        </w:rPr>
        <w:t>3.6</w:t>
      </w:r>
      <w:r>
        <w:rPr>
          <w:rFonts w:hint="eastAsia"/>
          <w:sz w:val="24"/>
          <w:szCs w:val="24"/>
        </w:rPr>
        <w:t>款中规定允许投标人递交备选投标方案时，评标委员会应当按照本附件所规定的办法对排名第一的中标候选人或者根据招标人授权直接确定的中标人所递交的备选投标方案进行评审和比较。</w:t>
      </w:r>
    </w:p>
    <w:p>
      <w:pPr>
        <w:pStyle w:val="4"/>
        <w:autoSpaceDE/>
        <w:autoSpaceDN/>
        <w:spacing w:line="360" w:lineRule="auto"/>
        <w:ind w:left="0"/>
        <w:rPr>
          <w:rFonts w:ascii="宋体" w:hAnsi="宋体" w:eastAsia="宋体" w:cs="宋体"/>
          <w:sz w:val="24"/>
          <w:szCs w:val="24"/>
        </w:rPr>
      </w:pPr>
      <w:bookmarkStart w:id="48" w:name="_Toc256000077"/>
      <w:r>
        <w:rPr>
          <w:rFonts w:ascii="宋体" w:hAnsi="宋体" w:eastAsia="宋体" w:cs="宋体"/>
          <w:sz w:val="24"/>
          <w:szCs w:val="24"/>
        </w:rPr>
        <w:t>C1.</w:t>
      </w:r>
      <w:r>
        <w:rPr>
          <w:rFonts w:hint="eastAsia" w:ascii="宋体" w:hAnsi="宋体" w:eastAsia="宋体" w:cs="宋体"/>
          <w:sz w:val="24"/>
          <w:szCs w:val="24"/>
        </w:rPr>
        <w:t>备选投标方案的评审规定</w:t>
      </w:r>
      <w:bookmarkEnd w:id="48"/>
    </w:p>
    <w:p>
      <w:pPr>
        <w:pStyle w:val="4"/>
        <w:autoSpaceDE/>
        <w:autoSpaceDN/>
        <w:spacing w:line="360" w:lineRule="auto"/>
        <w:ind w:left="0"/>
        <w:rPr>
          <w:rFonts w:ascii="宋体" w:hAnsi="宋体" w:eastAsia="宋体" w:cs="宋体"/>
          <w:b w:val="0"/>
          <w:bCs w:val="0"/>
          <w:sz w:val="24"/>
          <w:szCs w:val="24"/>
        </w:rPr>
      </w:pPr>
      <w:r>
        <w:rPr>
          <w:rFonts w:ascii="宋体" w:hAnsi="宋体" w:eastAsia="宋体" w:cs="宋体"/>
          <w:sz w:val="24"/>
          <w:szCs w:val="24"/>
        </w:rPr>
        <w:t>C1.1</w:t>
      </w:r>
      <w:r>
        <w:rPr>
          <w:rFonts w:hint="eastAsia" w:ascii="宋体" w:hAnsi="宋体" w:eastAsia="宋体" w:cs="宋体"/>
          <w:b w:val="0"/>
          <w:bCs w:val="0"/>
          <w:sz w:val="24"/>
          <w:szCs w:val="24"/>
        </w:rPr>
        <w:t>必须投递了正选投标方案</w:t>
      </w:r>
    </w:p>
    <w:p>
      <w:pPr>
        <w:autoSpaceDE/>
        <w:autoSpaceDN/>
        <w:spacing w:line="360" w:lineRule="auto"/>
        <w:rPr>
          <w:sz w:val="24"/>
          <w:szCs w:val="24"/>
        </w:rPr>
      </w:pPr>
      <w:r>
        <w:rPr>
          <w:sz w:val="24"/>
          <w:szCs w:val="24"/>
        </w:rPr>
        <w:t xml:space="preserve">    </w:t>
      </w:r>
      <w:r>
        <w:rPr>
          <w:rFonts w:hint="eastAsia"/>
          <w:sz w:val="24"/>
          <w:szCs w:val="24"/>
        </w:rPr>
        <w:t>按照第二章“投标人须知”第</w:t>
      </w:r>
      <w:r>
        <w:rPr>
          <w:sz w:val="24"/>
          <w:szCs w:val="24"/>
        </w:rPr>
        <w:t>3.6</w:t>
      </w:r>
      <w:r>
        <w:rPr>
          <w:rFonts w:hint="eastAsia"/>
          <w:sz w:val="24"/>
          <w:szCs w:val="24"/>
        </w:rPr>
        <w:t>款中规定投递备选投标方案的投标人，必须按照招标文件中规定的要求和条件编制并投递了正选投标方案，否则其投标作否决投标处理。</w:t>
      </w:r>
    </w:p>
    <w:p>
      <w:pPr>
        <w:pStyle w:val="5"/>
        <w:spacing w:line="360" w:lineRule="auto"/>
        <w:rPr>
          <w:rFonts w:ascii="宋体" w:cs="宋体"/>
          <w:sz w:val="24"/>
          <w:szCs w:val="24"/>
        </w:rPr>
      </w:pPr>
      <w:r>
        <w:rPr>
          <w:rFonts w:ascii="宋体" w:hAnsi="宋体" w:cs="宋体"/>
          <w:b/>
          <w:bCs/>
          <w:sz w:val="24"/>
          <w:szCs w:val="24"/>
        </w:rPr>
        <w:t>C1.2</w:t>
      </w:r>
      <w:r>
        <w:rPr>
          <w:rFonts w:hint="eastAsia" w:ascii="宋体" w:hAnsi="宋体" w:cs="宋体"/>
          <w:sz w:val="24"/>
          <w:szCs w:val="24"/>
        </w:rPr>
        <w:t>只对中标人或中标候选人的备选投标方案进行评审</w:t>
      </w:r>
    </w:p>
    <w:p>
      <w:pPr>
        <w:autoSpaceDE/>
        <w:autoSpaceDN/>
        <w:spacing w:line="360" w:lineRule="auto"/>
        <w:rPr>
          <w:sz w:val="24"/>
          <w:szCs w:val="24"/>
        </w:rPr>
      </w:pPr>
      <w:r>
        <w:rPr>
          <w:sz w:val="24"/>
          <w:szCs w:val="24"/>
        </w:rPr>
        <w:t xml:space="preserve">    </w:t>
      </w:r>
      <w:r>
        <w:rPr>
          <w:rFonts w:hint="eastAsia"/>
          <w:sz w:val="24"/>
          <w:szCs w:val="24"/>
        </w:rPr>
        <w:t>只有中标人或中标候选人的备选投标方案才会被评标委员会评审。</w:t>
      </w:r>
    </w:p>
    <w:p>
      <w:pPr>
        <w:pStyle w:val="4"/>
        <w:autoSpaceDE/>
        <w:autoSpaceDN/>
        <w:spacing w:line="360" w:lineRule="auto"/>
        <w:ind w:left="0"/>
        <w:rPr>
          <w:rFonts w:ascii="宋体" w:hAnsi="宋体" w:eastAsia="宋体" w:cs="宋体"/>
          <w:sz w:val="24"/>
          <w:szCs w:val="24"/>
        </w:rPr>
      </w:pPr>
      <w:bookmarkStart w:id="49" w:name="_Toc256000078"/>
      <w:r>
        <w:rPr>
          <w:rFonts w:ascii="宋体" w:hAnsi="宋体" w:eastAsia="宋体" w:cs="宋体"/>
          <w:sz w:val="24"/>
          <w:szCs w:val="24"/>
        </w:rPr>
        <w:t>C2.</w:t>
      </w:r>
      <w:r>
        <w:rPr>
          <w:rFonts w:hint="eastAsia" w:ascii="宋体" w:hAnsi="宋体" w:eastAsia="宋体" w:cs="宋体"/>
          <w:sz w:val="24"/>
          <w:szCs w:val="24"/>
        </w:rPr>
        <w:t>备选投标方案的评审程序、方法和标准</w:t>
      </w:r>
      <w:bookmarkEnd w:id="49"/>
    </w:p>
    <w:p>
      <w:pPr>
        <w:pStyle w:val="5"/>
        <w:spacing w:line="360" w:lineRule="auto"/>
        <w:ind w:left="0"/>
        <w:rPr>
          <w:rFonts w:ascii="宋体" w:cs="宋体"/>
          <w:b/>
          <w:bCs/>
          <w:sz w:val="24"/>
          <w:szCs w:val="24"/>
        </w:rPr>
      </w:pPr>
      <w:r>
        <w:rPr>
          <w:rFonts w:ascii="宋体" w:hAnsi="宋体" w:cs="宋体"/>
          <w:b/>
          <w:bCs/>
          <w:sz w:val="24"/>
          <w:szCs w:val="24"/>
        </w:rPr>
        <w:t>C2.1</w:t>
      </w:r>
      <w:r>
        <w:rPr>
          <w:rFonts w:hint="eastAsia" w:ascii="宋体" w:hAnsi="宋体" w:cs="宋体"/>
          <w:sz w:val="24"/>
          <w:szCs w:val="24"/>
        </w:rPr>
        <w:t>适用的评审程序、方法和标准</w:t>
      </w:r>
    </w:p>
    <w:p>
      <w:pPr>
        <w:autoSpaceDE/>
        <w:autoSpaceDN/>
        <w:spacing w:line="360" w:lineRule="auto"/>
        <w:rPr>
          <w:sz w:val="24"/>
          <w:szCs w:val="24"/>
        </w:rPr>
      </w:pPr>
      <w:r>
        <w:rPr>
          <w:sz w:val="24"/>
          <w:szCs w:val="24"/>
        </w:rPr>
        <w:t xml:space="preserve">    </w:t>
      </w:r>
      <w:r>
        <w:rPr>
          <w:rFonts w:hint="eastAsia"/>
          <w:sz w:val="24"/>
          <w:szCs w:val="24"/>
        </w:rPr>
        <w:t>评标委员会应当根据备选投标方案的内容，找出本章（包括本章附件）中适用的程序、方法、标准对备选投标方案进行综合定性评审。如果没有适用的程序、方法、标准，则由评标委员会成员分别独立对备选投标方案进行综合定性评审。评审结论通过表决方式做出。只有超过半数的评标委员会成员所做出的结论，方可以作为评标委员会的结论。</w:t>
      </w:r>
    </w:p>
    <w:p>
      <w:pPr>
        <w:pStyle w:val="5"/>
        <w:spacing w:line="360" w:lineRule="auto"/>
        <w:ind w:left="0"/>
        <w:rPr>
          <w:rFonts w:ascii="宋体" w:cs="宋体"/>
          <w:sz w:val="24"/>
          <w:szCs w:val="24"/>
        </w:rPr>
      </w:pPr>
      <w:r>
        <w:rPr>
          <w:rFonts w:ascii="宋体" w:hAnsi="宋体" w:cs="宋体"/>
          <w:b/>
          <w:bCs/>
          <w:sz w:val="24"/>
          <w:szCs w:val="24"/>
        </w:rPr>
        <w:t>C2.2</w:t>
      </w:r>
      <w:r>
        <w:rPr>
          <w:rFonts w:hint="eastAsia" w:ascii="宋体" w:hAnsi="宋体" w:cs="宋体"/>
          <w:sz w:val="24"/>
          <w:szCs w:val="24"/>
        </w:rPr>
        <w:t>基本的评审程序和方法</w:t>
      </w:r>
    </w:p>
    <w:p>
      <w:pPr>
        <w:autoSpaceDE/>
        <w:autoSpaceDN/>
        <w:spacing w:line="360" w:lineRule="auto"/>
        <w:rPr>
          <w:sz w:val="24"/>
          <w:szCs w:val="24"/>
        </w:rPr>
      </w:pPr>
      <w:r>
        <w:rPr>
          <w:sz w:val="24"/>
          <w:szCs w:val="24"/>
        </w:rPr>
        <w:t xml:space="preserve">    </w:t>
      </w:r>
      <w:r>
        <w:rPr>
          <w:rFonts w:hint="eastAsia"/>
          <w:sz w:val="24"/>
          <w:szCs w:val="24"/>
        </w:rPr>
        <w:t>对备选投标方案的评审，按以下程序和方法进行：</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1</w:t>
      </w:r>
      <w:r>
        <w:rPr>
          <w:rFonts w:hint="eastAsia"/>
          <w:sz w:val="24"/>
          <w:szCs w:val="24"/>
        </w:rPr>
        <w:t>）找出备选投标方案改变了招标文件中规定的哪些要求或条件，判断这种改变是否可能被招标人所接受。如果评标委员会认为备选投标方案所改变的招标要求和条件是不能被招标人所接受的，则应当宣布备选投标方案不被接受。</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2</w:t>
      </w:r>
      <w:r>
        <w:rPr>
          <w:rFonts w:hint="eastAsia"/>
          <w:sz w:val="24"/>
          <w:szCs w:val="24"/>
        </w:rPr>
        <w:t>）判断备选投标方案的可行性，不可行的备选投标方案应当被宣布为不被接受。</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3</w:t>
      </w:r>
      <w:r>
        <w:rPr>
          <w:rFonts w:hint="eastAsia"/>
          <w:sz w:val="24"/>
          <w:szCs w:val="24"/>
        </w:rPr>
        <w:t>）对比中标人或中标候选人的正选投标方案和备选投标方案，找出两者之间的偏差，并对偏差对招标人的有利和不利程度做出评估。只有备选投标方案与正选投标方案的偏差对招标人的有利程度明显大于不利程度时，备选投标方案方可以被接受。</w:t>
      </w:r>
    </w:p>
    <w:p>
      <w:pPr>
        <w:pStyle w:val="4"/>
        <w:autoSpaceDE/>
        <w:autoSpaceDN/>
        <w:spacing w:line="360" w:lineRule="auto"/>
        <w:ind w:left="0"/>
        <w:rPr>
          <w:rFonts w:ascii="宋体" w:hAnsi="宋体" w:eastAsia="宋体" w:cs="宋体"/>
          <w:sz w:val="24"/>
          <w:szCs w:val="24"/>
        </w:rPr>
      </w:pPr>
      <w:bookmarkStart w:id="50" w:name="_Toc256000079"/>
      <w:r>
        <w:rPr>
          <w:rFonts w:ascii="宋体" w:hAnsi="宋体" w:eastAsia="宋体" w:cs="宋体"/>
          <w:sz w:val="24"/>
          <w:szCs w:val="24"/>
        </w:rPr>
        <w:t>C3.</w:t>
      </w:r>
      <w:r>
        <w:rPr>
          <w:rFonts w:hint="eastAsia" w:ascii="宋体" w:hAnsi="宋体" w:eastAsia="宋体" w:cs="宋体"/>
          <w:sz w:val="24"/>
          <w:szCs w:val="24"/>
        </w:rPr>
        <w:t>备选投标方案的评审结果</w:t>
      </w:r>
      <w:bookmarkEnd w:id="50"/>
    </w:p>
    <w:p>
      <w:pPr>
        <w:pStyle w:val="5"/>
        <w:spacing w:line="360" w:lineRule="auto"/>
        <w:ind w:left="0"/>
        <w:rPr>
          <w:rFonts w:ascii="宋体" w:cs="宋体"/>
          <w:sz w:val="24"/>
          <w:szCs w:val="24"/>
        </w:rPr>
      </w:pPr>
      <w:r>
        <w:rPr>
          <w:rFonts w:ascii="宋体" w:hAnsi="宋体" w:cs="宋体"/>
          <w:b/>
          <w:bCs/>
          <w:sz w:val="24"/>
          <w:szCs w:val="24"/>
        </w:rPr>
        <w:t>C3.1</w:t>
      </w:r>
      <w:r>
        <w:rPr>
          <w:rFonts w:hint="eastAsia" w:ascii="宋体" w:hAnsi="宋体" w:cs="宋体"/>
          <w:sz w:val="24"/>
          <w:szCs w:val="24"/>
        </w:rPr>
        <w:t>备选投标方案的评审报告</w:t>
      </w:r>
    </w:p>
    <w:p>
      <w:pPr>
        <w:autoSpaceDE/>
        <w:autoSpaceDN/>
        <w:spacing w:line="360" w:lineRule="auto"/>
        <w:rPr>
          <w:sz w:val="24"/>
          <w:szCs w:val="24"/>
        </w:rPr>
      </w:pPr>
      <w:r>
        <w:rPr>
          <w:sz w:val="24"/>
          <w:szCs w:val="24"/>
        </w:rPr>
        <w:t xml:space="preserve">    </w:t>
      </w:r>
      <w:r>
        <w:rPr>
          <w:rFonts w:hint="eastAsia"/>
          <w:sz w:val="24"/>
          <w:szCs w:val="24"/>
        </w:rPr>
        <w:t>评标委员会应当出具备选投标方案评审报告，备选投标方案评审报告中应当包括：</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1</w:t>
      </w:r>
      <w:r>
        <w:rPr>
          <w:rFonts w:hint="eastAsia"/>
          <w:sz w:val="24"/>
          <w:szCs w:val="24"/>
        </w:rPr>
        <w:t>）备选投标方案与正选投标方案的主要偏差；</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2</w:t>
      </w:r>
      <w:r>
        <w:rPr>
          <w:rFonts w:hint="eastAsia"/>
          <w:sz w:val="24"/>
          <w:szCs w:val="24"/>
        </w:rPr>
        <w:t>）备选投标方案的科学性与合理性分析；</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3</w:t>
      </w:r>
      <w:r>
        <w:rPr>
          <w:rFonts w:hint="eastAsia"/>
          <w:sz w:val="24"/>
          <w:szCs w:val="24"/>
        </w:rPr>
        <w:t>）备选投标方案对招标人的有利性分析；</w:t>
      </w:r>
    </w:p>
    <w:p>
      <w:pPr>
        <w:autoSpaceDE/>
        <w:autoSpaceDN/>
        <w:spacing w:line="360" w:lineRule="auto"/>
        <w:rPr>
          <w:sz w:val="24"/>
          <w:szCs w:val="24"/>
        </w:rPr>
      </w:pPr>
      <w:r>
        <w:rPr>
          <w:sz w:val="24"/>
          <w:szCs w:val="24"/>
        </w:rPr>
        <w:t xml:space="preserve">    </w:t>
      </w:r>
      <w:r>
        <w:rPr>
          <w:rFonts w:hint="eastAsia"/>
          <w:sz w:val="24"/>
          <w:szCs w:val="24"/>
        </w:rPr>
        <w:t>（</w:t>
      </w:r>
      <w:r>
        <w:rPr>
          <w:sz w:val="24"/>
          <w:szCs w:val="24"/>
        </w:rPr>
        <w:t>4</w:t>
      </w:r>
      <w:r>
        <w:rPr>
          <w:rFonts w:hint="eastAsia"/>
          <w:sz w:val="24"/>
          <w:szCs w:val="24"/>
        </w:rPr>
        <w:t>）备选投标方案是否可以被采纳。</w:t>
      </w:r>
    </w:p>
    <w:p>
      <w:pPr>
        <w:pStyle w:val="5"/>
        <w:spacing w:line="360" w:lineRule="auto"/>
        <w:rPr>
          <w:rFonts w:ascii="宋体" w:cs="宋体"/>
          <w:sz w:val="24"/>
          <w:szCs w:val="24"/>
        </w:rPr>
      </w:pPr>
      <w:r>
        <w:rPr>
          <w:rFonts w:ascii="宋体" w:hAnsi="宋体" w:cs="宋体"/>
          <w:b/>
          <w:bCs/>
          <w:sz w:val="24"/>
          <w:szCs w:val="24"/>
        </w:rPr>
        <w:t>C3.2</w:t>
      </w:r>
      <w:r>
        <w:rPr>
          <w:rFonts w:ascii="宋体" w:hAnsi="宋体" w:cs="宋体"/>
          <w:sz w:val="24"/>
          <w:szCs w:val="24"/>
        </w:rPr>
        <w:t xml:space="preserve">  </w:t>
      </w:r>
      <w:r>
        <w:rPr>
          <w:rFonts w:hint="eastAsia" w:ascii="宋体" w:hAnsi="宋体" w:cs="宋体"/>
          <w:sz w:val="24"/>
          <w:szCs w:val="24"/>
        </w:rPr>
        <w:t>评审结论</w:t>
      </w:r>
    </w:p>
    <w:p>
      <w:pPr>
        <w:autoSpaceDE/>
        <w:autoSpaceDN/>
        <w:spacing w:line="360" w:lineRule="auto"/>
        <w:rPr>
          <w:sz w:val="24"/>
          <w:szCs w:val="24"/>
        </w:rPr>
      </w:pPr>
      <w:r>
        <w:rPr>
          <w:sz w:val="24"/>
          <w:szCs w:val="24"/>
        </w:rPr>
        <w:t xml:space="preserve">    </w:t>
      </w:r>
      <w:r>
        <w:rPr>
          <w:rFonts w:hint="eastAsia"/>
          <w:sz w:val="24"/>
          <w:szCs w:val="24"/>
        </w:rPr>
        <w:t>通过评审，评标委员会只做出备选投标方案是否可以被采纳的决定，但不做出中标人应当按正选投标方案或备选投标方案中标的决定。中标人是否按备选投标方案中标的决定，由招标人依据评标委员会的评审报告做出。</w:t>
      </w:r>
    </w:p>
    <w:p>
      <w:pPr>
        <w:pStyle w:val="4"/>
        <w:autoSpaceDE/>
        <w:autoSpaceDN/>
        <w:spacing w:line="360" w:lineRule="auto"/>
        <w:ind w:left="0"/>
        <w:rPr>
          <w:rFonts w:ascii="宋体" w:hAnsi="宋体" w:eastAsia="宋体" w:cs="宋体"/>
        </w:rPr>
      </w:pPr>
      <w:bookmarkStart w:id="51" w:name="_Toc256000080"/>
      <w:r>
        <w:rPr>
          <w:rFonts w:ascii="宋体" w:hAnsi="宋体" w:eastAsia="宋体" w:cs="宋体"/>
          <w:sz w:val="24"/>
          <w:szCs w:val="24"/>
        </w:rPr>
        <w:t>C4.</w:t>
      </w:r>
      <w:r>
        <w:rPr>
          <w:rFonts w:hint="eastAsia" w:ascii="宋体" w:hAnsi="宋体" w:eastAsia="宋体" w:cs="宋体"/>
          <w:sz w:val="24"/>
          <w:szCs w:val="24"/>
        </w:rPr>
        <w:t>补充条款</w:t>
      </w:r>
      <w:bookmarkEnd w:id="51"/>
    </w:p>
    <w:p>
      <w:pPr>
        <w:widowControl/>
        <w:spacing w:line="360" w:lineRule="auto"/>
        <w:rPr>
          <w:sz w:val="27"/>
        </w:rPr>
      </w:pPr>
    </w:p>
    <w:p>
      <w:pPr>
        <w:widowControl/>
        <w:spacing w:line="360" w:lineRule="auto"/>
        <w:rPr>
          <w:sz w:val="27"/>
        </w:rPr>
      </w:pPr>
    </w:p>
    <w:p>
      <w:pPr>
        <w:widowControl/>
        <w:spacing w:line="360" w:lineRule="auto"/>
        <w:rPr>
          <w:sz w:val="27"/>
        </w:rPr>
      </w:pPr>
    </w:p>
    <w:p>
      <w:pPr>
        <w:widowControl/>
        <w:spacing w:line="360" w:lineRule="auto"/>
        <w:rPr>
          <w:sz w:val="27"/>
        </w:rPr>
      </w:pPr>
    </w:p>
    <w:p>
      <w:pPr>
        <w:widowControl/>
        <w:spacing w:line="360" w:lineRule="auto"/>
        <w:rPr>
          <w:sz w:val="27"/>
        </w:rPr>
      </w:pPr>
    </w:p>
    <w:p>
      <w:pPr>
        <w:widowControl/>
        <w:spacing w:line="360" w:lineRule="auto"/>
        <w:rPr>
          <w:sz w:val="27"/>
        </w:rPr>
      </w:pPr>
    </w:p>
    <w:p>
      <w:pPr>
        <w:widowControl/>
        <w:spacing w:line="360" w:lineRule="auto"/>
        <w:rPr>
          <w:sz w:val="27"/>
        </w:rPr>
      </w:pPr>
    </w:p>
    <w:p>
      <w:pPr>
        <w:widowControl/>
        <w:spacing w:line="360" w:lineRule="auto"/>
        <w:rPr>
          <w:sz w:val="27"/>
        </w:rPr>
      </w:pPr>
    </w:p>
    <w:p>
      <w:pPr>
        <w:widowControl/>
        <w:spacing w:line="360" w:lineRule="auto"/>
        <w:rPr>
          <w:sz w:val="27"/>
        </w:rPr>
      </w:pPr>
    </w:p>
    <w:p>
      <w:pPr>
        <w:widowControl/>
        <w:spacing w:line="360" w:lineRule="auto"/>
        <w:rPr>
          <w:sz w:val="27"/>
        </w:rPr>
      </w:pPr>
    </w:p>
    <w:p>
      <w:pPr>
        <w:pStyle w:val="3"/>
        <w:autoSpaceDE/>
        <w:autoSpaceDN/>
        <w:spacing w:before="0" w:line="360" w:lineRule="auto"/>
        <w:ind w:left="0"/>
        <w:rPr>
          <w:sz w:val="24"/>
          <w:szCs w:val="24"/>
        </w:rPr>
      </w:pPr>
      <w:r>
        <w:rPr>
          <w:rFonts w:hint="eastAsia"/>
          <w:sz w:val="24"/>
          <w:szCs w:val="24"/>
        </w:rPr>
        <w:t>附表</w:t>
      </w:r>
      <w:r>
        <w:rPr>
          <w:sz w:val="24"/>
          <w:szCs w:val="24"/>
        </w:rPr>
        <w:t>A-1</w:t>
      </w:r>
      <w:r>
        <w:rPr>
          <w:rFonts w:hint="eastAsia"/>
          <w:sz w:val="24"/>
          <w:szCs w:val="24"/>
        </w:rPr>
        <w:t>：评标委员会签到表</w:t>
      </w:r>
    </w:p>
    <w:p>
      <w:pPr>
        <w:autoSpaceDE/>
        <w:autoSpaceDN/>
        <w:adjustRightInd w:val="0"/>
        <w:snapToGrid w:val="0"/>
        <w:spacing w:line="360" w:lineRule="auto"/>
        <w:jc w:val="center"/>
        <w:rPr>
          <w:b/>
          <w:color w:val="000000"/>
          <w:sz w:val="32"/>
          <w:szCs w:val="32"/>
        </w:rPr>
      </w:pPr>
      <w:r>
        <w:rPr>
          <w:rFonts w:hint="eastAsia"/>
          <w:b/>
          <w:color w:val="000000"/>
          <w:sz w:val="32"/>
          <w:szCs w:val="32"/>
        </w:rPr>
        <w:t>评标委员会签到表</w:t>
      </w:r>
    </w:p>
    <w:p>
      <w:pPr>
        <w:autoSpaceDE/>
        <w:autoSpaceDN/>
        <w:spacing w:line="360" w:lineRule="auto"/>
        <w:rPr>
          <w:color w:val="000000"/>
          <w:szCs w:val="44"/>
        </w:rPr>
      </w:pPr>
      <w:r>
        <w:rPr>
          <w:rFonts w:hint="eastAsia"/>
          <w:color w:val="000000"/>
          <w:szCs w:val="44"/>
        </w:rPr>
        <w:t>工程名称：</w:t>
      </w:r>
      <w:r>
        <w:rPr>
          <w:color w:val="000000"/>
          <w:szCs w:val="44"/>
          <w:u w:val="single"/>
        </w:rPr>
        <w:t xml:space="preserve">          </w:t>
      </w:r>
      <w:r>
        <w:rPr>
          <w:color w:val="000000"/>
          <w:szCs w:val="44"/>
        </w:rPr>
        <w:t>(</w:t>
      </w:r>
      <w:r>
        <w:rPr>
          <w:rFonts w:hint="eastAsia"/>
          <w:color w:val="000000"/>
          <w:szCs w:val="44"/>
        </w:rPr>
        <w:t>项目名称</w:t>
      </w:r>
      <w:r>
        <w:rPr>
          <w:color w:val="000000"/>
          <w:szCs w:val="44"/>
        </w:rPr>
        <w:t xml:space="preserve">)                                         </w:t>
      </w:r>
    </w:p>
    <w:p>
      <w:pPr>
        <w:autoSpaceDE/>
        <w:autoSpaceDN/>
        <w:spacing w:line="360" w:lineRule="auto"/>
        <w:rPr>
          <w:color w:val="000000"/>
          <w:szCs w:val="44"/>
        </w:rPr>
      </w:pPr>
      <w:r>
        <w:rPr>
          <w:rFonts w:hint="eastAsia"/>
          <w:color w:val="000000"/>
          <w:szCs w:val="44"/>
        </w:rPr>
        <w:t>评标时间：</w:t>
      </w:r>
      <w:r>
        <w:rPr>
          <w:color w:val="000000"/>
          <w:szCs w:val="44"/>
        </w:rPr>
        <w:t xml:space="preserve">         </w:t>
      </w:r>
      <w:r>
        <w:rPr>
          <w:rFonts w:hint="eastAsia"/>
          <w:color w:val="000000"/>
          <w:szCs w:val="44"/>
        </w:rPr>
        <w:t>年</w:t>
      </w:r>
      <w:r>
        <w:rPr>
          <w:color w:val="000000"/>
          <w:szCs w:val="44"/>
        </w:rPr>
        <w:t xml:space="preserve">    </w:t>
      </w:r>
      <w:r>
        <w:rPr>
          <w:rFonts w:hint="eastAsia"/>
          <w:color w:val="000000"/>
          <w:szCs w:val="44"/>
        </w:rPr>
        <w:t>月</w:t>
      </w:r>
      <w:r>
        <w:rPr>
          <w:color w:val="000000"/>
          <w:szCs w:val="44"/>
        </w:rPr>
        <w:t xml:space="preserve">    </w:t>
      </w:r>
      <w:r>
        <w:rPr>
          <w:rFonts w:hint="eastAsia"/>
          <w:color w:val="000000"/>
          <w:szCs w:val="44"/>
        </w:rPr>
        <w:t>日</w:t>
      </w:r>
    </w:p>
    <w:tbl>
      <w:tblPr>
        <w:tblStyle w:val="3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170"/>
        <w:gridCol w:w="1453"/>
        <w:gridCol w:w="1453"/>
        <w:gridCol w:w="1454"/>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pPr>
              <w:jc w:val="center"/>
              <w:rPr>
                <w:color w:val="000000"/>
                <w:szCs w:val="44"/>
              </w:rPr>
            </w:pPr>
            <w:r>
              <w:rPr>
                <w:rFonts w:hint="eastAsia"/>
                <w:color w:val="000000"/>
                <w:szCs w:val="44"/>
              </w:rPr>
              <w:t>序号</w:t>
            </w:r>
          </w:p>
        </w:tc>
        <w:tc>
          <w:tcPr>
            <w:tcW w:w="1244" w:type="pct"/>
            <w:vAlign w:val="center"/>
          </w:tcPr>
          <w:p>
            <w:pPr>
              <w:jc w:val="center"/>
              <w:rPr>
                <w:color w:val="000000"/>
                <w:szCs w:val="44"/>
              </w:rPr>
            </w:pPr>
            <w:r>
              <w:rPr>
                <w:rFonts w:hint="eastAsia"/>
                <w:color w:val="000000"/>
                <w:szCs w:val="44"/>
              </w:rPr>
              <w:t>姓名</w:t>
            </w:r>
          </w:p>
        </w:tc>
        <w:tc>
          <w:tcPr>
            <w:tcW w:w="833" w:type="pct"/>
            <w:vAlign w:val="center"/>
          </w:tcPr>
          <w:p>
            <w:pPr>
              <w:jc w:val="center"/>
              <w:rPr>
                <w:color w:val="000000"/>
                <w:szCs w:val="44"/>
              </w:rPr>
            </w:pPr>
            <w:r>
              <w:rPr>
                <w:rFonts w:hint="eastAsia"/>
                <w:color w:val="000000"/>
                <w:szCs w:val="44"/>
              </w:rPr>
              <w:t>职称</w:t>
            </w:r>
          </w:p>
        </w:tc>
        <w:tc>
          <w:tcPr>
            <w:tcW w:w="833" w:type="pct"/>
            <w:vAlign w:val="center"/>
          </w:tcPr>
          <w:p>
            <w:pPr>
              <w:jc w:val="center"/>
              <w:rPr>
                <w:color w:val="000000"/>
                <w:szCs w:val="44"/>
              </w:rPr>
            </w:pPr>
            <w:r>
              <w:rPr>
                <w:rFonts w:hint="eastAsia"/>
                <w:color w:val="000000"/>
                <w:szCs w:val="44"/>
              </w:rPr>
              <w:t>工作单位</w:t>
            </w:r>
          </w:p>
        </w:tc>
        <w:tc>
          <w:tcPr>
            <w:tcW w:w="834" w:type="pct"/>
            <w:vAlign w:val="center"/>
          </w:tcPr>
          <w:p>
            <w:pPr>
              <w:jc w:val="center"/>
              <w:rPr>
                <w:color w:val="000000"/>
                <w:szCs w:val="44"/>
              </w:rPr>
            </w:pPr>
            <w:r>
              <w:rPr>
                <w:rFonts w:hint="eastAsia"/>
                <w:color w:val="000000"/>
                <w:szCs w:val="44"/>
              </w:rPr>
              <w:t>专家证号码</w:t>
            </w:r>
          </w:p>
        </w:tc>
        <w:tc>
          <w:tcPr>
            <w:tcW w:w="834" w:type="pct"/>
            <w:vAlign w:val="center"/>
          </w:tcPr>
          <w:p>
            <w:pPr>
              <w:jc w:val="center"/>
              <w:rPr>
                <w:color w:val="000000"/>
                <w:szCs w:val="44"/>
              </w:rPr>
            </w:pPr>
            <w:r>
              <w:rPr>
                <w:rFonts w:hint="eastAsia"/>
                <w:color w:val="000000"/>
                <w:szCs w:val="44"/>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pPr>
              <w:jc w:val="center"/>
              <w:rPr>
                <w:color w:val="000000"/>
                <w:szCs w:val="44"/>
              </w:rPr>
            </w:pPr>
            <w:r>
              <w:rPr>
                <w:color w:val="000000"/>
                <w:szCs w:val="44"/>
              </w:rPr>
              <w:t>1</w:t>
            </w:r>
          </w:p>
        </w:tc>
        <w:tc>
          <w:tcPr>
            <w:tcW w:w="1244" w:type="pct"/>
            <w:vAlign w:val="center"/>
          </w:tcPr>
          <w:p>
            <w:pPr>
              <w:jc w:val="center"/>
              <w:rPr>
                <w:color w:val="000000"/>
                <w:szCs w:val="44"/>
              </w:rPr>
            </w:pPr>
          </w:p>
        </w:tc>
        <w:tc>
          <w:tcPr>
            <w:tcW w:w="833" w:type="pct"/>
            <w:vAlign w:val="center"/>
          </w:tcPr>
          <w:p>
            <w:pPr>
              <w:jc w:val="center"/>
              <w:rPr>
                <w:color w:val="000000"/>
                <w:szCs w:val="44"/>
              </w:rPr>
            </w:pPr>
          </w:p>
        </w:tc>
        <w:tc>
          <w:tcPr>
            <w:tcW w:w="833" w:type="pct"/>
            <w:vAlign w:val="center"/>
          </w:tcPr>
          <w:p>
            <w:pPr>
              <w:jc w:val="center"/>
              <w:rPr>
                <w:color w:val="000000"/>
                <w:szCs w:val="44"/>
              </w:rPr>
            </w:pPr>
          </w:p>
        </w:tc>
        <w:tc>
          <w:tcPr>
            <w:tcW w:w="834" w:type="pct"/>
            <w:vAlign w:val="center"/>
          </w:tcPr>
          <w:p>
            <w:pPr>
              <w:jc w:val="center"/>
              <w:rPr>
                <w:color w:val="000000"/>
                <w:szCs w:val="44"/>
              </w:rPr>
            </w:pPr>
          </w:p>
        </w:tc>
        <w:tc>
          <w:tcPr>
            <w:tcW w:w="834" w:type="pct"/>
            <w:vAlign w:val="center"/>
          </w:tcPr>
          <w:p>
            <w:pPr>
              <w:jc w:val="center"/>
              <w:rPr>
                <w:color w:val="00000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pPr>
              <w:jc w:val="center"/>
              <w:rPr>
                <w:color w:val="000000"/>
                <w:szCs w:val="44"/>
              </w:rPr>
            </w:pPr>
            <w:r>
              <w:rPr>
                <w:color w:val="000000"/>
                <w:szCs w:val="44"/>
              </w:rPr>
              <w:t>2</w:t>
            </w:r>
          </w:p>
        </w:tc>
        <w:tc>
          <w:tcPr>
            <w:tcW w:w="1244" w:type="pct"/>
            <w:vAlign w:val="center"/>
          </w:tcPr>
          <w:p>
            <w:pPr>
              <w:jc w:val="center"/>
              <w:rPr>
                <w:color w:val="000000"/>
                <w:szCs w:val="44"/>
              </w:rPr>
            </w:pPr>
          </w:p>
        </w:tc>
        <w:tc>
          <w:tcPr>
            <w:tcW w:w="833" w:type="pct"/>
            <w:vAlign w:val="center"/>
          </w:tcPr>
          <w:p>
            <w:pPr>
              <w:jc w:val="center"/>
              <w:rPr>
                <w:color w:val="000000"/>
                <w:szCs w:val="44"/>
              </w:rPr>
            </w:pPr>
          </w:p>
        </w:tc>
        <w:tc>
          <w:tcPr>
            <w:tcW w:w="833" w:type="pct"/>
            <w:vAlign w:val="center"/>
          </w:tcPr>
          <w:p>
            <w:pPr>
              <w:jc w:val="center"/>
              <w:rPr>
                <w:color w:val="000000"/>
                <w:szCs w:val="44"/>
              </w:rPr>
            </w:pPr>
          </w:p>
        </w:tc>
        <w:tc>
          <w:tcPr>
            <w:tcW w:w="834" w:type="pct"/>
            <w:vAlign w:val="center"/>
          </w:tcPr>
          <w:p>
            <w:pPr>
              <w:jc w:val="center"/>
              <w:rPr>
                <w:color w:val="000000"/>
                <w:szCs w:val="44"/>
              </w:rPr>
            </w:pPr>
          </w:p>
        </w:tc>
        <w:tc>
          <w:tcPr>
            <w:tcW w:w="834" w:type="pct"/>
            <w:vAlign w:val="center"/>
          </w:tcPr>
          <w:p>
            <w:pPr>
              <w:jc w:val="center"/>
              <w:rPr>
                <w:color w:val="00000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pPr>
              <w:jc w:val="center"/>
              <w:rPr>
                <w:color w:val="000000"/>
                <w:szCs w:val="44"/>
              </w:rPr>
            </w:pPr>
            <w:r>
              <w:rPr>
                <w:color w:val="000000"/>
                <w:szCs w:val="44"/>
              </w:rPr>
              <w:t>3</w:t>
            </w:r>
          </w:p>
        </w:tc>
        <w:tc>
          <w:tcPr>
            <w:tcW w:w="1244" w:type="pct"/>
            <w:vAlign w:val="center"/>
          </w:tcPr>
          <w:p>
            <w:pPr>
              <w:jc w:val="center"/>
              <w:rPr>
                <w:color w:val="000000"/>
                <w:szCs w:val="44"/>
              </w:rPr>
            </w:pPr>
          </w:p>
        </w:tc>
        <w:tc>
          <w:tcPr>
            <w:tcW w:w="833" w:type="pct"/>
            <w:vAlign w:val="center"/>
          </w:tcPr>
          <w:p>
            <w:pPr>
              <w:jc w:val="center"/>
              <w:rPr>
                <w:color w:val="000000"/>
                <w:szCs w:val="44"/>
              </w:rPr>
            </w:pPr>
          </w:p>
        </w:tc>
        <w:tc>
          <w:tcPr>
            <w:tcW w:w="833" w:type="pct"/>
            <w:vAlign w:val="center"/>
          </w:tcPr>
          <w:p>
            <w:pPr>
              <w:jc w:val="center"/>
              <w:rPr>
                <w:color w:val="000000"/>
                <w:szCs w:val="44"/>
              </w:rPr>
            </w:pPr>
          </w:p>
        </w:tc>
        <w:tc>
          <w:tcPr>
            <w:tcW w:w="834" w:type="pct"/>
            <w:vAlign w:val="center"/>
          </w:tcPr>
          <w:p>
            <w:pPr>
              <w:jc w:val="center"/>
              <w:rPr>
                <w:color w:val="000000"/>
                <w:szCs w:val="44"/>
              </w:rPr>
            </w:pPr>
          </w:p>
        </w:tc>
        <w:tc>
          <w:tcPr>
            <w:tcW w:w="834" w:type="pct"/>
            <w:vAlign w:val="center"/>
          </w:tcPr>
          <w:p>
            <w:pPr>
              <w:jc w:val="center"/>
              <w:rPr>
                <w:color w:val="00000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pPr>
              <w:jc w:val="center"/>
              <w:rPr>
                <w:color w:val="000000"/>
                <w:szCs w:val="44"/>
              </w:rPr>
            </w:pPr>
            <w:r>
              <w:rPr>
                <w:color w:val="000000"/>
                <w:szCs w:val="44"/>
              </w:rPr>
              <w:t>4</w:t>
            </w:r>
          </w:p>
        </w:tc>
        <w:tc>
          <w:tcPr>
            <w:tcW w:w="1244" w:type="pct"/>
            <w:vAlign w:val="center"/>
          </w:tcPr>
          <w:p>
            <w:pPr>
              <w:jc w:val="center"/>
              <w:rPr>
                <w:color w:val="000000"/>
                <w:szCs w:val="44"/>
              </w:rPr>
            </w:pPr>
          </w:p>
        </w:tc>
        <w:tc>
          <w:tcPr>
            <w:tcW w:w="833" w:type="pct"/>
            <w:vAlign w:val="center"/>
          </w:tcPr>
          <w:p>
            <w:pPr>
              <w:jc w:val="center"/>
              <w:rPr>
                <w:color w:val="000000"/>
                <w:szCs w:val="44"/>
              </w:rPr>
            </w:pPr>
          </w:p>
        </w:tc>
        <w:tc>
          <w:tcPr>
            <w:tcW w:w="833" w:type="pct"/>
            <w:vAlign w:val="center"/>
          </w:tcPr>
          <w:p>
            <w:pPr>
              <w:jc w:val="center"/>
              <w:rPr>
                <w:color w:val="000000"/>
                <w:szCs w:val="44"/>
              </w:rPr>
            </w:pPr>
          </w:p>
        </w:tc>
        <w:tc>
          <w:tcPr>
            <w:tcW w:w="834" w:type="pct"/>
            <w:vAlign w:val="center"/>
          </w:tcPr>
          <w:p>
            <w:pPr>
              <w:jc w:val="center"/>
              <w:rPr>
                <w:color w:val="000000"/>
                <w:szCs w:val="44"/>
              </w:rPr>
            </w:pPr>
          </w:p>
        </w:tc>
        <w:tc>
          <w:tcPr>
            <w:tcW w:w="834" w:type="pct"/>
            <w:vAlign w:val="center"/>
          </w:tcPr>
          <w:p>
            <w:pPr>
              <w:jc w:val="center"/>
              <w:rPr>
                <w:color w:val="00000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pPr>
              <w:jc w:val="center"/>
              <w:rPr>
                <w:color w:val="000000"/>
                <w:szCs w:val="44"/>
              </w:rPr>
            </w:pPr>
            <w:r>
              <w:rPr>
                <w:color w:val="000000"/>
                <w:szCs w:val="44"/>
              </w:rPr>
              <w:t>5</w:t>
            </w:r>
          </w:p>
        </w:tc>
        <w:tc>
          <w:tcPr>
            <w:tcW w:w="1244" w:type="pct"/>
            <w:vAlign w:val="center"/>
          </w:tcPr>
          <w:p>
            <w:pPr>
              <w:jc w:val="center"/>
              <w:rPr>
                <w:color w:val="000000"/>
                <w:szCs w:val="44"/>
              </w:rPr>
            </w:pPr>
          </w:p>
        </w:tc>
        <w:tc>
          <w:tcPr>
            <w:tcW w:w="833" w:type="pct"/>
            <w:vAlign w:val="center"/>
          </w:tcPr>
          <w:p>
            <w:pPr>
              <w:jc w:val="center"/>
              <w:rPr>
                <w:color w:val="000000"/>
                <w:szCs w:val="44"/>
              </w:rPr>
            </w:pPr>
          </w:p>
        </w:tc>
        <w:tc>
          <w:tcPr>
            <w:tcW w:w="833" w:type="pct"/>
            <w:vAlign w:val="center"/>
          </w:tcPr>
          <w:p>
            <w:pPr>
              <w:jc w:val="center"/>
              <w:rPr>
                <w:color w:val="000000"/>
                <w:szCs w:val="44"/>
              </w:rPr>
            </w:pPr>
          </w:p>
        </w:tc>
        <w:tc>
          <w:tcPr>
            <w:tcW w:w="834" w:type="pct"/>
            <w:vAlign w:val="center"/>
          </w:tcPr>
          <w:p>
            <w:pPr>
              <w:jc w:val="center"/>
              <w:rPr>
                <w:color w:val="000000"/>
                <w:szCs w:val="44"/>
              </w:rPr>
            </w:pPr>
          </w:p>
        </w:tc>
        <w:tc>
          <w:tcPr>
            <w:tcW w:w="834" w:type="pct"/>
            <w:vAlign w:val="center"/>
          </w:tcPr>
          <w:p>
            <w:pPr>
              <w:jc w:val="center"/>
              <w:rPr>
                <w:color w:val="00000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pPr>
              <w:jc w:val="center"/>
              <w:rPr>
                <w:color w:val="000000"/>
                <w:szCs w:val="44"/>
              </w:rPr>
            </w:pPr>
            <w:r>
              <w:rPr>
                <w:color w:val="000000"/>
                <w:szCs w:val="44"/>
              </w:rPr>
              <w:t>6</w:t>
            </w:r>
          </w:p>
        </w:tc>
        <w:tc>
          <w:tcPr>
            <w:tcW w:w="1244" w:type="pct"/>
            <w:vAlign w:val="center"/>
          </w:tcPr>
          <w:p>
            <w:pPr>
              <w:jc w:val="center"/>
              <w:rPr>
                <w:color w:val="000000"/>
                <w:szCs w:val="44"/>
              </w:rPr>
            </w:pPr>
          </w:p>
        </w:tc>
        <w:tc>
          <w:tcPr>
            <w:tcW w:w="833" w:type="pct"/>
            <w:vAlign w:val="center"/>
          </w:tcPr>
          <w:p>
            <w:pPr>
              <w:jc w:val="center"/>
              <w:rPr>
                <w:color w:val="000000"/>
                <w:szCs w:val="44"/>
              </w:rPr>
            </w:pPr>
          </w:p>
        </w:tc>
        <w:tc>
          <w:tcPr>
            <w:tcW w:w="833" w:type="pct"/>
            <w:vAlign w:val="center"/>
          </w:tcPr>
          <w:p>
            <w:pPr>
              <w:jc w:val="center"/>
              <w:rPr>
                <w:color w:val="000000"/>
                <w:szCs w:val="44"/>
              </w:rPr>
            </w:pPr>
          </w:p>
        </w:tc>
        <w:tc>
          <w:tcPr>
            <w:tcW w:w="834" w:type="pct"/>
            <w:vAlign w:val="center"/>
          </w:tcPr>
          <w:p>
            <w:pPr>
              <w:jc w:val="center"/>
              <w:rPr>
                <w:color w:val="000000"/>
                <w:szCs w:val="44"/>
              </w:rPr>
            </w:pPr>
          </w:p>
        </w:tc>
        <w:tc>
          <w:tcPr>
            <w:tcW w:w="834" w:type="pct"/>
            <w:vAlign w:val="center"/>
          </w:tcPr>
          <w:p>
            <w:pPr>
              <w:jc w:val="center"/>
              <w:rPr>
                <w:color w:val="00000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pPr>
              <w:jc w:val="center"/>
              <w:rPr>
                <w:color w:val="000000"/>
                <w:szCs w:val="44"/>
              </w:rPr>
            </w:pPr>
            <w:r>
              <w:rPr>
                <w:color w:val="000000"/>
                <w:szCs w:val="44"/>
              </w:rPr>
              <w:t>7</w:t>
            </w:r>
          </w:p>
        </w:tc>
        <w:tc>
          <w:tcPr>
            <w:tcW w:w="1244" w:type="pct"/>
            <w:vAlign w:val="center"/>
          </w:tcPr>
          <w:p>
            <w:pPr>
              <w:jc w:val="center"/>
              <w:rPr>
                <w:color w:val="000000"/>
                <w:szCs w:val="44"/>
              </w:rPr>
            </w:pPr>
          </w:p>
        </w:tc>
        <w:tc>
          <w:tcPr>
            <w:tcW w:w="833" w:type="pct"/>
            <w:vAlign w:val="center"/>
          </w:tcPr>
          <w:p>
            <w:pPr>
              <w:jc w:val="center"/>
              <w:rPr>
                <w:color w:val="000000"/>
                <w:szCs w:val="44"/>
              </w:rPr>
            </w:pPr>
          </w:p>
        </w:tc>
        <w:tc>
          <w:tcPr>
            <w:tcW w:w="833" w:type="pct"/>
            <w:vAlign w:val="center"/>
          </w:tcPr>
          <w:p>
            <w:pPr>
              <w:jc w:val="center"/>
              <w:rPr>
                <w:color w:val="000000"/>
                <w:szCs w:val="44"/>
              </w:rPr>
            </w:pPr>
          </w:p>
        </w:tc>
        <w:tc>
          <w:tcPr>
            <w:tcW w:w="834" w:type="pct"/>
            <w:vAlign w:val="center"/>
          </w:tcPr>
          <w:p>
            <w:pPr>
              <w:jc w:val="center"/>
              <w:rPr>
                <w:color w:val="000000"/>
                <w:szCs w:val="44"/>
              </w:rPr>
            </w:pPr>
          </w:p>
        </w:tc>
        <w:tc>
          <w:tcPr>
            <w:tcW w:w="834" w:type="pct"/>
            <w:vAlign w:val="center"/>
          </w:tcPr>
          <w:p>
            <w:pPr>
              <w:jc w:val="center"/>
              <w:rPr>
                <w:color w:val="00000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pPr>
              <w:jc w:val="center"/>
              <w:rPr>
                <w:color w:val="000000"/>
                <w:szCs w:val="44"/>
              </w:rPr>
            </w:pPr>
            <w:r>
              <w:rPr>
                <w:color w:val="000000"/>
                <w:szCs w:val="44"/>
              </w:rPr>
              <w:t>8</w:t>
            </w:r>
          </w:p>
        </w:tc>
        <w:tc>
          <w:tcPr>
            <w:tcW w:w="1244" w:type="pct"/>
            <w:vAlign w:val="center"/>
          </w:tcPr>
          <w:p>
            <w:pPr>
              <w:jc w:val="center"/>
              <w:rPr>
                <w:color w:val="000000"/>
                <w:szCs w:val="44"/>
              </w:rPr>
            </w:pPr>
          </w:p>
        </w:tc>
        <w:tc>
          <w:tcPr>
            <w:tcW w:w="833" w:type="pct"/>
            <w:vAlign w:val="center"/>
          </w:tcPr>
          <w:p>
            <w:pPr>
              <w:jc w:val="center"/>
              <w:rPr>
                <w:color w:val="000000"/>
                <w:szCs w:val="44"/>
              </w:rPr>
            </w:pPr>
          </w:p>
        </w:tc>
        <w:tc>
          <w:tcPr>
            <w:tcW w:w="833" w:type="pct"/>
            <w:vAlign w:val="center"/>
          </w:tcPr>
          <w:p>
            <w:pPr>
              <w:jc w:val="center"/>
              <w:rPr>
                <w:color w:val="000000"/>
                <w:szCs w:val="44"/>
              </w:rPr>
            </w:pPr>
          </w:p>
        </w:tc>
        <w:tc>
          <w:tcPr>
            <w:tcW w:w="834" w:type="pct"/>
            <w:vAlign w:val="center"/>
          </w:tcPr>
          <w:p>
            <w:pPr>
              <w:jc w:val="center"/>
              <w:rPr>
                <w:color w:val="000000"/>
                <w:szCs w:val="44"/>
              </w:rPr>
            </w:pPr>
          </w:p>
        </w:tc>
        <w:tc>
          <w:tcPr>
            <w:tcW w:w="834" w:type="pct"/>
            <w:vAlign w:val="center"/>
          </w:tcPr>
          <w:p>
            <w:pPr>
              <w:jc w:val="center"/>
              <w:rPr>
                <w:color w:val="000000"/>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3" w:type="pct"/>
            <w:vAlign w:val="center"/>
          </w:tcPr>
          <w:p>
            <w:pPr>
              <w:jc w:val="center"/>
              <w:rPr>
                <w:color w:val="000000"/>
                <w:szCs w:val="44"/>
              </w:rPr>
            </w:pPr>
            <w:r>
              <w:rPr>
                <w:color w:val="000000"/>
                <w:szCs w:val="44"/>
              </w:rPr>
              <w:t>9</w:t>
            </w:r>
          </w:p>
        </w:tc>
        <w:tc>
          <w:tcPr>
            <w:tcW w:w="1244" w:type="pct"/>
            <w:vAlign w:val="center"/>
          </w:tcPr>
          <w:p>
            <w:pPr>
              <w:jc w:val="center"/>
              <w:rPr>
                <w:color w:val="000000"/>
                <w:szCs w:val="44"/>
              </w:rPr>
            </w:pPr>
          </w:p>
        </w:tc>
        <w:tc>
          <w:tcPr>
            <w:tcW w:w="833" w:type="pct"/>
            <w:vAlign w:val="center"/>
          </w:tcPr>
          <w:p>
            <w:pPr>
              <w:jc w:val="center"/>
              <w:rPr>
                <w:color w:val="000000"/>
                <w:szCs w:val="44"/>
              </w:rPr>
            </w:pPr>
          </w:p>
        </w:tc>
        <w:tc>
          <w:tcPr>
            <w:tcW w:w="833" w:type="pct"/>
            <w:vAlign w:val="center"/>
          </w:tcPr>
          <w:p>
            <w:pPr>
              <w:jc w:val="center"/>
              <w:rPr>
                <w:color w:val="000000"/>
                <w:szCs w:val="44"/>
              </w:rPr>
            </w:pPr>
          </w:p>
        </w:tc>
        <w:tc>
          <w:tcPr>
            <w:tcW w:w="834" w:type="pct"/>
            <w:vAlign w:val="center"/>
          </w:tcPr>
          <w:p>
            <w:pPr>
              <w:jc w:val="center"/>
              <w:rPr>
                <w:color w:val="000000"/>
                <w:szCs w:val="44"/>
              </w:rPr>
            </w:pPr>
          </w:p>
        </w:tc>
        <w:tc>
          <w:tcPr>
            <w:tcW w:w="834" w:type="pct"/>
            <w:vAlign w:val="center"/>
          </w:tcPr>
          <w:p>
            <w:pPr>
              <w:jc w:val="center"/>
              <w:rPr>
                <w:color w:val="000000"/>
                <w:szCs w:val="44"/>
              </w:rPr>
            </w:pPr>
          </w:p>
        </w:tc>
      </w:tr>
    </w:tbl>
    <w:p>
      <w:pPr>
        <w:spacing w:line="360" w:lineRule="auto"/>
        <w:rPr>
          <w:sz w:val="24"/>
          <w:szCs w:val="24"/>
        </w:rPr>
      </w:pPr>
    </w:p>
    <w:p>
      <w:pPr>
        <w:widowControl/>
        <w:autoSpaceDE/>
        <w:autoSpaceDN/>
        <w:spacing w:line="360" w:lineRule="auto"/>
        <w:rPr>
          <w:sz w:val="24"/>
          <w:szCs w:val="24"/>
        </w:rPr>
      </w:pPr>
      <w:r>
        <w:rPr>
          <w:sz w:val="24"/>
          <w:szCs w:val="24"/>
        </w:rPr>
        <w:br w:type="page"/>
      </w:r>
      <w:r>
        <w:rPr>
          <w:rFonts w:hint="eastAsia"/>
          <w:b/>
          <w:bCs/>
          <w:kern w:val="2"/>
          <w:sz w:val="24"/>
          <w:szCs w:val="24"/>
          <w:lang w:val="en-US"/>
        </w:rPr>
        <w:t>附表</w:t>
      </w:r>
      <w:r>
        <w:rPr>
          <w:b/>
          <w:bCs/>
          <w:kern w:val="2"/>
          <w:sz w:val="24"/>
          <w:szCs w:val="24"/>
          <w:lang w:val="en-US"/>
        </w:rPr>
        <w:t>A-2</w:t>
      </w:r>
      <w:r>
        <w:rPr>
          <w:rFonts w:hint="eastAsia"/>
          <w:b/>
          <w:bCs/>
          <w:kern w:val="2"/>
          <w:sz w:val="24"/>
          <w:szCs w:val="24"/>
          <w:lang w:val="en-US"/>
        </w:rPr>
        <w:t>：形式评审记录表</w:t>
      </w:r>
    </w:p>
    <w:p>
      <w:pPr>
        <w:autoSpaceDE/>
        <w:autoSpaceDN/>
        <w:spacing w:line="360" w:lineRule="auto"/>
        <w:jc w:val="center"/>
        <w:rPr>
          <w:b/>
          <w:sz w:val="24"/>
          <w:szCs w:val="24"/>
        </w:rPr>
      </w:pPr>
      <w:r>
        <w:rPr>
          <w:rFonts w:hint="eastAsia"/>
          <w:b/>
          <w:sz w:val="24"/>
          <w:szCs w:val="24"/>
        </w:rPr>
        <w:t>形式评审记录表</w:t>
      </w:r>
    </w:p>
    <w:p>
      <w:pPr>
        <w:autoSpaceDE/>
        <w:autoSpaceDN/>
        <w:spacing w:line="360" w:lineRule="auto"/>
        <w:rPr>
          <w:color w:val="000000"/>
          <w:sz w:val="24"/>
          <w:szCs w:val="24"/>
          <w:lang w:val="en-US"/>
        </w:rPr>
      </w:pPr>
      <w:r>
        <w:rPr>
          <w:rFonts w:hint="eastAsia"/>
          <w:color w:val="000000"/>
          <w:sz w:val="24"/>
          <w:szCs w:val="24"/>
        </w:rPr>
        <w:t>工程名称：</w:t>
      </w:r>
      <w:r>
        <w:rPr>
          <w:color w:val="000000"/>
          <w:sz w:val="24"/>
          <w:szCs w:val="24"/>
          <w:u w:val="single"/>
        </w:rPr>
        <w:t>(</w:t>
      </w:r>
      <w:r>
        <w:rPr>
          <w:rFonts w:hint="eastAsia"/>
          <w:color w:val="000000"/>
          <w:sz w:val="24"/>
          <w:szCs w:val="24"/>
          <w:u w:val="single"/>
        </w:rPr>
        <w:t>项目名称</w:t>
      </w:r>
      <w:r>
        <w:rPr>
          <w:color w:val="000000"/>
          <w:sz w:val="24"/>
          <w:szCs w:val="24"/>
          <w:u w:val="single"/>
        </w:rPr>
        <w:t xml:space="preserve">)  </w:t>
      </w:r>
      <w:r>
        <w:rPr>
          <w:color w:val="000000"/>
          <w:sz w:val="24"/>
          <w:szCs w:val="24"/>
          <w:u w:val="single"/>
          <w:lang w:val="en-US"/>
        </w:rPr>
        <w:t xml:space="preserve">          </w:t>
      </w:r>
      <w:r>
        <w:rPr>
          <w:color w:val="000000"/>
          <w:sz w:val="24"/>
          <w:szCs w:val="24"/>
          <w:lang w:val="en-US"/>
        </w:rPr>
        <w:t xml:space="preserve">  </w:t>
      </w:r>
    </w:p>
    <w:tbl>
      <w:tblPr>
        <w:tblStyle w:val="3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5"/>
        <w:gridCol w:w="1806"/>
        <w:gridCol w:w="760"/>
        <w:gridCol w:w="760"/>
        <w:gridCol w:w="760"/>
        <w:gridCol w:w="760"/>
        <w:gridCol w:w="760"/>
        <w:gridCol w:w="760"/>
        <w:gridCol w:w="760"/>
        <w:gridCol w:w="760"/>
        <w:gridCol w:w="76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45" w:type="dxa"/>
            <w:vMerge w:val="restart"/>
            <w:vAlign w:val="center"/>
          </w:tcPr>
          <w:p>
            <w:pPr>
              <w:spacing w:line="360" w:lineRule="auto"/>
              <w:jc w:val="center"/>
              <w:rPr>
                <w:sz w:val="24"/>
                <w:szCs w:val="24"/>
              </w:rPr>
            </w:pPr>
            <w:r>
              <w:rPr>
                <w:rFonts w:hint="eastAsia"/>
                <w:sz w:val="24"/>
                <w:szCs w:val="24"/>
              </w:rPr>
              <w:t>序号</w:t>
            </w:r>
          </w:p>
        </w:tc>
        <w:tc>
          <w:tcPr>
            <w:tcW w:w="1806" w:type="dxa"/>
            <w:vMerge w:val="restart"/>
            <w:vAlign w:val="center"/>
          </w:tcPr>
          <w:p>
            <w:pPr>
              <w:spacing w:line="360" w:lineRule="auto"/>
              <w:jc w:val="center"/>
              <w:rPr>
                <w:sz w:val="24"/>
                <w:szCs w:val="24"/>
              </w:rPr>
            </w:pPr>
            <w:r>
              <w:rPr>
                <w:rFonts w:hint="eastAsia"/>
                <w:sz w:val="24"/>
                <w:szCs w:val="24"/>
              </w:rPr>
              <w:t>评审因素</w:t>
            </w:r>
          </w:p>
        </w:tc>
        <w:tc>
          <w:tcPr>
            <w:tcW w:w="6846" w:type="dxa"/>
            <w:gridSpan w:val="9"/>
            <w:vAlign w:val="center"/>
          </w:tcPr>
          <w:p>
            <w:pPr>
              <w:spacing w:line="360" w:lineRule="auto"/>
              <w:jc w:val="center"/>
              <w:rPr>
                <w:sz w:val="24"/>
                <w:szCs w:val="24"/>
              </w:rPr>
            </w:pPr>
            <w:r>
              <w:rPr>
                <w:rFonts w:hint="eastAsia"/>
                <w:sz w:val="24"/>
                <w:szCs w:val="24"/>
              </w:rPr>
              <w:t>投标人名称及评审意见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845" w:type="dxa"/>
            <w:vMerge w:val="continue"/>
            <w:vAlign w:val="center"/>
          </w:tcPr>
          <w:p>
            <w:pPr>
              <w:spacing w:line="360" w:lineRule="auto"/>
              <w:rPr>
                <w:sz w:val="24"/>
                <w:szCs w:val="24"/>
              </w:rPr>
            </w:pPr>
          </w:p>
        </w:tc>
        <w:tc>
          <w:tcPr>
            <w:tcW w:w="1806" w:type="dxa"/>
            <w:vMerge w:val="continue"/>
            <w:vAlign w:val="center"/>
          </w:tcPr>
          <w:p>
            <w:pPr>
              <w:spacing w:line="360" w:lineRule="auto"/>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6"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845" w:type="dxa"/>
            <w:vAlign w:val="center"/>
          </w:tcPr>
          <w:p>
            <w:pPr>
              <w:spacing w:line="360" w:lineRule="auto"/>
              <w:jc w:val="center"/>
              <w:rPr>
                <w:sz w:val="24"/>
                <w:szCs w:val="24"/>
              </w:rPr>
            </w:pPr>
            <w:r>
              <w:rPr>
                <w:sz w:val="24"/>
                <w:szCs w:val="24"/>
              </w:rPr>
              <w:t>1</w:t>
            </w:r>
          </w:p>
        </w:tc>
        <w:tc>
          <w:tcPr>
            <w:tcW w:w="1806" w:type="dxa"/>
            <w:vAlign w:val="center"/>
          </w:tcPr>
          <w:p>
            <w:pPr>
              <w:spacing w:line="360" w:lineRule="auto"/>
              <w:jc w:val="center"/>
              <w:rPr>
                <w:sz w:val="24"/>
                <w:szCs w:val="24"/>
              </w:rPr>
            </w:pPr>
            <w:r>
              <w:rPr>
                <w:rFonts w:hint="eastAsia"/>
                <w:sz w:val="24"/>
                <w:szCs w:val="24"/>
              </w:rPr>
              <w:t>投标人名称</w:t>
            </w: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6"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845" w:type="dxa"/>
            <w:vAlign w:val="center"/>
          </w:tcPr>
          <w:p>
            <w:pPr>
              <w:spacing w:line="360" w:lineRule="auto"/>
              <w:jc w:val="center"/>
              <w:rPr>
                <w:sz w:val="24"/>
                <w:szCs w:val="24"/>
              </w:rPr>
            </w:pPr>
            <w:r>
              <w:rPr>
                <w:sz w:val="24"/>
                <w:szCs w:val="24"/>
              </w:rPr>
              <w:t>2</w:t>
            </w:r>
          </w:p>
        </w:tc>
        <w:tc>
          <w:tcPr>
            <w:tcW w:w="1806" w:type="dxa"/>
            <w:vAlign w:val="center"/>
          </w:tcPr>
          <w:p>
            <w:pPr>
              <w:spacing w:line="360" w:lineRule="auto"/>
              <w:jc w:val="center"/>
              <w:rPr>
                <w:sz w:val="24"/>
                <w:szCs w:val="24"/>
              </w:rPr>
            </w:pPr>
            <w:r>
              <w:rPr>
                <w:rFonts w:hint="eastAsia"/>
                <w:sz w:val="24"/>
                <w:szCs w:val="24"/>
              </w:rPr>
              <w:t>投标文件格式</w:t>
            </w: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6"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845" w:type="dxa"/>
            <w:vAlign w:val="center"/>
          </w:tcPr>
          <w:p>
            <w:pPr>
              <w:spacing w:line="360" w:lineRule="auto"/>
              <w:jc w:val="center"/>
              <w:rPr>
                <w:sz w:val="24"/>
                <w:szCs w:val="24"/>
              </w:rPr>
            </w:pPr>
            <w:r>
              <w:rPr>
                <w:sz w:val="24"/>
                <w:szCs w:val="24"/>
              </w:rPr>
              <w:t>3</w:t>
            </w:r>
          </w:p>
        </w:tc>
        <w:tc>
          <w:tcPr>
            <w:tcW w:w="1806" w:type="dxa"/>
            <w:vAlign w:val="center"/>
          </w:tcPr>
          <w:p>
            <w:pPr>
              <w:spacing w:line="360" w:lineRule="auto"/>
              <w:jc w:val="center"/>
              <w:rPr>
                <w:sz w:val="24"/>
                <w:szCs w:val="24"/>
              </w:rPr>
            </w:pPr>
            <w:r>
              <w:rPr>
                <w:rFonts w:hint="eastAsia"/>
                <w:sz w:val="24"/>
                <w:szCs w:val="24"/>
              </w:rPr>
              <w:t>签字、盖章</w:t>
            </w: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6"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845" w:type="dxa"/>
            <w:vAlign w:val="center"/>
          </w:tcPr>
          <w:p>
            <w:pPr>
              <w:spacing w:line="360" w:lineRule="auto"/>
              <w:jc w:val="center"/>
              <w:rPr>
                <w:sz w:val="24"/>
                <w:szCs w:val="24"/>
              </w:rPr>
            </w:pPr>
            <w:r>
              <w:rPr>
                <w:sz w:val="24"/>
                <w:szCs w:val="24"/>
              </w:rPr>
              <w:t>4</w:t>
            </w:r>
          </w:p>
        </w:tc>
        <w:tc>
          <w:tcPr>
            <w:tcW w:w="1806" w:type="dxa"/>
            <w:vAlign w:val="center"/>
          </w:tcPr>
          <w:p>
            <w:pPr>
              <w:spacing w:line="360" w:lineRule="auto"/>
              <w:jc w:val="center"/>
              <w:rPr>
                <w:sz w:val="24"/>
                <w:szCs w:val="24"/>
              </w:rPr>
            </w:pPr>
            <w:r>
              <w:rPr>
                <w:rFonts w:hint="eastAsia"/>
                <w:sz w:val="24"/>
                <w:szCs w:val="24"/>
              </w:rPr>
              <w:t>联合体投标人</w:t>
            </w: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6"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845" w:type="dxa"/>
            <w:vAlign w:val="center"/>
          </w:tcPr>
          <w:p>
            <w:pPr>
              <w:spacing w:line="360" w:lineRule="auto"/>
              <w:jc w:val="center"/>
              <w:rPr>
                <w:sz w:val="24"/>
                <w:szCs w:val="24"/>
              </w:rPr>
            </w:pPr>
            <w:r>
              <w:rPr>
                <w:sz w:val="24"/>
                <w:szCs w:val="24"/>
              </w:rPr>
              <w:t>5</w:t>
            </w:r>
          </w:p>
        </w:tc>
        <w:tc>
          <w:tcPr>
            <w:tcW w:w="1806" w:type="dxa"/>
            <w:vAlign w:val="center"/>
          </w:tcPr>
          <w:p>
            <w:pPr>
              <w:spacing w:line="360" w:lineRule="auto"/>
              <w:jc w:val="center"/>
              <w:rPr>
                <w:sz w:val="24"/>
                <w:szCs w:val="24"/>
              </w:rPr>
            </w:pPr>
            <w:r>
              <w:rPr>
                <w:rFonts w:hint="eastAsia"/>
                <w:sz w:val="24"/>
                <w:szCs w:val="24"/>
              </w:rPr>
              <w:t>报价唯一</w:t>
            </w: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6"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845" w:type="dxa"/>
            <w:vAlign w:val="center"/>
          </w:tcPr>
          <w:p>
            <w:pPr>
              <w:spacing w:line="360" w:lineRule="auto"/>
              <w:jc w:val="center"/>
              <w:rPr>
                <w:sz w:val="24"/>
                <w:szCs w:val="24"/>
              </w:rPr>
            </w:pPr>
            <w:r>
              <w:rPr>
                <w:sz w:val="24"/>
                <w:szCs w:val="24"/>
              </w:rPr>
              <w:t>6</w:t>
            </w:r>
          </w:p>
        </w:tc>
        <w:tc>
          <w:tcPr>
            <w:tcW w:w="1806" w:type="dxa"/>
            <w:vAlign w:val="center"/>
          </w:tcPr>
          <w:p>
            <w:pPr>
              <w:spacing w:line="360" w:lineRule="auto"/>
              <w:jc w:val="center"/>
              <w:rPr>
                <w:sz w:val="24"/>
                <w:szCs w:val="24"/>
              </w:rPr>
            </w:pPr>
            <w:r>
              <w:rPr>
                <w:rFonts w:hint="eastAsia"/>
                <w:sz w:val="24"/>
                <w:szCs w:val="24"/>
              </w:rPr>
              <w:t>备选投标方案</w:t>
            </w: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6"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8" w:hRule="atLeast"/>
        </w:trPr>
        <w:tc>
          <w:tcPr>
            <w:tcW w:w="845" w:type="dxa"/>
            <w:vAlign w:val="center"/>
          </w:tcPr>
          <w:p>
            <w:pPr>
              <w:spacing w:line="360" w:lineRule="auto"/>
              <w:jc w:val="center"/>
              <w:rPr>
                <w:sz w:val="24"/>
                <w:szCs w:val="24"/>
              </w:rPr>
            </w:pPr>
            <w:r>
              <w:rPr>
                <w:sz w:val="24"/>
                <w:szCs w:val="24"/>
              </w:rPr>
              <w:t>7</w:t>
            </w:r>
          </w:p>
        </w:tc>
        <w:tc>
          <w:tcPr>
            <w:tcW w:w="1806" w:type="dxa"/>
            <w:vAlign w:val="center"/>
          </w:tcPr>
          <w:p>
            <w:pPr>
              <w:spacing w:line="360" w:lineRule="auto"/>
              <w:jc w:val="center"/>
              <w:rPr>
                <w:sz w:val="24"/>
                <w:szCs w:val="24"/>
              </w:rPr>
            </w:pPr>
            <w:r>
              <w:rPr>
                <w:rFonts w:hint="eastAsia"/>
                <w:sz w:val="24"/>
                <w:szCs w:val="24"/>
              </w:rPr>
              <w:t>……</w:t>
            </w: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0" w:type="dxa"/>
            <w:vAlign w:val="center"/>
          </w:tcPr>
          <w:p>
            <w:pPr>
              <w:spacing w:line="360" w:lineRule="auto"/>
              <w:jc w:val="center"/>
              <w:rPr>
                <w:sz w:val="24"/>
                <w:szCs w:val="24"/>
              </w:rPr>
            </w:pPr>
          </w:p>
        </w:tc>
        <w:tc>
          <w:tcPr>
            <w:tcW w:w="766" w:type="dxa"/>
            <w:vAlign w:val="center"/>
          </w:tcPr>
          <w:p>
            <w:pPr>
              <w:spacing w:line="360" w:lineRule="auto"/>
              <w:jc w:val="center"/>
              <w:rPr>
                <w:sz w:val="24"/>
                <w:szCs w:val="24"/>
              </w:rPr>
            </w:pPr>
          </w:p>
        </w:tc>
      </w:tr>
    </w:tbl>
    <w:p>
      <w:pPr>
        <w:spacing w:line="360" w:lineRule="auto"/>
        <w:rPr>
          <w:sz w:val="24"/>
          <w:szCs w:val="24"/>
        </w:rPr>
      </w:pPr>
    </w:p>
    <w:p>
      <w:pPr>
        <w:spacing w:line="360" w:lineRule="auto"/>
        <w:rPr>
          <w:sz w:val="24"/>
          <w:szCs w:val="24"/>
        </w:rPr>
      </w:pPr>
      <w:r>
        <w:rPr>
          <w:rFonts w:hint="eastAsia"/>
          <w:sz w:val="24"/>
          <w:szCs w:val="24"/>
        </w:rPr>
        <w:t>评标委员会全体成员签名：</w:t>
      </w:r>
      <w:r>
        <w:rPr>
          <w:sz w:val="24"/>
          <w:szCs w:val="24"/>
        </w:rPr>
        <w:t xml:space="preserve">                    </w:t>
      </w: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360" w:lineRule="auto"/>
        <w:rPr>
          <w:b/>
          <w:sz w:val="24"/>
          <w:szCs w:val="24"/>
        </w:rPr>
      </w:pPr>
    </w:p>
    <w:p>
      <w:pPr>
        <w:widowControl/>
        <w:autoSpaceDE/>
        <w:autoSpaceDN/>
        <w:spacing w:line="360" w:lineRule="auto"/>
        <w:rPr>
          <w:sz w:val="24"/>
          <w:szCs w:val="24"/>
        </w:rPr>
      </w:pPr>
      <w:r>
        <w:rPr>
          <w:b/>
          <w:sz w:val="24"/>
          <w:szCs w:val="24"/>
        </w:rPr>
        <w:br w:type="page"/>
      </w:r>
      <w:r>
        <w:rPr>
          <w:rFonts w:hint="eastAsia"/>
          <w:b/>
          <w:bCs/>
          <w:kern w:val="2"/>
          <w:sz w:val="24"/>
          <w:szCs w:val="24"/>
          <w:lang w:val="en-US"/>
        </w:rPr>
        <w:t>附表</w:t>
      </w:r>
      <w:r>
        <w:rPr>
          <w:b/>
          <w:bCs/>
          <w:kern w:val="2"/>
          <w:sz w:val="24"/>
          <w:szCs w:val="24"/>
          <w:lang w:val="en-US"/>
        </w:rPr>
        <w:t>A-3</w:t>
      </w:r>
      <w:r>
        <w:rPr>
          <w:rFonts w:hint="eastAsia"/>
          <w:b/>
          <w:bCs/>
          <w:kern w:val="2"/>
          <w:sz w:val="24"/>
          <w:szCs w:val="24"/>
          <w:lang w:val="en-US"/>
        </w:rPr>
        <w:t>：资格评审记录表</w:t>
      </w:r>
    </w:p>
    <w:p>
      <w:pPr>
        <w:autoSpaceDE/>
        <w:autoSpaceDN/>
        <w:spacing w:line="360" w:lineRule="auto"/>
        <w:jc w:val="center"/>
        <w:rPr>
          <w:b/>
          <w:sz w:val="24"/>
          <w:szCs w:val="24"/>
        </w:rPr>
      </w:pPr>
      <w:r>
        <w:rPr>
          <w:rFonts w:hint="eastAsia"/>
          <w:b/>
          <w:sz w:val="24"/>
          <w:szCs w:val="24"/>
        </w:rPr>
        <w:t>资格评审记录表</w:t>
      </w:r>
    </w:p>
    <w:p>
      <w:pPr>
        <w:autoSpaceDE/>
        <w:autoSpaceDN/>
        <w:spacing w:line="360" w:lineRule="auto"/>
        <w:rPr>
          <w:color w:val="4BACC6"/>
          <w:sz w:val="24"/>
          <w:szCs w:val="24"/>
        </w:rPr>
      </w:pPr>
      <w:r>
        <w:rPr>
          <w:rFonts w:hint="eastAsia"/>
          <w:color w:val="000000"/>
          <w:sz w:val="24"/>
          <w:szCs w:val="24"/>
        </w:rPr>
        <w:t>工程名称：</w:t>
      </w:r>
      <w:r>
        <w:rPr>
          <w:color w:val="000000"/>
          <w:sz w:val="24"/>
          <w:szCs w:val="24"/>
          <w:u w:val="single"/>
        </w:rPr>
        <w:t>(</w:t>
      </w:r>
      <w:r>
        <w:rPr>
          <w:rFonts w:hint="eastAsia"/>
          <w:color w:val="000000"/>
          <w:sz w:val="24"/>
          <w:szCs w:val="24"/>
          <w:u w:val="single"/>
        </w:rPr>
        <w:t>项目名称</w:t>
      </w:r>
      <w:r>
        <w:rPr>
          <w:color w:val="000000"/>
          <w:sz w:val="24"/>
          <w:szCs w:val="24"/>
          <w:u w:val="single"/>
        </w:rPr>
        <w:t xml:space="preserve">)  </w:t>
      </w:r>
      <w:r>
        <w:rPr>
          <w:color w:val="000000"/>
          <w:sz w:val="24"/>
          <w:szCs w:val="24"/>
          <w:u w:val="single"/>
          <w:lang w:val="en-US"/>
        </w:rPr>
        <w:t xml:space="preserve">          </w:t>
      </w:r>
      <w:r>
        <w:rPr>
          <w:rFonts w:hint="eastAsia"/>
          <w:color w:val="000000"/>
          <w:sz w:val="24"/>
          <w:szCs w:val="24"/>
          <w:lang w:val="en-US"/>
        </w:rPr>
        <w:t>标段</w:t>
      </w:r>
      <w:r>
        <w:rPr>
          <w:color w:val="000000"/>
          <w:sz w:val="24"/>
          <w:szCs w:val="24"/>
          <w:lang w:val="en-US"/>
        </w:rPr>
        <w:t xml:space="preserve">  </w:t>
      </w:r>
    </w:p>
    <w:tbl>
      <w:tblPr>
        <w:tblStyle w:val="3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7"/>
        <w:gridCol w:w="1669"/>
        <w:gridCol w:w="788"/>
        <w:gridCol w:w="788"/>
        <w:gridCol w:w="788"/>
        <w:gridCol w:w="788"/>
        <w:gridCol w:w="788"/>
        <w:gridCol w:w="788"/>
        <w:gridCol w:w="788"/>
        <w:gridCol w:w="788"/>
        <w:gridCol w:w="7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7" w:type="dxa"/>
            <w:vMerge w:val="restart"/>
            <w:vAlign w:val="center"/>
          </w:tcPr>
          <w:p>
            <w:pPr>
              <w:spacing w:line="360" w:lineRule="auto"/>
              <w:jc w:val="center"/>
              <w:rPr>
                <w:sz w:val="24"/>
                <w:szCs w:val="24"/>
              </w:rPr>
            </w:pPr>
            <w:r>
              <w:rPr>
                <w:rFonts w:hint="eastAsia"/>
                <w:sz w:val="24"/>
                <w:szCs w:val="24"/>
              </w:rPr>
              <w:t>序号</w:t>
            </w:r>
          </w:p>
        </w:tc>
        <w:tc>
          <w:tcPr>
            <w:tcW w:w="1669" w:type="dxa"/>
            <w:vMerge w:val="restart"/>
            <w:vAlign w:val="center"/>
          </w:tcPr>
          <w:p>
            <w:pPr>
              <w:spacing w:line="360" w:lineRule="auto"/>
              <w:jc w:val="center"/>
              <w:rPr>
                <w:sz w:val="24"/>
                <w:szCs w:val="24"/>
              </w:rPr>
            </w:pPr>
            <w:r>
              <w:rPr>
                <w:rFonts w:hint="eastAsia"/>
                <w:sz w:val="24"/>
                <w:szCs w:val="24"/>
              </w:rPr>
              <w:t>评审因素</w:t>
            </w:r>
          </w:p>
        </w:tc>
        <w:tc>
          <w:tcPr>
            <w:tcW w:w="7092" w:type="dxa"/>
            <w:gridSpan w:val="9"/>
            <w:vAlign w:val="center"/>
          </w:tcPr>
          <w:p>
            <w:pPr>
              <w:spacing w:line="360" w:lineRule="auto"/>
              <w:jc w:val="center"/>
              <w:rPr>
                <w:sz w:val="24"/>
                <w:szCs w:val="24"/>
              </w:rPr>
            </w:pPr>
            <w:r>
              <w:rPr>
                <w:rFonts w:hint="eastAsia"/>
                <w:sz w:val="24"/>
                <w:szCs w:val="24"/>
              </w:rPr>
              <w:t>投标人名称及评审意见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7" w:type="dxa"/>
            <w:vMerge w:val="continue"/>
            <w:vAlign w:val="center"/>
          </w:tcPr>
          <w:p>
            <w:pPr>
              <w:spacing w:line="360" w:lineRule="auto"/>
              <w:rPr>
                <w:sz w:val="24"/>
                <w:szCs w:val="24"/>
              </w:rPr>
            </w:pPr>
          </w:p>
        </w:tc>
        <w:tc>
          <w:tcPr>
            <w:tcW w:w="1669" w:type="dxa"/>
            <w:vMerge w:val="continue"/>
            <w:vAlign w:val="center"/>
          </w:tcPr>
          <w:p>
            <w:pPr>
              <w:spacing w:line="360" w:lineRule="auto"/>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7" w:type="dxa"/>
            <w:vAlign w:val="center"/>
          </w:tcPr>
          <w:p>
            <w:pPr>
              <w:spacing w:line="360" w:lineRule="auto"/>
              <w:jc w:val="center"/>
              <w:rPr>
                <w:sz w:val="24"/>
                <w:szCs w:val="24"/>
              </w:rPr>
            </w:pPr>
            <w:r>
              <w:rPr>
                <w:sz w:val="24"/>
                <w:szCs w:val="24"/>
              </w:rPr>
              <w:t>1</w:t>
            </w:r>
          </w:p>
        </w:tc>
        <w:tc>
          <w:tcPr>
            <w:tcW w:w="1669" w:type="dxa"/>
            <w:vAlign w:val="center"/>
          </w:tcPr>
          <w:p>
            <w:pPr>
              <w:spacing w:line="360" w:lineRule="auto"/>
              <w:jc w:val="center"/>
              <w:rPr>
                <w:sz w:val="24"/>
                <w:szCs w:val="24"/>
              </w:rPr>
            </w:pPr>
            <w:r>
              <w:rPr>
                <w:rFonts w:hint="eastAsia"/>
                <w:sz w:val="24"/>
                <w:szCs w:val="24"/>
              </w:rPr>
              <w:t>营业执照</w:t>
            </w: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7" w:type="dxa"/>
            <w:vAlign w:val="center"/>
          </w:tcPr>
          <w:p>
            <w:pPr>
              <w:spacing w:line="360" w:lineRule="auto"/>
              <w:jc w:val="center"/>
              <w:rPr>
                <w:sz w:val="24"/>
                <w:szCs w:val="24"/>
              </w:rPr>
            </w:pPr>
            <w:r>
              <w:rPr>
                <w:sz w:val="24"/>
                <w:szCs w:val="24"/>
              </w:rPr>
              <w:t>2</w:t>
            </w:r>
          </w:p>
        </w:tc>
        <w:tc>
          <w:tcPr>
            <w:tcW w:w="1669" w:type="dxa"/>
            <w:vAlign w:val="center"/>
          </w:tcPr>
          <w:p>
            <w:pPr>
              <w:spacing w:line="360" w:lineRule="auto"/>
              <w:jc w:val="center"/>
              <w:rPr>
                <w:sz w:val="24"/>
                <w:szCs w:val="24"/>
              </w:rPr>
            </w:pPr>
            <w:r>
              <w:rPr>
                <w:rFonts w:hint="eastAsia"/>
                <w:sz w:val="24"/>
                <w:szCs w:val="24"/>
              </w:rPr>
              <w:t>安全生产许可证</w:t>
            </w: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7" w:type="dxa"/>
            <w:vAlign w:val="center"/>
          </w:tcPr>
          <w:p>
            <w:pPr>
              <w:spacing w:line="360" w:lineRule="auto"/>
              <w:jc w:val="center"/>
              <w:rPr>
                <w:sz w:val="24"/>
                <w:szCs w:val="24"/>
              </w:rPr>
            </w:pPr>
            <w:r>
              <w:rPr>
                <w:sz w:val="24"/>
                <w:szCs w:val="24"/>
              </w:rPr>
              <w:t>3</w:t>
            </w:r>
          </w:p>
        </w:tc>
        <w:tc>
          <w:tcPr>
            <w:tcW w:w="1669" w:type="dxa"/>
            <w:vAlign w:val="center"/>
          </w:tcPr>
          <w:p>
            <w:pPr>
              <w:spacing w:line="360" w:lineRule="auto"/>
              <w:jc w:val="center"/>
              <w:rPr>
                <w:sz w:val="24"/>
                <w:szCs w:val="24"/>
              </w:rPr>
            </w:pPr>
            <w:r>
              <w:rPr>
                <w:rFonts w:hint="eastAsia"/>
                <w:sz w:val="24"/>
                <w:szCs w:val="24"/>
              </w:rPr>
              <w:t>资质等级</w:t>
            </w: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7" w:type="dxa"/>
            <w:vAlign w:val="center"/>
          </w:tcPr>
          <w:p>
            <w:pPr>
              <w:spacing w:line="360" w:lineRule="auto"/>
              <w:jc w:val="center"/>
              <w:rPr>
                <w:sz w:val="24"/>
                <w:szCs w:val="24"/>
              </w:rPr>
            </w:pPr>
            <w:r>
              <w:rPr>
                <w:sz w:val="24"/>
                <w:szCs w:val="24"/>
              </w:rPr>
              <w:t>4</w:t>
            </w:r>
          </w:p>
        </w:tc>
        <w:tc>
          <w:tcPr>
            <w:tcW w:w="1669" w:type="dxa"/>
            <w:vAlign w:val="center"/>
          </w:tcPr>
          <w:p>
            <w:pPr>
              <w:spacing w:line="360" w:lineRule="auto"/>
              <w:jc w:val="center"/>
              <w:rPr>
                <w:sz w:val="24"/>
                <w:szCs w:val="24"/>
              </w:rPr>
            </w:pPr>
            <w:r>
              <w:rPr>
                <w:rFonts w:hint="eastAsia"/>
                <w:sz w:val="24"/>
                <w:szCs w:val="24"/>
              </w:rPr>
              <w:t>财务状况</w:t>
            </w: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7" w:type="dxa"/>
            <w:vAlign w:val="center"/>
          </w:tcPr>
          <w:p>
            <w:pPr>
              <w:spacing w:line="360" w:lineRule="auto"/>
              <w:jc w:val="center"/>
              <w:rPr>
                <w:sz w:val="24"/>
                <w:szCs w:val="24"/>
              </w:rPr>
            </w:pPr>
            <w:r>
              <w:rPr>
                <w:sz w:val="24"/>
                <w:szCs w:val="24"/>
              </w:rPr>
              <w:t>5</w:t>
            </w:r>
          </w:p>
        </w:tc>
        <w:tc>
          <w:tcPr>
            <w:tcW w:w="1669" w:type="dxa"/>
            <w:vAlign w:val="center"/>
          </w:tcPr>
          <w:p>
            <w:pPr>
              <w:spacing w:line="360" w:lineRule="auto"/>
              <w:jc w:val="center"/>
              <w:rPr>
                <w:sz w:val="24"/>
                <w:szCs w:val="24"/>
              </w:rPr>
            </w:pPr>
            <w:r>
              <w:rPr>
                <w:rFonts w:hint="eastAsia"/>
                <w:sz w:val="24"/>
                <w:szCs w:val="24"/>
              </w:rPr>
              <w:t>类似项目业绩</w:t>
            </w: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7" w:type="dxa"/>
            <w:vAlign w:val="center"/>
          </w:tcPr>
          <w:p>
            <w:pPr>
              <w:spacing w:line="360" w:lineRule="auto"/>
              <w:jc w:val="center"/>
              <w:rPr>
                <w:sz w:val="24"/>
                <w:szCs w:val="24"/>
              </w:rPr>
            </w:pPr>
            <w:r>
              <w:rPr>
                <w:sz w:val="24"/>
                <w:szCs w:val="24"/>
              </w:rPr>
              <w:t>6</w:t>
            </w:r>
          </w:p>
        </w:tc>
        <w:tc>
          <w:tcPr>
            <w:tcW w:w="1669" w:type="dxa"/>
            <w:vAlign w:val="center"/>
          </w:tcPr>
          <w:p>
            <w:pPr>
              <w:spacing w:line="360" w:lineRule="auto"/>
              <w:jc w:val="center"/>
              <w:rPr>
                <w:sz w:val="24"/>
                <w:szCs w:val="24"/>
              </w:rPr>
            </w:pPr>
            <w:r>
              <w:rPr>
                <w:rFonts w:hint="eastAsia"/>
                <w:sz w:val="24"/>
                <w:szCs w:val="24"/>
              </w:rPr>
              <w:t>信誉</w:t>
            </w: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7" w:type="dxa"/>
            <w:vAlign w:val="center"/>
          </w:tcPr>
          <w:p>
            <w:pPr>
              <w:spacing w:line="360" w:lineRule="auto"/>
              <w:jc w:val="center"/>
              <w:rPr>
                <w:sz w:val="24"/>
                <w:szCs w:val="24"/>
              </w:rPr>
            </w:pPr>
            <w:r>
              <w:rPr>
                <w:sz w:val="24"/>
                <w:szCs w:val="24"/>
              </w:rPr>
              <w:t>7</w:t>
            </w:r>
          </w:p>
        </w:tc>
        <w:tc>
          <w:tcPr>
            <w:tcW w:w="1669" w:type="dxa"/>
            <w:vAlign w:val="center"/>
          </w:tcPr>
          <w:p>
            <w:pPr>
              <w:spacing w:line="360" w:lineRule="auto"/>
              <w:jc w:val="center"/>
              <w:rPr>
                <w:sz w:val="24"/>
                <w:szCs w:val="24"/>
              </w:rPr>
            </w:pPr>
            <w:r>
              <w:rPr>
                <w:rFonts w:hint="eastAsia"/>
                <w:sz w:val="24"/>
                <w:szCs w:val="24"/>
              </w:rPr>
              <w:t>项目经理</w:t>
            </w: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7" w:type="dxa"/>
            <w:vAlign w:val="center"/>
          </w:tcPr>
          <w:p>
            <w:pPr>
              <w:spacing w:line="360" w:lineRule="auto"/>
              <w:jc w:val="center"/>
              <w:rPr>
                <w:sz w:val="24"/>
                <w:szCs w:val="24"/>
              </w:rPr>
            </w:pPr>
            <w:r>
              <w:rPr>
                <w:sz w:val="24"/>
                <w:szCs w:val="24"/>
              </w:rPr>
              <w:t>8</w:t>
            </w:r>
          </w:p>
        </w:tc>
        <w:tc>
          <w:tcPr>
            <w:tcW w:w="1669" w:type="dxa"/>
            <w:vAlign w:val="center"/>
          </w:tcPr>
          <w:p>
            <w:pPr>
              <w:spacing w:line="360" w:lineRule="auto"/>
              <w:jc w:val="center"/>
              <w:rPr>
                <w:sz w:val="24"/>
                <w:szCs w:val="24"/>
              </w:rPr>
            </w:pPr>
            <w:r>
              <w:rPr>
                <w:rFonts w:hint="eastAsia"/>
                <w:sz w:val="24"/>
                <w:szCs w:val="24"/>
              </w:rPr>
              <w:t>技术负责人</w:t>
            </w: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7" w:type="dxa"/>
            <w:vAlign w:val="center"/>
          </w:tcPr>
          <w:p>
            <w:pPr>
              <w:spacing w:line="360" w:lineRule="auto"/>
              <w:jc w:val="center"/>
              <w:rPr>
                <w:sz w:val="24"/>
                <w:szCs w:val="24"/>
              </w:rPr>
            </w:pPr>
            <w:r>
              <w:rPr>
                <w:sz w:val="24"/>
                <w:szCs w:val="24"/>
              </w:rPr>
              <w:t>9</w:t>
            </w:r>
          </w:p>
        </w:tc>
        <w:tc>
          <w:tcPr>
            <w:tcW w:w="1669" w:type="dxa"/>
            <w:vAlign w:val="center"/>
          </w:tcPr>
          <w:p>
            <w:pPr>
              <w:spacing w:line="360" w:lineRule="auto"/>
              <w:jc w:val="center"/>
              <w:rPr>
                <w:sz w:val="24"/>
                <w:szCs w:val="24"/>
              </w:rPr>
            </w:pPr>
            <w:r>
              <w:rPr>
                <w:rFonts w:hint="eastAsia"/>
                <w:sz w:val="24"/>
                <w:szCs w:val="24"/>
              </w:rPr>
              <w:t>其他要求</w:t>
            </w: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7" w:type="dxa"/>
            <w:vAlign w:val="center"/>
          </w:tcPr>
          <w:p>
            <w:pPr>
              <w:spacing w:line="360" w:lineRule="auto"/>
              <w:jc w:val="center"/>
              <w:rPr>
                <w:sz w:val="24"/>
                <w:szCs w:val="24"/>
              </w:rPr>
            </w:pPr>
            <w:r>
              <w:rPr>
                <w:sz w:val="24"/>
                <w:szCs w:val="24"/>
              </w:rPr>
              <w:t>10</w:t>
            </w:r>
          </w:p>
        </w:tc>
        <w:tc>
          <w:tcPr>
            <w:tcW w:w="1669" w:type="dxa"/>
            <w:vAlign w:val="center"/>
          </w:tcPr>
          <w:p>
            <w:pPr>
              <w:spacing w:line="360" w:lineRule="auto"/>
              <w:jc w:val="center"/>
              <w:rPr>
                <w:sz w:val="24"/>
                <w:szCs w:val="24"/>
              </w:rPr>
            </w:pPr>
            <w:r>
              <w:rPr>
                <w:rFonts w:hint="eastAsia"/>
                <w:sz w:val="24"/>
                <w:szCs w:val="24"/>
              </w:rPr>
              <w:t>联合体投标人</w:t>
            </w: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7" w:type="dxa"/>
            <w:vAlign w:val="center"/>
          </w:tcPr>
          <w:p>
            <w:pPr>
              <w:spacing w:line="360" w:lineRule="auto"/>
              <w:jc w:val="center"/>
              <w:rPr>
                <w:sz w:val="24"/>
                <w:szCs w:val="24"/>
              </w:rPr>
            </w:pPr>
            <w:r>
              <w:rPr>
                <w:sz w:val="24"/>
                <w:szCs w:val="24"/>
              </w:rPr>
              <w:t>11</w:t>
            </w:r>
          </w:p>
        </w:tc>
        <w:tc>
          <w:tcPr>
            <w:tcW w:w="1669" w:type="dxa"/>
            <w:vAlign w:val="center"/>
          </w:tcPr>
          <w:p>
            <w:pPr>
              <w:spacing w:line="360" w:lineRule="auto"/>
              <w:jc w:val="center"/>
              <w:rPr>
                <w:sz w:val="24"/>
                <w:szCs w:val="24"/>
              </w:rPr>
            </w:pPr>
            <w:r>
              <w:rPr>
                <w:rFonts w:hint="eastAsia"/>
                <w:sz w:val="24"/>
                <w:szCs w:val="24"/>
              </w:rPr>
              <w:t>投标要求</w:t>
            </w: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707" w:type="dxa"/>
            <w:vAlign w:val="center"/>
          </w:tcPr>
          <w:p>
            <w:pPr>
              <w:spacing w:line="360" w:lineRule="auto"/>
              <w:jc w:val="center"/>
              <w:rPr>
                <w:sz w:val="24"/>
                <w:szCs w:val="24"/>
              </w:rPr>
            </w:pPr>
            <w:r>
              <w:rPr>
                <w:sz w:val="24"/>
                <w:szCs w:val="24"/>
              </w:rPr>
              <w:t>12</w:t>
            </w:r>
          </w:p>
        </w:tc>
        <w:tc>
          <w:tcPr>
            <w:tcW w:w="1669" w:type="dxa"/>
            <w:vAlign w:val="center"/>
          </w:tcPr>
          <w:p>
            <w:pPr>
              <w:spacing w:line="360" w:lineRule="auto"/>
              <w:jc w:val="center"/>
              <w:rPr>
                <w:sz w:val="24"/>
                <w:szCs w:val="24"/>
              </w:rPr>
            </w:pPr>
            <w:r>
              <w:rPr>
                <w:rFonts w:hint="eastAsia"/>
                <w:sz w:val="24"/>
                <w:szCs w:val="24"/>
              </w:rPr>
              <w:t>……</w:t>
            </w: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c>
          <w:tcPr>
            <w:tcW w:w="788" w:type="dxa"/>
            <w:vAlign w:val="center"/>
          </w:tcPr>
          <w:p>
            <w:pPr>
              <w:spacing w:line="360" w:lineRule="auto"/>
              <w:jc w:val="center"/>
              <w:rPr>
                <w:sz w:val="24"/>
                <w:szCs w:val="24"/>
              </w:rPr>
            </w:pPr>
          </w:p>
        </w:tc>
      </w:tr>
    </w:tbl>
    <w:p>
      <w:pPr>
        <w:spacing w:line="360" w:lineRule="auto"/>
        <w:rPr>
          <w:sz w:val="24"/>
          <w:szCs w:val="24"/>
        </w:rPr>
      </w:pPr>
    </w:p>
    <w:p>
      <w:pPr>
        <w:spacing w:line="360" w:lineRule="auto"/>
        <w:rPr>
          <w:sz w:val="24"/>
          <w:szCs w:val="24"/>
        </w:rPr>
      </w:pPr>
      <w:r>
        <w:rPr>
          <w:rFonts w:hint="eastAsia"/>
          <w:sz w:val="24"/>
          <w:szCs w:val="24"/>
        </w:rPr>
        <w:t>评标委员会全体成员签名：</w:t>
      </w:r>
      <w:r>
        <w:rPr>
          <w:sz w:val="24"/>
          <w:szCs w:val="24"/>
        </w:rPr>
        <w:t xml:space="preserve">               </w:t>
      </w: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360" w:lineRule="auto"/>
        <w:rPr>
          <w:sz w:val="24"/>
          <w:szCs w:val="24"/>
        </w:rPr>
      </w:pPr>
      <w:r>
        <w:rPr>
          <w:sz w:val="24"/>
          <w:szCs w:val="24"/>
        </w:rPr>
        <w:t xml:space="preserve">    </w:t>
      </w:r>
    </w:p>
    <w:p>
      <w:pPr>
        <w:widowControl/>
        <w:autoSpaceDE/>
        <w:autoSpaceDN/>
        <w:spacing w:line="360" w:lineRule="auto"/>
        <w:rPr>
          <w:sz w:val="24"/>
          <w:szCs w:val="24"/>
        </w:rPr>
      </w:pPr>
      <w:r>
        <w:rPr>
          <w:sz w:val="24"/>
          <w:szCs w:val="24"/>
        </w:rPr>
        <w:br w:type="page"/>
      </w:r>
      <w:r>
        <w:rPr>
          <w:rFonts w:hint="eastAsia"/>
          <w:b/>
          <w:bCs/>
          <w:kern w:val="2"/>
          <w:sz w:val="24"/>
          <w:szCs w:val="24"/>
          <w:lang w:val="en-US"/>
        </w:rPr>
        <w:t>附表</w:t>
      </w:r>
      <w:r>
        <w:rPr>
          <w:b/>
          <w:bCs/>
          <w:kern w:val="2"/>
          <w:sz w:val="24"/>
          <w:szCs w:val="24"/>
          <w:lang w:val="en-US"/>
        </w:rPr>
        <w:t>A-4</w:t>
      </w:r>
      <w:r>
        <w:rPr>
          <w:rFonts w:hint="eastAsia"/>
          <w:b/>
          <w:bCs/>
          <w:kern w:val="2"/>
          <w:sz w:val="24"/>
          <w:szCs w:val="24"/>
          <w:lang w:val="en-US"/>
        </w:rPr>
        <w:t>：响应性评审记录表</w:t>
      </w:r>
    </w:p>
    <w:p>
      <w:pPr>
        <w:autoSpaceDE/>
        <w:autoSpaceDN/>
        <w:spacing w:line="360" w:lineRule="auto"/>
        <w:jc w:val="center"/>
        <w:rPr>
          <w:b/>
          <w:sz w:val="24"/>
          <w:szCs w:val="24"/>
        </w:rPr>
      </w:pPr>
      <w:r>
        <w:rPr>
          <w:rFonts w:hint="eastAsia"/>
          <w:b/>
          <w:sz w:val="24"/>
          <w:szCs w:val="24"/>
        </w:rPr>
        <w:t>响应性评审记录表</w:t>
      </w:r>
    </w:p>
    <w:p>
      <w:pPr>
        <w:autoSpaceDE/>
        <w:autoSpaceDN/>
        <w:spacing w:line="360" w:lineRule="auto"/>
        <w:rPr>
          <w:sz w:val="24"/>
          <w:szCs w:val="24"/>
        </w:rPr>
      </w:pPr>
      <w:r>
        <w:rPr>
          <w:rFonts w:hint="eastAsia"/>
          <w:color w:val="000000"/>
          <w:sz w:val="24"/>
          <w:szCs w:val="24"/>
        </w:rPr>
        <w:t>工程名称：</w:t>
      </w:r>
      <w:r>
        <w:rPr>
          <w:color w:val="000000"/>
          <w:sz w:val="24"/>
          <w:szCs w:val="24"/>
          <w:u w:val="single"/>
        </w:rPr>
        <w:t>(</w:t>
      </w:r>
      <w:r>
        <w:rPr>
          <w:rFonts w:hint="eastAsia"/>
          <w:color w:val="000000"/>
          <w:sz w:val="24"/>
          <w:szCs w:val="24"/>
          <w:u w:val="single"/>
        </w:rPr>
        <w:t>项目名称</w:t>
      </w:r>
      <w:r>
        <w:rPr>
          <w:color w:val="000000"/>
          <w:sz w:val="24"/>
          <w:szCs w:val="24"/>
          <w:u w:val="single"/>
        </w:rPr>
        <w:t xml:space="preserve">)  </w:t>
      </w:r>
      <w:r>
        <w:rPr>
          <w:color w:val="000000"/>
          <w:sz w:val="24"/>
          <w:szCs w:val="24"/>
          <w:u w:val="single"/>
          <w:lang w:val="en-US"/>
        </w:rPr>
        <w:t xml:space="preserve">            </w:t>
      </w:r>
      <w:r>
        <w:rPr>
          <w:rFonts w:hint="eastAsia"/>
          <w:color w:val="000000"/>
          <w:sz w:val="24"/>
          <w:szCs w:val="24"/>
          <w:lang w:val="en-US"/>
        </w:rPr>
        <w:t>标段</w:t>
      </w:r>
      <w:r>
        <w:rPr>
          <w:color w:val="000000"/>
          <w:sz w:val="24"/>
          <w:szCs w:val="24"/>
          <w:lang w:val="en-US"/>
        </w:rPr>
        <w:t xml:space="preserve">  </w:t>
      </w:r>
    </w:p>
    <w:tbl>
      <w:tblPr>
        <w:tblStyle w:val="3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7"/>
        <w:gridCol w:w="1651"/>
        <w:gridCol w:w="798"/>
        <w:gridCol w:w="798"/>
        <w:gridCol w:w="798"/>
        <w:gridCol w:w="798"/>
        <w:gridCol w:w="798"/>
        <w:gridCol w:w="798"/>
        <w:gridCol w:w="798"/>
        <w:gridCol w:w="798"/>
        <w:gridCol w:w="8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7" w:type="dxa"/>
            <w:vMerge w:val="restart"/>
            <w:vAlign w:val="center"/>
          </w:tcPr>
          <w:p>
            <w:pPr>
              <w:spacing w:line="360" w:lineRule="auto"/>
              <w:jc w:val="center"/>
              <w:rPr>
                <w:sz w:val="24"/>
                <w:szCs w:val="24"/>
              </w:rPr>
            </w:pPr>
            <w:r>
              <w:rPr>
                <w:rFonts w:hint="eastAsia"/>
                <w:sz w:val="24"/>
                <w:szCs w:val="24"/>
              </w:rPr>
              <w:t>序号</w:t>
            </w:r>
          </w:p>
        </w:tc>
        <w:tc>
          <w:tcPr>
            <w:tcW w:w="1651" w:type="dxa"/>
            <w:vMerge w:val="restart"/>
            <w:vAlign w:val="center"/>
          </w:tcPr>
          <w:p>
            <w:pPr>
              <w:spacing w:line="360" w:lineRule="auto"/>
              <w:jc w:val="center"/>
              <w:rPr>
                <w:sz w:val="24"/>
                <w:szCs w:val="24"/>
              </w:rPr>
            </w:pPr>
            <w:r>
              <w:rPr>
                <w:rFonts w:hint="eastAsia"/>
                <w:sz w:val="24"/>
                <w:szCs w:val="24"/>
              </w:rPr>
              <w:t>评审因素</w:t>
            </w:r>
          </w:p>
        </w:tc>
        <w:tc>
          <w:tcPr>
            <w:tcW w:w="7189" w:type="dxa"/>
            <w:gridSpan w:val="9"/>
            <w:vAlign w:val="center"/>
          </w:tcPr>
          <w:p>
            <w:pPr>
              <w:spacing w:line="360" w:lineRule="auto"/>
              <w:jc w:val="center"/>
              <w:rPr>
                <w:sz w:val="24"/>
                <w:szCs w:val="24"/>
              </w:rPr>
            </w:pPr>
            <w:r>
              <w:rPr>
                <w:rFonts w:hint="eastAsia"/>
                <w:sz w:val="24"/>
                <w:szCs w:val="24"/>
              </w:rPr>
              <w:t>投标人名称及评审意见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7" w:type="dxa"/>
            <w:vMerge w:val="continue"/>
            <w:vAlign w:val="center"/>
          </w:tcPr>
          <w:p>
            <w:pPr>
              <w:spacing w:line="360" w:lineRule="auto"/>
              <w:rPr>
                <w:sz w:val="24"/>
                <w:szCs w:val="24"/>
              </w:rPr>
            </w:pPr>
          </w:p>
        </w:tc>
        <w:tc>
          <w:tcPr>
            <w:tcW w:w="1651" w:type="dxa"/>
            <w:vMerge w:val="continue"/>
            <w:vAlign w:val="center"/>
          </w:tcPr>
          <w:p>
            <w:pPr>
              <w:spacing w:line="360" w:lineRule="auto"/>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805"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7" w:type="dxa"/>
            <w:vAlign w:val="center"/>
          </w:tcPr>
          <w:p>
            <w:pPr>
              <w:spacing w:line="360" w:lineRule="auto"/>
              <w:jc w:val="center"/>
              <w:rPr>
                <w:sz w:val="24"/>
                <w:szCs w:val="24"/>
              </w:rPr>
            </w:pPr>
            <w:r>
              <w:rPr>
                <w:sz w:val="24"/>
                <w:szCs w:val="24"/>
              </w:rPr>
              <w:t>1</w:t>
            </w:r>
          </w:p>
        </w:tc>
        <w:tc>
          <w:tcPr>
            <w:tcW w:w="1651" w:type="dxa"/>
            <w:vAlign w:val="center"/>
          </w:tcPr>
          <w:p>
            <w:pPr>
              <w:spacing w:line="360" w:lineRule="auto"/>
              <w:jc w:val="center"/>
              <w:rPr>
                <w:sz w:val="24"/>
                <w:szCs w:val="24"/>
              </w:rPr>
            </w:pPr>
            <w:r>
              <w:rPr>
                <w:rFonts w:hint="eastAsia"/>
                <w:sz w:val="24"/>
                <w:szCs w:val="24"/>
              </w:rPr>
              <w:t>投标内容</w:t>
            </w: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805"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7" w:type="dxa"/>
            <w:vAlign w:val="center"/>
          </w:tcPr>
          <w:p>
            <w:pPr>
              <w:spacing w:line="360" w:lineRule="auto"/>
              <w:jc w:val="center"/>
              <w:rPr>
                <w:sz w:val="24"/>
                <w:szCs w:val="24"/>
              </w:rPr>
            </w:pPr>
            <w:r>
              <w:rPr>
                <w:sz w:val="24"/>
                <w:szCs w:val="24"/>
              </w:rPr>
              <w:t>2</w:t>
            </w:r>
          </w:p>
        </w:tc>
        <w:tc>
          <w:tcPr>
            <w:tcW w:w="1651" w:type="dxa"/>
            <w:vAlign w:val="center"/>
          </w:tcPr>
          <w:p>
            <w:pPr>
              <w:spacing w:line="360" w:lineRule="auto"/>
              <w:jc w:val="center"/>
              <w:rPr>
                <w:sz w:val="24"/>
                <w:szCs w:val="24"/>
              </w:rPr>
            </w:pPr>
            <w:r>
              <w:rPr>
                <w:rFonts w:hint="eastAsia"/>
                <w:sz w:val="24"/>
                <w:szCs w:val="24"/>
              </w:rPr>
              <w:t>工期</w:t>
            </w: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805"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7" w:type="dxa"/>
            <w:vAlign w:val="center"/>
          </w:tcPr>
          <w:p>
            <w:pPr>
              <w:spacing w:line="360" w:lineRule="auto"/>
              <w:jc w:val="center"/>
              <w:rPr>
                <w:sz w:val="24"/>
                <w:szCs w:val="24"/>
              </w:rPr>
            </w:pPr>
            <w:r>
              <w:rPr>
                <w:sz w:val="24"/>
                <w:szCs w:val="24"/>
              </w:rPr>
              <w:t>3</w:t>
            </w:r>
          </w:p>
        </w:tc>
        <w:tc>
          <w:tcPr>
            <w:tcW w:w="1651" w:type="dxa"/>
            <w:vAlign w:val="center"/>
          </w:tcPr>
          <w:p>
            <w:pPr>
              <w:spacing w:line="360" w:lineRule="auto"/>
              <w:jc w:val="center"/>
              <w:rPr>
                <w:sz w:val="24"/>
                <w:szCs w:val="24"/>
              </w:rPr>
            </w:pPr>
            <w:r>
              <w:rPr>
                <w:rFonts w:hint="eastAsia"/>
                <w:sz w:val="24"/>
                <w:szCs w:val="24"/>
              </w:rPr>
              <w:t>工程质量</w:t>
            </w: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805"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7" w:type="dxa"/>
            <w:vAlign w:val="center"/>
          </w:tcPr>
          <w:p>
            <w:pPr>
              <w:spacing w:line="360" w:lineRule="auto"/>
              <w:jc w:val="center"/>
              <w:rPr>
                <w:sz w:val="24"/>
                <w:szCs w:val="24"/>
              </w:rPr>
            </w:pPr>
            <w:r>
              <w:rPr>
                <w:sz w:val="24"/>
                <w:szCs w:val="24"/>
              </w:rPr>
              <w:t>4</w:t>
            </w:r>
          </w:p>
        </w:tc>
        <w:tc>
          <w:tcPr>
            <w:tcW w:w="1651" w:type="dxa"/>
            <w:vAlign w:val="center"/>
          </w:tcPr>
          <w:p>
            <w:pPr>
              <w:spacing w:line="360" w:lineRule="auto"/>
              <w:jc w:val="center"/>
              <w:rPr>
                <w:sz w:val="24"/>
                <w:szCs w:val="24"/>
              </w:rPr>
            </w:pPr>
            <w:r>
              <w:rPr>
                <w:rFonts w:hint="eastAsia"/>
                <w:sz w:val="24"/>
                <w:szCs w:val="24"/>
              </w:rPr>
              <w:t>投标有效期</w:t>
            </w: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805"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7" w:type="dxa"/>
            <w:vAlign w:val="center"/>
          </w:tcPr>
          <w:p>
            <w:pPr>
              <w:spacing w:line="360" w:lineRule="auto"/>
              <w:jc w:val="center"/>
              <w:rPr>
                <w:sz w:val="24"/>
                <w:szCs w:val="24"/>
              </w:rPr>
            </w:pPr>
            <w:r>
              <w:rPr>
                <w:sz w:val="24"/>
                <w:szCs w:val="24"/>
              </w:rPr>
              <w:t>5</w:t>
            </w:r>
          </w:p>
        </w:tc>
        <w:tc>
          <w:tcPr>
            <w:tcW w:w="1651" w:type="dxa"/>
            <w:vAlign w:val="center"/>
          </w:tcPr>
          <w:p>
            <w:pPr>
              <w:spacing w:line="360" w:lineRule="auto"/>
              <w:jc w:val="center"/>
              <w:rPr>
                <w:sz w:val="24"/>
                <w:szCs w:val="24"/>
              </w:rPr>
            </w:pPr>
            <w:r>
              <w:rPr>
                <w:rFonts w:hint="eastAsia"/>
                <w:sz w:val="24"/>
                <w:szCs w:val="24"/>
              </w:rPr>
              <w:t>投标保证金</w:t>
            </w: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805"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7" w:type="dxa"/>
            <w:vAlign w:val="center"/>
          </w:tcPr>
          <w:p>
            <w:pPr>
              <w:spacing w:line="360" w:lineRule="auto"/>
              <w:jc w:val="center"/>
              <w:rPr>
                <w:sz w:val="24"/>
                <w:szCs w:val="24"/>
              </w:rPr>
            </w:pPr>
            <w:r>
              <w:rPr>
                <w:sz w:val="24"/>
                <w:szCs w:val="24"/>
              </w:rPr>
              <w:t>6</w:t>
            </w:r>
          </w:p>
        </w:tc>
        <w:tc>
          <w:tcPr>
            <w:tcW w:w="1651" w:type="dxa"/>
            <w:vAlign w:val="center"/>
          </w:tcPr>
          <w:p>
            <w:pPr>
              <w:spacing w:line="360" w:lineRule="auto"/>
              <w:jc w:val="center"/>
              <w:rPr>
                <w:sz w:val="24"/>
                <w:szCs w:val="24"/>
              </w:rPr>
            </w:pPr>
            <w:r>
              <w:rPr>
                <w:rFonts w:hint="eastAsia"/>
                <w:sz w:val="24"/>
                <w:szCs w:val="24"/>
              </w:rPr>
              <w:t>权利义务</w:t>
            </w: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805"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7" w:type="dxa"/>
            <w:vAlign w:val="center"/>
          </w:tcPr>
          <w:p>
            <w:pPr>
              <w:spacing w:line="360" w:lineRule="auto"/>
              <w:jc w:val="center"/>
              <w:rPr>
                <w:sz w:val="24"/>
                <w:szCs w:val="24"/>
              </w:rPr>
            </w:pPr>
            <w:r>
              <w:rPr>
                <w:sz w:val="24"/>
                <w:szCs w:val="24"/>
              </w:rPr>
              <w:t>7</w:t>
            </w:r>
          </w:p>
        </w:tc>
        <w:tc>
          <w:tcPr>
            <w:tcW w:w="1651" w:type="dxa"/>
            <w:vAlign w:val="center"/>
          </w:tcPr>
          <w:p>
            <w:pPr>
              <w:spacing w:line="360" w:lineRule="auto"/>
              <w:jc w:val="center"/>
              <w:rPr>
                <w:sz w:val="24"/>
                <w:szCs w:val="24"/>
              </w:rPr>
            </w:pPr>
            <w:r>
              <w:rPr>
                <w:rFonts w:hint="eastAsia"/>
                <w:sz w:val="24"/>
                <w:szCs w:val="24"/>
              </w:rPr>
              <w:t>已标价工程量清单</w:t>
            </w: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805"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7" w:type="dxa"/>
            <w:vAlign w:val="center"/>
          </w:tcPr>
          <w:p>
            <w:pPr>
              <w:spacing w:line="360" w:lineRule="auto"/>
              <w:jc w:val="center"/>
              <w:rPr>
                <w:sz w:val="24"/>
                <w:szCs w:val="24"/>
              </w:rPr>
            </w:pPr>
            <w:r>
              <w:rPr>
                <w:sz w:val="24"/>
                <w:szCs w:val="24"/>
              </w:rPr>
              <w:t>8</w:t>
            </w:r>
          </w:p>
        </w:tc>
        <w:tc>
          <w:tcPr>
            <w:tcW w:w="1651" w:type="dxa"/>
            <w:vAlign w:val="center"/>
          </w:tcPr>
          <w:p>
            <w:pPr>
              <w:spacing w:line="360" w:lineRule="auto"/>
              <w:jc w:val="center"/>
              <w:rPr>
                <w:sz w:val="24"/>
                <w:szCs w:val="24"/>
              </w:rPr>
            </w:pPr>
            <w:r>
              <w:rPr>
                <w:rFonts w:hint="eastAsia"/>
                <w:sz w:val="24"/>
                <w:szCs w:val="24"/>
              </w:rPr>
              <w:t>技术标准和要求</w:t>
            </w: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805"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7" w:type="dxa"/>
            <w:vAlign w:val="center"/>
          </w:tcPr>
          <w:p>
            <w:pPr>
              <w:spacing w:line="360" w:lineRule="auto"/>
              <w:jc w:val="center"/>
              <w:rPr>
                <w:sz w:val="24"/>
                <w:szCs w:val="24"/>
              </w:rPr>
            </w:pPr>
            <w:r>
              <w:rPr>
                <w:sz w:val="24"/>
                <w:szCs w:val="24"/>
              </w:rPr>
              <w:t>9</w:t>
            </w:r>
          </w:p>
        </w:tc>
        <w:tc>
          <w:tcPr>
            <w:tcW w:w="1651" w:type="dxa"/>
          </w:tcPr>
          <w:p>
            <w:pPr>
              <w:spacing w:line="360" w:lineRule="auto"/>
              <w:jc w:val="center"/>
              <w:rPr>
                <w:sz w:val="24"/>
                <w:szCs w:val="24"/>
              </w:rPr>
            </w:pPr>
            <w:r>
              <w:rPr>
                <w:rFonts w:hint="eastAsia"/>
                <w:sz w:val="24"/>
                <w:szCs w:val="24"/>
              </w:rPr>
              <w:t>分包计划</w:t>
            </w: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805"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7" w:type="dxa"/>
            <w:vAlign w:val="center"/>
          </w:tcPr>
          <w:p>
            <w:pPr>
              <w:spacing w:line="360" w:lineRule="auto"/>
              <w:jc w:val="center"/>
              <w:rPr>
                <w:sz w:val="24"/>
                <w:szCs w:val="24"/>
              </w:rPr>
            </w:pPr>
            <w:r>
              <w:rPr>
                <w:sz w:val="24"/>
                <w:szCs w:val="24"/>
              </w:rPr>
              <w:t>10</w:t>
            </w:r>
          </w:p>
        </w:tc>
        <w:tc>
          <w:tcPr>
            <w:tcW w:w="1651" w:type="dxa"/>
          </w:tcPr>
          <w:p>
            <w:pPr>
              <w:spacing w:line="360" w:lineRule="auto"/>
              <w:jc w:val="center"/>
              <w:rPr>
                <w:sz w:val="24"/>
                <w:szCs w:val="24"/>
              </w:rPr>
            </w:pPr>
            <w:r>
              <w:rPr>
                <w:rFonts w:hint="eastAsia"/>
                <w:sz w:val="24"/>
                <w:szCs w:val="24"/>
              </w:rPr>
              <w:t>最高限价</w:t>
            </w: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805"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7" w:type="dxa"/>
            <w:vAlign w:val="center"/>
          </w:tcPr>
          <w:p>
            <w:pPr>
              <w:spacing w:line="360" w:lineRule="auto"/>
              <w:jc w:val="center"/>
              <w:rPr>
                <w:sz w:val="24"/>
                <w:szCs w:val="24"/>
              </w:rPr>
            </w:pPr>
            <w:r>
              <w:rPr>
                <w:sz w:val="24"/>
                <w:szCs w:val="24"/>
              </w:rPr>
              <w:t>11</w:t>
            </w:r>
          </w:p>
        </w:tc>
        <w:tc>
          <w:tcPr>
            <w:tcW w:w="1651" w:type="dxa"/>
            <w:vAlign w:val="center"/>
          </w:tcPr>
          <w:p>
            <w:pPr>
              <w:spacing w:line="360" w:lineRule="auto"/>
              <w:jc w:val="center"/>
              <w:rPr>
                <w:sz w:val="24"/>
                <w:szCs w:val="24"/>
              </w:rPr>
            </w:pPr>
            <w:r>
              <w:rPr>
                <w:rFonts w:hint="eastAsia"/>
                <w:sz w:val="24"/>
                <w:szCs w:val="24"/>
              </w:rPr>
              <w:t>……</w:t>
            </w: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798" w:type="dxa"/>
            <w:vAlign w:val="center"/>
          </w:tcPr>
          <w:p>
            <w:pPr>
              <w:spacing w:line="360" w:lineRule="auto"/>
              <w:jc w:val="center"/>
              <w:rPr>
                <w:sz w:val="24"/>
                <w:szCs w:val="24"/>
              </w:rPr>
            </w:pPr>
          </w:p>
        </w:tc>
        <w:tc>
          <w:tcPr>
            <w:tcW w:w="805" w:type="dxa"/>
            <w:vAlign w:val="center"/>
          </w:tcPr>
          <w:p>
            <w:pPr>
              <w:spacing w:line="360" w:lineRule="auto"/>
              <w:jc w:val="center"/>
              <w:rPr>
                <w:sz w:val="24"/>
                <w:szCs w:val="24"/>
              </w:rPr>
            </w:pPr>
          </w:p>
        </w:tc>
      </w:tr>
    </w:tbl>
    <w:p>
      <w:pPr>
        <w:spacing w:line="360" w:lineRule="auto"/>
        <w:rPr>
          <w:sz w:val="24"/>
          <w:szCs w:val="24"/>
        </w:rPr>
      </w:pPr>
    </w:p>
    <w:p>
      <w:pPr>
        <w:spacing w:line="360" w:lineRule="auto"/>
        <w:rPr>
          <w:sz w:val="24"/>
          <w:szCs w:val="24"/>
        </w:rPr>
      </w:pPr>
      <w:r>
        <w:rPr>
          <w:rFonts w:hint="eastAsia"/>
          <w:sz w:val="24"/>
          <w:szCs w:val="24"/>
        </w:rPr>
        <w:t>评标委员会全体成员签名：</w:t>
      </w:r>
      <w:r>
        <w:rPr>
          <w:sz w:val="24"/>
          <w:szCs w:val="24"/>
        </w:rPr>
        <w:t xml:space="preserve">                  </w:t>
      </w: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360" w:lineRule="auto"/>
        <w:rPr>
          <w:b/>
          <w:sz w:val="24"/>
          <w:szCs w:val="24"/>
        </w:rPr>
      </w:pPr>
    </w:p>
    <w:p>
      <w:pPr>
        <w:widowControl/>
        <w:autoSpaceDE/>
        <w:autoSpaceDN/>
        <w:spacing w:line="360" w:lineRule="auto"/>
        <w:rPr>
          <w:sz w:val="24"/>
          <w:szCs w:val="24"/>
        </w:rPr>
      </w:pPr>
      <w:r>
        <w:rPr>
          <w:b/>
          <w:sz w:val="24"/>
          <w:szCs w:val="24"/>
        </w:rPr>
        <w:br w:type="page"/>
      </w:r>
      <w:r>
        <w:rPr>
          <w:rFonts w:hint="eastAsia"/>
          <w:b/>
          <w:bCs/>
          <w:kern w:val="2"/>
          <w:sz w:val="24"/>
          <w:szCs w:val="24"/>
          <w:lang w:val="en-US"/>
        </w:rPr>
        <w:t>附表</w:t>
      </w:r>
      <w:r>
        <w:rPr>
          <w:b/>
          <w:bCs/>
          <w:kern w:val="2"/>
          <w:sz w:val="24"/>
          <w:szCs w:val="24"/>
          <w:lang w:val="en-US"/>
        </w:rPr>
        <w:t>A-5</w:t>
      </w:r>
      <w:r>
        <w:rPr>
          <w:rFonts w:hint="eastAsia"/>
          <w:b/>
          <w:bCs/>
          <w:kern w:val="2"/>
          <w:sz w:val="24"/>
          <w:szCs w:val="24"/>
          <w:lang w:val="en-US"/>
        </w:rPr>
        <w:t>：施工组织设计评审记录表</w:t>
      </w:r>
    </w:p>
    <w:p>
      <w:pPr>
        <w:autoSpaceDE/>
        <w:autoSpaceDN/>
        <w:spacing w:line="360" w:lineRule="auto"/>
        <w:jc w:val="center"/>
        <w:rPr>
          <w:b/>
          <w:sz w:val="24"/>
          <w:szCs w:val="24"/>
        </w:rPr>
      </w:pPr>
      <w:r>
        <w:rPr>
          <w:rFonts w:hint="eastAsia"/>
          <w:b/>
          <w:sz w:val="24"/>
          <w:szCs w:val="24"/>
        </w:rPr>
        <w:t>施工组织设计评审记录表</w:t>
      </w:r>
    </w:p>
    <w:p>
      <w:pPr>
        <w:autoSpaceDE/>
        <w:autoSpaceDN/>
        <w:spacing w:line="360" w:lineRule="auto"/>
        <w:rPr>
          <w:sz w:val="24"/>
          <w:szCs w:val="24"/>
        </w:rPr>
      </w:pPr>
      <w:r>
        <w:rPr>
          <w:rFonts w:hint="eastAsia"/>
          <w:color w:val="000000"/>
          <w:sz w:val="24"/>
          <w:szCs w:val="24"/>
        </w:rPr>
        <w:t>工程名称：</w:t>
      </w:r>
      <w:r>
        <w:rPr>
          <w:color w:val="000000"/>
          <w:sz w:val="24"/>
          <w:szCs w:val="24"/>
          <w:u w:val="single"/>
        </w:rPr>
        <w:t>(</w:t>
      </w:r>
      <w:r>
        <w:rPr>
          <w:rFonts w:hint="eastAsia"/>
          <w:color w:val="000000"/>
          <w:sz w:val="24"/>
          <w:szCs w:val="24"/>
          <w:u w:val="single"/>
        </w:rPr>
        <w:t>项目名称</w:t>
      </w:r>
      <w:r>
        <w:rPr>
          <w:color w:val="000000"/>
          <w:sz w:val="24"/>
          <w:szCs w:val="24"/>
          <w:u w:val="single"/>
        </w:rPr>
        <w:t xml:space="preserve">)  </w:t>
      </w:r>
      <w:r>
        <w:rPr>
          <w:color w:val="000000"/>
          <w:sz w:val="24"/>
          <w:szCs w:val="24"/>
          <w:u w:val="single"/>
          <w:lang w:val="en-US"/>
        </w:rPr>
        <w:t xml:space="preserve">          </w:t>
      </w:r>
      <w:r>
        <w:rPr>
          <w:rFonts w:hint="eastAsia"/>
          <w:color w:val="000000"/>
          <w:sz w:val="24"/>
          <w:szCs w:val="24"/>
          <w:lang w:val="en-US"/>
        </w:rPr>
        <w:t>标段</w:t>
      </w:r>
      <w:r>
        <w:rPr>
          <w:color w:val="000000"/>
          <w:sz w:val="24"/>
          <w:szCs w:val="24"/>
          <w:lang w:val="en-US"/>
        </w:rPr>
        <w:t xml:space="preserve">  </w:t>
      </w:r>
    </w:p>
    <w:tbl>
      <w:tblPr>
        <w:tblStyle w:val="3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4"/>
        <w:gridCol w:w="1643"/>
        <w:gridCol w:w="740"/>
        <w:gridCol w:w="810"/>
        <w:gridCol w:w="810"/>
        <w:gridCol w:w="810"/>
        <w:gridCol w:w="810"/>
        <w:gridCol w:w="810"/>
        <w:gridCol w:w="810"/>
        <w:gridCol w:w="810"/>
        <w:gridCol w:w="8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4" w:type="dxa"/>
            <w:vMerge w:val="restart"/>
            <w:vAlign w:val="center"/>
          </w:tcPr>
          <w:p>
            <w:pPr>
              <w:spacing w:line="360" w:lineRule="auto"/>
              <w:jc w:val="center"/>
              <w:rPr>
                <w:sz w:val="24"/>
                <w:szCs w:val="24"/>
              </w:rPr>
            </w:pPr>
            <w:r>
              <w:rPr>
                <w:rFonts w:hint="eastAsia"/>
                <w:sz w:val="24"/>
                <w:szCs w:val="24"/>
              </w:rPr>
              <w:t>序号</w:t>
            </w:r>
          </w:p>
        </w:tc>
        <w:tc>
          <w:tcPr>
            <w:tcW w:w="1643" w:type="dxa"/>
            <w:vMerge w:val="restart"/>
            <w:vAlign w:val="center"/>
          </w:tcPr>
          <w:p>
            <w:pPr>
              <w:spacing w:line="360" w:lineRule="auto"/>
              <w:jc w:val="center"/>
              <w:rPr>
                <w:sz w:val="24"/>
                <w:szCs w:val="24"/>
              </w:rPr>
            </w:pPr>
            <w:r>
              <w:rPr>
                <w:rFonts w:hint="eastAsia"/>
                <w:sz w:val="24"/>
                <w:szCs w:val="24"/>
              </w:rPr>
              <w:t>评分项目</w:t>
            </w:r>
          </w:p>
        </w:tc>
        <w:tc>
          <w:tcPr>
            <w:tcW w:w="740" w:type="dxa"/>
            <w:vMerge w:val="restart"/>
            <w:vAlign w:val="center"/>
          </w:tcPr>
          <w:p>
            <w:pPr>
              <w:spacing w:line="360" w:lineRule="auto"/>
              <w:jc w:val="center"/>
              <w:rPr>
                <w:sz w:val="24"/>
                <w:szCs w:val="24"/>
              </w:rPr>
            </w:pPr>
            <w:r>
              <w:rPr>
                <w:rFonts w:hint="eastAsia"/>
                <w:sz w:val="24"/>
                <w:szCs w:val="24"/>
              </w:rPr>
              <w:t>标准分</w:t>
            </w:r>
          </w:p>
        </w:tc>
        <w:tc>
          <w:tcPr>
            <w:tcW w:w="6480" w:type="dxa"/>
            <w:gridSpan w:val="8"/>
            <w:vAlign w:val="center"/>
          </w:tcPr>
          <w:p>
            <w:pPr>
              <w:spacing w:line="360" w:lineRule="auto"/>
              <w:jc w:val="center"/>
              <w:rPr>
                <w:sz w:val="24"/>
                <w:szCs w:val="24"/>
              </w:rPr>
            </w:pPr>
            <w:r>
              <w:rPr>
                <w:rFonts w:hint="eastAsia"/>
                <w:sz w:val="24"/>
                <w:szCs w:val="24"/>
              </w:rPr>
              <w:t>投标人名称代码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4" w:type="dxa"/>
            <w:vMerge w:val="continue"/>
            <w:vAlign w:val="center"/>
          </w:tcPr>
          <w:p>
            <w:pPr>
              <w:spacing w:line="360" w:lineRule="auto"/>
              <w:rPr>
                <w:sz w:val="24"/>
                <w:szCs w:val="24"/>
              </w:rPr>
            </w:pPr>
          </w:p>
        </w:tc>
        <w:tc>
          <w:tcPr>
            <w:tcW w:w="1643" w:type="dxa"/>
            <w:vMerge w:val="continue"/>
            <w:vAlign w:val="center"/>
          </w:tcPr>
          <w:p>
            <w:pPr>
              <w:spacing w:line="360" w:lineRule="auto"/>
              <w:rPr>
                <w:sz w:val="24"/>
                <w:szCs w:val="24"/>
              </w:rPr>
            </w:pPr>
          </w:p>
        </w:tc>
        <w:tc>
          <w:tcPr>
            <w:tcW w:w="740" w:type="dxa"/>
            <w:vMerge w:val="continue"/>
            <w:vAlign w:val="center"/>
          </w:tcPr>
          <w:p>
            <w:pPr>
              <w:spacing w:line="360" w:lineRule="auto"/>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4" w:type="dxa"/>
            <w:vAlign w:val="center"/>
          </w:tcPr>
          <w:p>
            <w:pPr>
              <w:spacing w:line="360" w:lineRule="auto"/>
              <w:jc w:val="center"/>
              <w:rPr>
                <w:sz w:val="24"/>
                <w:szCs w:val="24"/>
              </w:rPr>
            </w:pPr>
            <w:r>
              <w:rPr>
                <w:sz w:val="24"/>
                <w:szCs w:val="24"/>
              </w:rPr>
              <w:t>1</w:t>
            </w:r>
          </w:p>
        </w:tc>
        <w:tc>
          <w:tcPr>
            <w:tcW w:w="1643" w:type="dxa"/>
            <w:vAlign w:val="center"/>
          </w:tcPr>
          <w:p>
            <w:pPr>
              <w:spacing w:line="360" w:lineRule="auto"/>
              <w:jc w:val="center"/>
              <w:rPr>
                <w:sz w:val="24"/>
                <w:szCs w:val="24"/>
              </w:rPr>
            </w:pPr>
            <w:r>
              <w:rPr>
                <w:rFonts w:hint="eastAsia"/>
                <w:sz w:val="24"/>
                <w:szCs w:val="24"/>
              </w:rPr>
              <w:t>内容完整性和编制水平</w:t>
            </w:r>
          </w:p>
        </w:tc>
        <w:tc>
          <w:tcPr>
            <w:tcW w:w="74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4" w:type="dxa"/>
            <w:vAlign w:val="center"/>
          </w:tcPr>
          <w:p>
            <w:pPr>
              <w:spacing w:line="360" w:lineRule="auto"/>
              <w:jc w:val="center"/>
              <w:rPr>
                <w:sz w:val="24"/>
                <w:szCs w:val="24"/>
              </w:rPr>
            </w:pPr>
            <w:r>
              <w:rPr>
                <w:sz w:val="24"/>
                <w:szCs w:val="24"/>
              </w:rPr>
              <w:t>2</w:t>
            </w:r>
          </w:p>
        </w:tc>
        <w:tc>
          <w:tcPr>
            <w:tcW w:w="1643" w:type="dxa"/>
            <w:vAlign w:val="center"/>
          </w:tcPr>
          <w:p>
            <w:pPr>
              <w:spacing w:line="360" w:lineRule="auto"/>
              <w:jc w:val="center"/>
              <w:rPr>
                <w:sz w:val="24"/>
                <w:szCs w:val="24"/>
              </w:rPr>
            </w:pPr>
            <w:r>
              <w:rPr>
                <w:rFonts w:hint="eastAsia"/>
                <w:sz w:val="24"/>
                <w:szCs w:val="24"/>
              </w:rPr>
              <w:t>施工方案与技术措施</w:t>
            </w:r>
          </w:p>
        </w:tc>
        <w:tc>
          <w:tcPr>
            <w:tcW w:w="74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4" w:type="dxa"/>
            <w:vAlign w:val="center"/>
          </w:tcPr>
          <w:p>
            <w:pPr>
              <w:spacing w:line="360" w:lineRule="auto"/>
              <w:jc w:val="center"/>
              <w:rPr>
                <w:sz w:val="24"/>
                <w:szCs w:val="24"/>
              </w:rPr>
            </w:pPr>
            <w:r>
              <w:rPr>
                <w:sz w:val="24"/>
                <w:szCs w:val="24"/>
              </w:rPr>
              <w:t>3</w:t>
            </w:r>
          </w:p>
        </w:tc>
        <w:tc>
          <w:tcPr>
            <w:tcW w:w="1643" w:type="dxa"/>
            <w:vAlign w:val="center"/>
          </w:tcPr>
          <w:p>
            <w:pPr>
              <w:spacing w:line="360" w:lineRule="auto"/>
              <w:jc w:val="center"/>
              <w:rPr>
                <w:sz w:val="24"/>
                <w:szCs w:val="24"/>
              </w:rPr>
            </w:pPr>
            <w:r>
              <w:rPr>
                <w:rFonts w:hint="eastAsia"/>
                <w:sz w:val="24"/>
                <w:szCs w:val="24"/>
              </w:rPr>
              <w:t>质量管理体系与措施</w:t>
            </w:r>
          </w:p>
        </w:tc>
        <w:tc>
          <w:tcPr>
            <w:tcW w:w="74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4" w:type="dxa"/>
            <w:vAlign w:val="center"/>
          </w:tcPr>
          <w:p>
            <w:pPr>
              <w:spacing w:line="360" w:lineRule="auto"/>
              <w:jc w:val="center"/>
              <w:rPr>
                <w:sz w:val="24"/>
                <w:szCs w:val="24"/>
              </w:rPr>
            </w:pPr>
            <w:r>
              <w:rPr>
                <w:sz w:val="24"/>
                <w:szCs w:val="24"/>
              </w:rPr>
              <w:t>4</w:t>
            </w:r>
          </w:p>
        </w:tc>
        <w:tc>
          <w:tcPr>
            <w:tcW w:w="1643" w:type="dxa"/>
            <w:vAlign w:val="center"/>
          </w:tcPr>
          <w:p>
            <w:pPr>
              <w:spacing w:line="360" w:lineRule="auto"/>
              <w:jc w:val="center"/>
              <w:rPr>
                <w:sz w:val="24"/>
                <w:szCs w:val="24"/>
              </w:rPr>
            </w:pPr>
            <w:r>
              <w:rPr>
                <w:rFonts w:hint="eastAsia"/>
                <w:sz w:val="24"/>
                <w:szCs w:val="24"/>
              </w:rPr>
              <w:t>安全管理体系与措施</w:t>
            </w:r>
          </w:p>
        </w:tc>
        <w:tc>
          <w:tcPr>
            <w:tcW w:w="74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4" w:type="dxa"/>
            <w:vAlign w:val="center"/>
          </w:tcPr>
          <w:p>
            <w:pPr>
              <w:spacing w:line="360" w:lineRule="auto"/>
              <w:jc w:val="center"/>
              <w:rPr>
                <w:sz w:val="24"/>
                <w:szCs w:val="24"/>
              </w:rPr>
            </w:pPr>
            <w:r>
              <w:rPr>
                <w:sz w:val="24"/>
                <w:szCs w:val="24"/>
              </w:rPr>
              <w:t>5</w:t>
            </w:r>
          </w:p>
        </w:tc>
        <w:tc>
          <w:tcPr>
            <w:tcW w:w="1643" w:type="dxa"/>
            <w:vAlign w:val="center"/>
          </w:tcPr>
          <w:p>
            <w:pPr>
              <w:spacing w:line="360" w:lineRule="auto"/>
              <w:jc w:val="center"/>
              <w:rPr>
                <w:sz w:val="24"/>
                <w:szCs w:val="24"/>
              </w:rPr>
            </w:pPr>
            <w:r>
              <w:rPr>
                <w:rFonts w:hint="eastAsia"/>
                <w:sz w:val="24"/>
                <w:szCs w:val="24"/>
              </w:rPr>
              <w:t>环境保护管理体系与措施</w:t>
            </w:r>
          </w:p>
        </w:tc>
        <w:tc>
          <w:tcPr>
            <w:tcW w:w="74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4" w:type="dxa"/>
            <w:vAlign w:val="center"/>
          </w:tcPr>
          <w:p>
            <w:pPr>
              <w:spacing w:line="360" w:lineRule="auto"/>
              <w:jc w:val="center"/>
              <w:rPr>
                <w:sz w:val="24"/>
                <w:szCs w:val="24"/>
              </w:rPr>
            </w:pPr>
            <w:r>
              <w:rPr>
                <w:sz w:val="24"/>
                <w:szCs w:val="24"/>
              </w:rPr>
              <w:t>6</w:t>
            </w:r>
          </w:p>
        </w:tc>
        <w:tc>
          <w:tcPr>
            <w:tcW w:w="1643" w:type="dxa"/>
            <w:vAlign w:val="center"/>
          </w:tcPr>
          <w:p>
            <w:pPr>
              <w:spacing w:line="360" w:lineRule="auto"/>
              <w:jc w:val="center"/>
              <w:rPr>
                <w:sz w:val="24"/>
                <w:szCs w:val="24"/>
              </w:rPr>
            </w:pPr>
            <w:r>
              <w:rPr>
                <w:rFonts w:hint="eastAsia"/>
                <w:sz w:val="24"/>
                <w:szCs w:val="24"/>
              </w:rPr>
              <w:t>工程进度计划与措施</w:t>
            </w:r>
          </w:p>
        </w:tc>
        <w:tc>
          <w:tcPr>
            <w:tcW w:w="74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4" w:type="dxa"/>
            <w:vAlign w:val="center"/>
          </w:tcPr>
          <w:p>
            <w:pPr>
              <w:spacing w:line="360" w:lineRule="auto"/>
              <w:jc w:val="center"/>
              <w:rPr>
                <w:sz w:val="24"/>
                <w:szCs w:val="24"/>
              </w:rPr>
            </w:pPr>
            <w:r>
              <w:rPr>
                <w:sz w:val="24"/>
                <w:szCs w:val="24"/>
              </w:rPr>
              <w:t>7</w:t>
            </w:r>
          </w:p>
        </w:tc>
        <w:tc>
          <w:tcPr>
            <w:tcW w:w="1643" w:type="dxa"/>
            <w:vAlign w:val="center"/>
          </w:tcPr>
          <w:p>
            <w:pPr>
              <w:spacing w:line="360" w:lineRule="auto"/>
              <w:jc w:val="center"/>
              <w:rPr>
                <w:sz w:val="24"/>
                <w:szCs w:val="24"/>
              </w:rPr>
            </w:pPr>
            <w:r>
              <w:rPr>
                <w:rFonts w:hint="eastAsia"/>
                <w:sz w:val="24"/>
                <w:szCs w:val="24"/>
              </w:rPr>
              <w:t>资源配备计划</w:t>
            </w:r>
          </w:p>
        </w:tc>
        <w:tc>
          <w:tcPr>
            <w:tcW w:w="740" w:type="dxa"/>
            <w:vAlign w:val="center"/>
          </w:tcPr>
          <w:p>
            <w:pPr>
              <w:spacing w:line="360" w:lineRule="auto"/>
              <w:jc w:val="center"/>
              <w:rPr>
                <w:sz w:val="24"/>
                <w:szCs w:val="24"/>
                <w:lang w:val="en-US"/>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14" w:type="dxa"/>
            <w:vAlign w:val="center"/>
          </w:tcPr>
          <w:p>
            <w:pPr>
              <w:spacing w:line="360" w:lineRule="auto"/>
              <w:jc w:val="center"/>
              <w:rPr>
                <w:sz w:val="24"/>
                <w:szCs w:val="24"/>
              </w:rPr>
            </w:pPr>
            <w:r>
              <w:rPr>
                <w:sz w:val="24"/>
                <w:szCs w:val="24"/>
              </w:rPr>
              <w:t>8</w:t>
            </w:r>
          </w:p>
        </w:tc>
        <w:tc>
          <w:tcPr>
            <w:tcW w:w="1643" w:type="dxa"/>
            <w:vAlign w:val="center"/>
          </w:tcPr>
          <w:p>
            <w:pPr>
              <w:spacing w:line="360" w:lineRule="auto"/>
              <w:jc w:val="center"/>
              <w:rPr>
                <w:sz w:val="24"/>
                <w:szCs w:val="24"/>
              </w:rPr>
            </w:pPr>
            <w:r>
              <w:rPr>
                <w:rFonts w:hint="eastAsia"/>
                <w:sz w:val="24"/>
                <w:szCs w:val="24"/>
                <w:lang w:val="en-US"/>
              </w:rPr>
              <w:t>绿色科技创新措施</w:t>
            </w:r>
          </w:p>
        </w:tc>
        <w:tc>
          <w:tcPr>
            <w:tcW w:w="74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997" w:type="dxa"/>
            <w:gridSpan w:val="3"/>
            <w:vAlign w:val="center"/>
          </w:tcPr>
          <w:p>
            <w:pPr>
              <w:spacing w:line="360" w:lineRule="auto"/>
              <w:jc w:val="center"/>
              <w:rPr>
                <w:sz w:val="24"/>
                <w:szCs w:val="24"/>
              </w:rPr>
            </w:pPr>
            <w:r>
              <w:rPr>
                <w:rFonts w:hint="eastAsia"/>
                <w:sz w:val="24"/>
                <w:szCs w:val="24"/>
              </w:rPr>
              <w:t>施工组织设计得分合计</w:t>
            </w:r>
            <w:r>
              <w:rPr>
                <w:sz w:val="24"/>
                <w:szCs w:val="24"/>
              </w:rPr>
              <w:t>A(</w:t>
            </w:r>
            <w:r>
              <w:rPr>
                <w:rFonts w:hint="eastAsia"/>
                <w:sz w:val="24"/>
                <w:szCs w:val="24"/>
              </w:rPr>
              <w:t>满分</w:t>
            </w:r>
            <w:r>
              <w:rPr>
                <w:sz w:val="24"/>
                <w:szCs w:val="24"/>
              </w:rPr>
              <w:t>)</w:t>
            </w: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c>
          <w:tcPr>
            <w:tcW w:w="810" w:type="dxa"/>
            <w:vAlign w:val="center"/>
          </w:tcPr>
          <w:p>
            <w:pPr>
              <w:spacing w:line="360" w:lineRule="auto"/>
              <w:jc w:val="center"/>
              <w:rPr>
                <w:sz w:val="24"/>
                <w:szCs w:val="24"/>
              </w:rPr>
            </w:pPr>
          </w:p>
        </w:tc>
      </w:tr>
    </w:tbl>
    <w:p>
      <w:pPr>
        <w:spacing w:line="360" w:lineRule="auto"/>
        <w:rPr>
          <w:sz w:val="24"/>
          <w:szCs w:val="24"/>
        </w:rPr>
      </w:pPr>
    </w:p>
    <w:p>
      <w:pPr>
        <w:spacing w:line="360" w:lineRule="auto"/>
        <w:rPr>
          <w:sz w:val="24"/>
          <w:szCs w:val="24"/>
        </w:rPr>
      </w:pPr>
      <w:r>
        <w:rPr>
          <w:rFonts w:hint="eastAsia"/>
          <w:sz w:val="24"/>
          <w:szCs w:val="24"/>
        </w:rPr>
        <w:t>评标委员会成员签名：</w:t>
      </w:r>
      <w:r>
        <w:rPr>
          <w:sz w:val="24"/>
          <w:szCs w:val="24"/>
        </w:rPr>
        <w:t xml:space="preserve">                     </w:t>
      </w:r>
      <w:r>
        <w:rPr>
          <w:rFonts w:hint="eastAsia"/>
          <w:sz w:val="24"/>
          <w:szCs w:val="24"/>
        </w:rPr>
        <w:t>日期：</w:t>
      </w:r>
      <w:r>
        <w:rPr>
          <w:sz w:val="24"/>
          <w:szCs w:val="24"/>
        </w:rPr>
        <w:t xml:space="preserve">   </w:t>
      </w:r>
      <w:r>
        <w:rPr>
          <w:rFonts w:hint="eastAsia"/>
          <w:sz w:val="24"/>
          <w:szCs w:val="24"/>
        </w:rPr>
        <w:t>　　</w:t>
      </w:r>
      <w:r>
        <w:rPr>
          <w:sz w:val="24"/>
          <w:szCs w:val="24"/>
        </w:rPr>
        <w:t xml:space="preserve"> </w:t>
      </w:r>
      <w:r>
        <w:rPr>
          <w:rFonts w:hint="eastAsia"/>
          <w:sz w:val="24"/>
          <w:szCs w:val="24"/>
        </w:rPr>
        <w:t>年</w:t>
      </w:r>
      <w:r>
        <w:rPr>
          <w:sz w:val="24"/>
          <w:szCs w:val="24"/>
        </w:rPr>
        <w:t xml:space="preserve">    </w:t>
      </w:r>
      <w:r>
        <w:rPr>
          <w:rFonts w:hint="eastAsia"/>
          <w:sz w:val="24"/>
          <w:szCs w:val="24"/>
        </w:rPr>
        <w:t>月　</w:t>
      </w:r>
      <w:r>
        <w:rPr>
          <w:sz w:val="24"/>
          <w:szCs w:val="24"/>
        </w:rPr>
        <w:t xml:space="preserve">  </w:t>
      </w:r>
      <w:r>
        <w:rPr>
          <w:rFonts w:hint="eastAsia"/>
          <w:sz w:val="24"/>
          <w:szCs w:val="24"/>
        </w:rPr>
        <w:t>日</w:t>
      </w:r>
      <w:r>
        <w:rPr>
          <w:b/>
          <w:sz w:val="24"/>
          <w:szCs w:val="24"/>
        </w:rPr>
        <w:br w:type="page"/>
      </w:r>
      <w:r>
        <w:rPr>
          <w:rFonts w:hint="eastAsia"/>
          <w:b/>
          <w:bCs/>
          <w:kern w:val="2"/>
          <w:sz w:val="24"/>
          <w:szCs w:val="24"/>
          <w:lang w:val="en-US"/>
        </w:rPr>
        <w:t>附表</w:t>
      </w:r>
      <w:r>
        <w:rPr>
          <w:b/>
          <w:bCs/>
          <w:kern w:val="2"/>
          <w:sz w:val="24"/>
          <w:szCs w:val="24"/>
          <w:lang w:val="en-US"/>
        </w:rPr>
        <w:t>A-6</w:t>
      </w:r>
      <w:r>
        <w:rPr>
          <w:rFonts w:hint="eastAsia"/>
          <w:b/>
          <w:bCs/>
          <w:kern w:val="2"/>
          <w:sz w:val="24"/>
          <w:szCs w:val="24"/>
          <w:lang w:val="en-US"/>
        </w:rPr>
        <w:t>：项目管理机构评审记录表</w:t>
      </w:r>
    </w:p>
    <w:p>
      <w:pPr>
        <w:spacing w:line="360" w:lineRule="auto"/>
        <w:jc w:val="center"/>
        <w:rPr>
          <w:b/>
          <w:sz w:val="24"/>
          <w:szCs w:val="24"/>
        </w:rPr>
      </w:pPr>
      <w:r>
        <w:rPr>
          <w:rFonts w:hint="eastAsia"/>
          <w:b/>
          <w:sz w:val="24"/>
          <w:szCs w:val="24"/>
        </w:rPr>
        <w:t>项目管理机构评审记录表</w:t>
      </w:r>
    </w:p>
    <w:p>
      <w:pPr>
        <w:spacing w:line="360" w:lineRule="auto"/>
        <w:rPr>
          <w:sz w:val="24"/>
          <w:szCs w:val="24"/>
        </w:rPr>
      </w:pPr>
      <w:r>
        <w:rPr>
          <w:rFonts w:hint="eastAsia"/>
          <w:color w:val="000000"/>
          <w:sz w:val="24"/>
          <w:szCs w:val="24"/>
        </w:rPr>
        <w:t>工程名称：</w:t>
      </w:r>
      <w:r>
        <w:rPr>
          <w:color w:val="000000"/>
          <w:sz w:val="24"/>
          <w:szCs w:val="24"/>
          <w:u w:val="single"/>
        </w:rPr>
        <w:t>(</w:t>
      </w:r>
      <w:r>
        <w:rPr>
          <w:rFonts w:hint="eastAsia"/>
          <w:color w:val="000000"/>
          <w:sz w:val="24"/>
          <w:szCs w:val="24"/>
          <w:u w:val="single"/>
        </w:rPr>
        <w:t>项目名称</w:t>
      </w:r>
      <w:r>
        <w:rPr>
          <w:color w:val="000000"/>
          <w:sz w:val="24"/>
          <w:szCs w:val="24"/>
          <w:u w:val="single"/>
        </w:rPr>
        <w:t xml:space="preserve">)  </w:t>
      </w:r>
      <w:r>
        <w:rPr>
          <w:color w:val="000000"/>
          <w:sz w:val="24"/>
          <w:szCs w:val="24"/>
          <w:u w:val="single"/>
          <w:lang w:val="en-US"/>
        </w:rPr>
        <w:t xml:space="preserve">      </w:t>
      </w:r>
    </w:p>
    <w:tbl>
      <w:tblPr>
        <w:tblStyle w:val="3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874"/>
        <w:gridCol w:w="746"/>
        <w:gridCol w:w="879"/>
        <w:gridCol w:w="879"/>
        <w:gridCol w:w="879"/>
        <w:gridCol w:w="879"/>
        <w:gridCol w:w="879"/>
        <w:gridCol w:w="879"/>
        <w:gridCol w:w="8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80" w:type="dxa"/>
            <w:vMerge w:val="restart"/>
            <w:vAlign w:val="center"/>
          </w:tcPr>
          <w:p>
            <w:pPr>
              <w:spacing w:line="360" w:lineRule="auto"/>
              <w:jc w:val="center"/>
              <w:rPr>
                <w:sz w:val="24"/>
                <w:szCs w:val="24"/>
              </w:rPr>
            </w:pPr>
            <w:r>
              <w:rPr>
                <w:rFonts w:hint="eastAsia"/>
                <w:sz w:val="24"/>
                <w:szCs w:val="24"/>
              </w:rPr>
              <w:t>序号</w:t>
            </w:r>
          </w:p>
        </w:tc>
        <w:tc>
          <w:tcPr>
            <w:tcW w:w="1874" w:type="dxa"/>
            <w:vMerge w:val="restart"/>
            <w:vAlign w:val="center"/>
          </w:tcPr>
          <w:p>
            <w:pPr>
              <w:spacing w:line="360" w:lineRule="auto"/>
              <w:jc w:val="center"/>
              <w:rPr>
                <w:sz w:val="24"/>
                <w:szCs w:val="24"/>
              </w:rPr>
            </w:pPr>
            <w:r>
              <w:rPr>
                <w:rFonts w:hint="eastAsia"/>
                <w:sz w:val="24"/>
                <w:szCs w:val="24"/>
              </w:rPr>
              <w:t>评分项目</w:t>
            </w:r>
          </w:p>
        </w:tc>
        <w:tc>
          <w:tcPr>
            <w:tcW w:w="746" w:type="dxa"/>
            <w:vMerge w:val="restart"/>
            <w:vAlign w:val="center"/>
          </w:tcPr>
          <w:p>
            <w:pPr>
              <w:spacing w:line="360" w:lineRule="auto"/>
              <w:jc w:val="center"/>
              <w:rPr>
                <w:sz w:val="24"/>
                <w:szCs w:val="24"/>
              </w:rPr>
            </w:pPr>
            <w:r>
              <w:rPr>
                <w:rFonts w:hint="eastAsia"/>
                <w:sz w:val="24"/>
                <w:szCs w:val="24"/>
              </w:rPr>
              <w:t>标准分</w:t>
            </w:r>
          </w:p>
        </w:tc>
        <w:tc>
          <w:tcPr>
            <w:tcW w:w="6157" w:type="dxa"/>
            <w:gridSpan w:val="7"/>
            <w:vAlign w:val="center"/>
          </w:tcPr>
          <w:p>
            <w:pPr>
              <w:spacing w:line="360" w:lineRule="auto"/>
              <w:jc w:val="center"/>
              <w:rPr>
                <w:sz w:val="24"/>
                <w:szCs w:val="24"/>
              </w:rPr>
            </w:pPr>
            <w:r>
              <w:rPr>
                <w:rFonts w:hint="eastAsia"/>
                <w:sz w:val="24"/>
                <w:szCs w:val="24"/>
              </w:rPr>
              <w:t>投标人名称代码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80" w:type="dxa"/>
            <w:vMerge w:val="continue"/>
            <w:vAlign w:val="center"/>
          </w:tcPr>
          <w:p>
            <w:pPr>
              <w:spacing w:line="360" w:lineRule="auto"/>
              <w:rPr>
                <w:sz w:val="24"/>
                <w:szCs w:val="24"/>
              </w:rPr>
            </w:pPr>
          </w:p>
        </w:tc>
        <w:tc>
          <w:tcPr>
            <w:tcW w:w="1874" w:type="dxa"/>
            <w:vMerge w:val="continue"/>
            <w:vAlign w:val="center"/>
          </w:tcPr>
          <w:p>
            <w:pPr>
              <w:spacing w:line="360" w:lineRule="auto"/>
              <w:rPr>
                <w:sz w:val="24"/>
                <w:szCs w:val="24"/>
              </w:rPr>
            </w:pPr>
          </w:p>
        </w:tc>
        <w:tc>
          <w:tcPr>
            <w:tcW w:w="746" w:type="dxa"/>
            <w:vMerge w:val="continue"/>
            <w:vAlign w:val="center"/>
          </w:tcPr>
          <w:p>
            <w:pPr>
              <w:spacing w:line="360" w:lineRule="auto"/>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83"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80" w:type="dxa"/>
            <w:vAlign w:val="center"/>
          </w:tcPr>
          <w:p>
            <w:pPr>
              <w:spacing w:line="360" w:lineRule="auto"/>
              <w:jc w:val="center"/>
              <w:rPr>
                <w:sz w:val="24"/>
                <w:szCs w:val="24"/>
              </w:rPr>
            </w:pPr>
            <w:r>
              <w:rPr>
                <w:sz w:val="24"/>
                <w:szCs w:val="24"/>
              </w:rPr>
              <w:t>1</w:t>
            </w:r>
          </w:p>
        </w:tc>
        <w:tc>
          <w:tcPr>
            <w:tcW w:w="1874" w:type="dxa"/>
            <w:vAlign w:val="center"/>
          </w:tcPr>
          <w:p>
            <w:pPr>
              <w:spacing w:line="360" w:lineRule="auto"/>
              <w:jc w:val="center"/>
              <w:rPr>
                <w:sz w:val="24"/>
                <w:szCs w:val="24"/>
              </w:rPr>
            </w:pPr>
            <w:r>
              <w:rPr>
                <w:rFonts w:hint="eastAsia"/>
                <w:sz w:val="24"/>
                <w:szCs w:val="24"/>
              </w:rPr>
              <w:t>项目经理任职资格与业绩</w:t>
            </w:r>
          </w:p>
        </w:tc>
        <w:tc>
          <w:tcPr>
            <w:tcW w:w="746"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83"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80" w:type="dxa"/>
            <w:vAlign w:val="center"/>
          </w:tcPr>
          <w:p>
            <w:pPr>
              <w:spacing w:line="360" w:lineRule="auto"/>
              <w:jc w:val="center"/>
              <w:rPr>
                <w:sz w:val="24"/>
                <w:szCs w:val="24"/>
              </w:rPr>
            </w:pPr>
            <w:r>
              <w:rPr>
                <w:sz w:val="24"/>
                <w:szCs w:val="24"/>
              </w:rPr>
              <w:t>2</w:t>
            </w:r>
          </w:p>
        </w:tc>
        <w:tc>
          <w:tcPr>
            <w:tcW w:w="1874" w:type="dxa"/>
            <w:vAlign w:val="center"/>
          </w:tcPr>
          <w:p>
            <w:pPr>
              <w:spacing w:line="360" w:lineRule="auto"/>
              <w:jc w:val="center"/>
              <w:rPr>
                <w:sz w:val="24"/>
                <w:szCs w:val="24"/>
              </w:rPr>
            </w:pPr>
            <w:r>
              <w:rPr>
                <w:rFonts w:hint="eastAsia"/>
                <w:sz w:val="24"/>
                <w:szCs w:val="24"/>
              </w:rPr>
              <w:t>技术负责人任职资格与业绩</w:t>
            </w:r>
          </w:p>
        </w:tc>
        <w:tc>
          <w:tcPr>
            <w:tcW w:w="746"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83"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680" w:type="dxa"/>
            <w:vAlign w:val="center"/>
          </w:tcPr>
          <w:p>
            <w:pPr>
              <w:spacing w:line="360" w:lineRule="auto"/>
              <w:jc w:val="center"/>
              <w:rPr>
                <w:sz w:val="24"/>
                <w:szCs w:val="24"/>
              </w:rPr>
            </w:pPr>
            <w:r>
              <w:rPr>
                <w:sz w:val="24"/>
                <w:szCs w:val="24"/>
              </w:rPr>
              <w:t>3</w:t>
            </w:r>
          </w:p>
        </w:tc>
        <w:tc>
          <w:tcPr>
            <w:tcW w:w="1874" w:type="dxa"/>
            <w:vAlign w:val="center"/>
          </w:tcPr>
          <w:p>
            <w:pPr>
              <w:spacing w:line="360" w:lineRule="auto"/>
              <w:jc w:val="center"/>
              <w:rPr>
                <w:sz w:val="24"/>
                <w:szCs w:val="24"/>
              </w:rPr>
            </w:pPr>
            <w:r>
              <w:rPr>
                <w:rFonts w:hint="eastAsia"/>
                <w:sz w:val="24"/>
                <w:szCs w:val="24"/>
              </w:rPr>
              <w:t>……</w:t>
            </w:r>
          </w:p>
        </w:tc>
        <w:tc>
          <w:tcPr>
            <w:tcW w:w="746"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83"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3300" w:type="dxa"/>
            <w:gridSpan w:val="3"/>
            <w:vAlign w:val="center"/>
          </w:tcPr>
          <w:p>
            <w:pPr>
              <w:spacing w:line="360" w:lineRule="auto"/>
              <w:jc w:val="center"/>
              <w:rPr>
                <w:sz w:val="24"/>
                <w:szCs w:val="24"/>
              </w:rPr>
            </w:pPr>
            <w:r>
              <w:rPr>
                <w:rFonts w:hint="eastAsia"/>
                <w:sz w:val="24"/>
                <w:szCs w:val="24"/>
              </w:rPr>
              <w:t>项目管理机构得分合计</w:t>
            </w:r>
            <w:r>
              <w:rPr>
                <w:sz w:val="24"/>
                <w:szCs w:val="24"/>
              </w:rPr>
              <w:t>B</w:t>
            </w:r>
          </w:p>
          <w:p>
            <w:pPr>
              <w:spacing w:line="360" w:lineRule="auto"/>
              <w:jc w:val="center"/>
              <w:rPr>
                <w:sz w:val="24"/>
                <w:szCs w:val="24"/>
              </w:rPr>
            </w:pPr>
            <w:r>
              <w:rPr>
                <w:sz w:val="24"/>
                <w:szCs w:val="24"/>
              </w:rPr>
              <w:t>(</w:t>
            </w:r>
            <w:r>
              <w:rPr>
                <w:rFonts w:hint="eastAsia"/>
                <w:sz w:val="24"/>
                <w:szCs w:val="24"/>
              </w:rPr>
              <w:t>满分</w:t>
            </w:r>
            <w:r>
              <w:rPr>
                <w:sz w:val="24"/>
                <w:szCs w:val="24"/>
              </w:rPr>
              <w:t>)</w:t>
            </w: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79" w:type="dxa"/>
            <w:vAlign w:val="center"/>
          </w:tcPr>
          <w:p>
            <w:pPr>
              <w:spacing w:line="360" w:lineRule="auto"/>
              <w:jc w:val="center"/>
              <w:rPr>
                <w:sz w:val="24"/>
                <w:szCs w:val="24"/>
              </w:rPr>
            </w:pPr>
          </w:p>
        </w:tc>
        <w:tc>
          <w:tcPr>
            <w:tcW w:w="883" w:type="dxa"/>
            <w:vAlign w:val="center"/>
          </w:tcPr>
          <w:p>
            <w:pPr>
              <w:spacing w:line="360" w:lineRule="auto"/>
              <w:jc w:val="center"/>
              <w:rPr>
                <w:sz w:val="24"/>
                <w:szCs w:val="24"/>
              </w:rPr>
            </w:pPr>
          </w:p>
        </w:tc>
      </w:tr>
    </w:tbl>
    <w:p>
      <w:pPr>
        <w:spacing w:line="360" w:lineRule="auto"/>
        <w:rPr>
          <w:sz w:val="24"/>
          <w:szCs w:val="24"/>
        </w:rPr>
      </w:pPr>
    </w:p>
    <w:p>
      <w:pPr>
        <w:spacing w:line="360" w:lineRule="auto"/>
        <w:rPr>
          <w:sz w:val="24"/>
          <w:szCs w:val="24"/>
        </w:rPr>
      </w:pPr>
      <w:r>
        <w:rPr>
          <w:rFonts w:hint="eastAsia"/>
          <w:sz w:val="24"/>
          <w:szCs w:val="24"/>
        </w:rPr>
        <w:t>评标委员会成员签名：</w:t>
      </w:r>
      <w:r>
        <w:rPr>
          <w:sz w:val="24"/>
          <w:szCs w:val="24"/>
        </w:rPr>
        <w:t xml:space="preserve">                           </w:t>
      </w: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360" w:lineRule="auto"/>
        <w:rPr>
          <w:b/>
          <w:sz w:val="24"/>
          <w:szCs w:val="24"/>
        </w:rPr>
      </w:pPr>
    </w:p>
    <w:p>
      <w:pPr>
        <w:widowControl/>
        <w:autoSpaceDE/>
        <w:autoSpaceDN/>
        <w:spacing w:line="360" w:lineRule="auto"/>
        <w:rPr>
          <w:sz w:val="24"/>
          <w:szCs w:val="24"/>
        </w:rPr>
      </w:pPr>
      <w:r>
        <w:rPr>
          <w:b/>
          <w:sz w:val="24"/>
          <w:szCs w:val="24"/>
        </w:rPr>
        <w:br w:type="page"/>
      </w:r>
      <w:r>
        <w:rPr>
          <w:rFonts w:hint="eastAsia"/>
          <w:b/>
          <w:bCs/>
          <w:kern w:val="2"/>
          <w:sz w:val="24"/>
          <w:szCs w:val="24"/>
          <w:lang w:val="en-US"/>
        </w:rPr>
        <w:t>附表</w:t>
      </w:r>
      <w:r>
        <w:rPr>
          <w:b/>
          <w:bCs/>
          <w:kern w:val="2"/>
          <w:sz w:val="24"/>
          <w:szCs w:val="24"/>
          <w:lang w:val="en-US"/>
        </w:rPr>
        <w:t>A-7</w:t>
      </w:r>
      <w:r>
        <w:rPr>
          <w:rFonts w:hint="eastAsia"/>
          <w:b/>
          <w:bCs/>
          <w:kern w:val="2"/>
          <w:sz w:val="24"/>
          <w:szCs w:val="24"/>
          <w:lang w:val="en-US"/>
        </w:rPr>
        <w:t>：投标报价评分记录表</w:t>
      </w:r>
    </w:p>
    <w:p>
      <w:pPr>
        <w:autoSpaceDE/>
        <w:autoSpaceDN/>
        <w:spacing w:line="360" w:lineRule="auto"/>
        <w:jc w:val="center"/>
        <w:rPr>
          <w:b/>
          <w:sz w:val="24"/>
          <w:szCs w:val="24"/>
        </w:rPr>
      </w:pPr>
      <w:r>
        <w:rPr>
          <w:rFonts w:hint="eastAsia"/>
          <w:b/>
          <w:sz w:val="24"/>
          <w:szCs w:val="24"/>
        </w:rPr>
        <w:t>投标报价评分记录表</w:t>
      </w:r>
    </w:p>
    <w:p>
      <w:pPr>
        <w:autoSpaceDE/>
        <w:autoSpaceDN/>
        <w:spacing w:line="360" w:lineRule="auto"/>
        <w:rPr>
          <w:sz w:val="24"/>
          <w:szCs w:val="24"/>
        </w:rPr>
      </w:pPr>
      <w:r>
        <w:rPr>
          <w:rFonts w:hint="eastAsia"/>
          <w:color w:val="000000"/>
          <w:sz w:val="24"/>
          <w:szCs w:val="24"/>
        </w:rPr>
        <w:t>工程名称：</w:t>
      </w:r>
      <w:r>
        <w:rPr>
          <w:color w:val="000000"/>
          <w:sz w:val="24"/>
          <w:szCs w:val="24"/>
          <w:u w:val="single"/>
        </w:rPr>
        <w:t>(</w:t>
      </w:r>
      <w:r>
        <w:rPr>
          <w:rFonts w:hint="eastAsia"/>
          <w:color w:val="000000"/>
          <w:sz w:val="24"/>
          <w:szCs w:val="24"/>
          <w:u w:val="single"/>
        </w:rPr>
        <w:t>项目名称</w:t>
      </w:r>
      <w:r>
        <w:rPr>
          <w:color w:val="000000"/>
          <w:sz w:val="24"/>
          <w:szCs w:val="24"/>
          <w:u w:val="single"/>
        </w:rPr>
        <w:t xml:space="preserve">)  </w:t>
      </w:r>
      <w:r>
        <w:rPr>
          <w:color w:val="000000"/>
          <w:sz w:val="24"/>
          <w:szCs w:val="24"/>
          <w:u w:val="single"/>
          <w:lang w:val="en-US"/>
        </w:rPr>
        <w:t xml:space="preserve">       </w:t>
      </w:r>
      <w:r>
        <w:rPr>
          <w:sz w:val="24"/>
          <w:szCs w:val="24"/>
        </w:rPr>
        <w:t xml:space="preserve">            </w:t>
      </w:r>
      <w:r>
        <w:rPr>
          <w:sz w:val="24"/>
          <w:szCs w:val="24"/>
          <w:lang w:val="en-US"/>
        </w:rPr>
        <w:t xml:space="preserve">             </w:t>
      </w:r>
      <w:r>
        <w:rPr>
          <w:sz w:val="24"/>
          <w:szCs w:val="24"/>
        </w:rPr>
        <w:t xml:space="preserve"> </w:t>
      </w:r>
      <w:r>
        <w:rPr>
          <w:rFonts w:hint="eastAsia"/>
          <w:sz w:val="24"/>
          <w:szCs w:val="24"/>
        </w:rPr>
        <w:t>单位：人民币元</w:t>
      </w:r>
    </w:p>
    <w:tbl>
      <w:tblPr>
        <w:tblStyle w:val="3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53"/>
        <w:gridCol w:w="1163"/>
        <w:gridCol w:w="1163"/>
        <w:gridCol w:w="1163"/>
        <w:gridCol w:w="1163"/>
        <w:gridCol w:w="1163"/>
        <w:gridCol w:w="1163"/>
        <w:gridCol w:w="116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3" w:type="dxa"/>
            <w:vMerge w:val="restart"/>
            <w:vAlign w:val="center"/>
          </w:tcPr>
          <w:p>
            <w:pPr>
              <w:spacing w:line="360" w:lineRule="auto"/>
              <w:jc w:val="center"/>
              <w:rPr>
                <w:sz w:val="24"/>
                <w:szCs w:val="24"/>
              </w:rPr>
            </w:pPr>
            <w:r>
              <w:rPr>
                <w:rFonts w:hint="eastAsia"/>
                <w:sz w:val="24"/>
                <w:szCs w:val="24"/>
              </w:rPr>
              <w:t>项目</w:t>
            </w:r>
          </w:p>
        </w:tc>
        <w:tc>
          <w:tcPr>
            <w:tcW w:w="8145" w:type="dxa"/>
            <w:gridSpan w:val="7"/>
            <w:vAlign w:val="center"/>
          </w:tcPr>
          <w:p>
            <w:pPr>
              <w:spacing w:line="360" w:lineRule="auto"/>
              <w:jc w:val="center"/>
              <w:rPr>
                <w:sz w:val="24"/>
                <w:szCs w:val="24"/>
              </w:rPr>
            </w:pPr>
            <w:r>
              <w:rPr>
                <w:rFonts w:hint="eastAsia"/>
                <w:sz w:val="24"/>
                <w:szCs w:val="24"/>
              </w:rPr>
              <w:t>投标人名称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3" w:type="dxa"/>
            <w:vMerge w:val="continue"/>
            <w:vAlign w:val="center"/>
          </w:tcPr>
          <w:p>
            <w:pPr>
              <w:spacing w:line="360" w:lineRule="auto"/>
              <w:rPr>
                <w:sz w:val="24"/>
                <w:szCs w:val="24"/>
              </w:rPr>
            </w:pP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7"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3" w:type="dxa"/>
            <w:vAlign w:val="center"/>
          </w:tcPr>
          <w:p>
            <w:pPr>
              <w:spacing w:line="360" w:lineRule="auto"/>
              <w:jc w:val="center"/>
              <w:rPr>
                <w:sz w:val="24"/>
                <w:szCs w:val="24"/>
              </w:rPr>
            </w:pPr>
            <w:r>
              <w:rPr>
                <w:rFonts w:hint="eastAsia"/>
                <w:sz w:val="24"/>
                <w:szCs w:val="24"/>
              </w:rPr>
              <w:t>投标报价</w:t>
            </w: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7"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3" w:type="dxa"/>
            <w:vAlign w:val="center"/>
          </w:tcPr>
          <w:p>
            <w:pPr>
              <w:spacing w:line="360" w:lineRule="auto"/>
              <w:jc w:val="center"/>
              <w:rPr>
                <w:sz w:val="24"/>
                <w:szCs w:val="24"/>
              </w:rPr>
            </w:pPr>
            <w:r>
              <w:rPr>
                <w:rFonts w:hint="eastAsia"/>
                <w:sz w:val="24"/>
                <w:szCs w:val="24"/>
              </w:rPr>
              <w:t>偏差率</w:t>
            </w: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7"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3" w:type="dxa"/>
            <w:vAlign w:val="center"/>
          </w:tcPr>
          <w:p>
            <w:pPr>
              <w:spacing w:line="360" w:lineRule="auto"/>
              <w:jc w:val="center"/>
              <w:rPr>
                <w:sz w:val="24"/>
                <w:szCs w:val="24"/>
              </w:rPr>
            </w:pPr>
            <w:r>
              <w:rPr>
                <w:rFonts w:hint="eastAsia"/>
                <w:sz w:val="24"/>
                <w:szCs w:val="24"/>
              </w:rPr>
              <w:t>投标报价得分</w:t>
            </w:r>
            <w:r>
              <w:rPr>
                <w:sz w:val="24"/>
                <w:szCs w:val="24"/>
              </w:rPr>
              <w:t>C</w:t>
            </w:r>
          </w:p>
          <w:p>
            <w:pPr>
              <w:spacing w:line="360" w:lineRule="auto"/>
              <w:jc w:val="center"/>
              <w:rPr>
                <w:sz w:val="24"/>
                <w:szCs w:val="24"/>
              </w:rPr>
            </w:pPr>
            <w:r>
              <w:rPr>
                <w:sz w:val="24"/>
                <w:szCs w:val="24"/>
              </w:rPr>
              <w:t>(</w:t>
            </w:r>
            <w:r>
              <w:rPr>
                <w:rFonts w:hint="eastAsia"/>
                <w:sz w:val="24"/>
                <w:szCs w:val="24"/>
              </w:rPr>
              <w:t>满分</w:t>
            </w:r>
            <w:r>
              <w:rPr>
                <w:sz w:val="24"/>
                <w:szCs w:val="24"/>
              </w:rPr>
              <w:t>)</w:t>
            </w: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3" w:type="dxa"/>
            <w:vAlign w:val="center"/>
          </w:tcPr>
          <w:p>
            <w:pPr>
              <w:spacing w:line="360" w:lineRule="auto"/>
              <w:jc w:val="center"/>
              <w:rPr>
                <w:sz w:val="24"/>
                <w:szCs w:val="24"/>
              </w:rPr>
            </w:pPr>
          </w:p>
        </w:tc>
        <w:tc>
          <w:tcPr>
            <w:tcW w:w="1167"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353" w:type="dxa"/>
            <w:vAlign w:val="center"/>
          </w:tcPr>
          <w:p>
            <w:pPr>
              <w:spacing w:line="360" w:lineRule="auto"/>
              <w:jc w:val="center"/>
              <w:rPr>
                <w:sz w:val="24"/>
                <w:szCs w:val="24"/>
              </w:rPr>
            </w:pPr>
            <w:r>
              <w:rPr>
                <w:rFonts w:hint="eastAsia"/>
                <w:sz w:val="24"/>
                <w:szCs w:val="24"/>
              </w:rPr>
              <w:t>基准价</w:t>
            </w:r>
          </w:p>
        </w:tc>
        <w:tc>
          <w:tcPr>
            <w:tcW w:w="8145" w:type="dxa"/>
            <w:gridSpan w:val="7"/>
            <w:vAlign w:val="center"/>
          </w:tcPr>
          <w:p>
            <w:pPr>
              <w:spacing w:line="360" w:lineRule="auto"/>
              <w:jc w:val="center"/>
              <w:rPr>
                <w:sz w:val="24"/>
                <w:szCs w:val="24"/>
              </w:rPr>
            </w:pPr>
          </w:p>
        </w:tc>
      </w:tr>
    </w:tbl>
    <w:p>
      <w:pPr>
        <w:spacing w:line="360" w:lineRule="auto"/>
        <w:rPr>
          <w:sz w:val="24"/>
          <w:szCs w:val="24"/>
        </w:rPr>
      </w:pPr>
    </w:p>
    <w:p>
      <w:pPr>
        <w:spacing w:line="360" w:lineRule="auto"/>
        <w:rPr>
          <w:sz w:val="24"/>
          <w:szCs w:val="24"/>
        </w:rPr>
      </w:pPr>
      <w:r>
        <w:rPr>
          <w:rFonts w:hint="eastAsia"/>
          <w:sz w:val="24"/>
          <w:szCs w:val="24"/>
        </w:rPr>
        <w:t>评标委员会成员签名：</w:t>
      </w:r>
      <w:r>
        <w:rPr>
          <w:sz w:val="24"/>
          <w:szCs w:val="24"/>
        </w:rPr>
        <w:t xml:space="preserve">                            </w:t>
      </w: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360" w:lineRule="auto"/>
        <w:rPr>
          <w:sz w:val="24"/>
          <w:szCs w:val="24"/>
        </w:rPr>
      </w:pPr>
    </w:p>
    <w:p>
      <w:pPr>
        <w:spacing w:line="360" w:lineRule="auto"/>
        <w:rPr>
          <w:sz w:val="24"/>
          <w:szCs w:val="24"/>
        </w:rPr>
      </w:pPr>
    </w:p>
    <w:p>
      <w:pPr>
        <w:spacing w:line="360" w:lineRule="auto"/>
        <w:rPr>
          <w:sz w:val="24"/>
          <w:szCs w:val="24"/>
        </w:rPr>
      </w:pPr>
    </w:p>
    <w:p>
      <w:pPr>
        <w:widowControl/>
        <w:autoSpaceDE/>
        <w:autoSpaceDN/>
        <w:spacing w:line="360" w:lineRule="auto"/>
        <w:rPr>
          <w:sz w:val="24"/>
          <w:szCs w:val="24"/>
        </w:rPr>
      </w:pPr>
      <w:r>
        <w:rPr>
          <w:sz w:val="24"/>
          <w:szCs w:val="24"/>
        </w:rPr>
        <w:br w:type="page"/>
      </w:r>
      <w:r>
        <w:rPr>
          <w:rFonts w:hint="eastAsia"/>
          <w:b/>
          <w:bCs/>
          <w:kern w:val="2"/>
          <w:sz w:val="24"/>
          <w:szCs w:val="24"/>
          <w:lang w:val="en-US"/>
        </w:rPr>
        <w:t>附表</w:t>
      </w:r>
      <w:r>
        <w:rPr>
          <w:b/>
          <w:bCs/>
          <w:kern w:val="2"/>
          <w:sz w:val="24"/>
          <w:szCs w:val="24"/>
          <w:lang w:val="en-US"/>
        </w:rPr>
        <w:t>A-8</w:t>
      </w:r>
      <w:r>
        <w:rPr>
          <w:rFonts w:hint="eastAsia"/>
          <w:b/>
          <w:bCs/>
          <w:kern w:val="2"/>
          <w:sz w:val="24"/>
          <w:szCs w:val="24"/>
          <w:lang w:val="en-US"/>
        </w:rPr>
        <w:t>：其他因素评审记录表</w:t>
      </w:r>
    </w:p>
    <w:p>
      <w:pPr>
        <w:autoSpaceDE/>
        <w:autoSpaceDN/>
        <w:spacing w:line="360" w:lineRule="auto"/>
        <w:jc w:val="center"/>
        <w:rPr>
          <w:b/>
          <w:sz w:val="24"/>
          <w:szCs w:val="24"/>
        </w:rPr>
      </w:pPr>
      <w:r>
        <w:rPr>
          <w:rFonts w:hint="eastAsia"/>
          <w:b/>
          <w:sz w:val="24"/>
          <w:szCs w:val="24"/>
        </w:rPr>
        <w:t>其他因素评审记录表</w:t>
      </w:r>
    </w:p>
    <w:p>
      <w:pPr>
        <w:autoSpaceDE/>
        <w:autoSpaceDN/>
        <w:spacing w:line="360" w:lineRule="auto"/>
        <w:rPr>
          <w:sz w:val="24"/>
          <w:szCs w:val="24"/>
        </w:rPr>
      </w:pPr>
      <w:r>
        <w:rPr>
          <w:rFonts w:hint="eastAsia"/>
          <w:color w:val="000000"/>
          <w:sz w:val="24"/>
          <w:szCs w:val="24"/>
        </w:rPr>
        <w:t>工程名称：</w:t>
      </w:r>
      <w:r>
        <w:rPr>
          <w:color w:val="000000"/>
          <w:sz w:val="24"/>
          <w:szCs w:val="24"/>
          <w:u w:val="single"/>
        </w:rPr>
        <w:t>(</w:t>
      </w:r>
      <w:r>
        <w:rPr>
          <w:rFonts w:hint="eastAsia"/>
          <w:color w:val="000000"/>
          <w:sz w:val="24"/>
          <w:szCs w:val="24"/>
          <w:u w:val="single"/>
        </w:rPr>
        <w:t>项目名称</w:t>
      </w:r>
      <w:r>
        <w:rPr>
          <w:color w:val="000000"/>
          <w:sz w:val="24"/>
          <w:szCs w:val="24"/>
          <w:u w:val="single"/>
        </w:rPr>
        <w:t xml:space="preserve">)  </w:t>
      </w:r>
      <w:r>
        <w:rPr>
          <w:color w:val="000000"/>
          <w:sz w:val="24"/>
          <w:szCs w:val="24"/>
          <w:u w:val="single"/>
          <w:lang w:val="en-US"/>
        </w:rPr>
        <w:t xml:space="preserve">       </w:t>
      </w:r>
    </w:p>
    <w:tbl>
      <w:tblPr>
        <w:tblStyle w:val="3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9"/>
        <w:gridCol w:w="1540"/>
        <w:gridCol w:w="852"/>
        <w:gridCol w:w="876"/>
        <w:gridCol w:w="876"/>
        <w:gridCol w:w="876"/>
        <w:gridCol w:w="876"/>
        <w:gridCol w:w="876"/>
        <w:gridCol w:w="876"/>
        <w:gridCol w:w="88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9" w:type="dxa"/>
            <w:vMerge w:val="restart"/>
            <w:vAlign w:val="center"/>
          </w:tcPr>
          <w:p>
            <w:pPr>
              <w:autoSpaceDE/>
              <w:autoSpaceDN/>
              <w:spacing w:line="360" w:lineRule="auto"/>
              <w:jc w:val="center"/>
              <w:rPr>
                <w:sz w:val="24"/>
                <w:szCs w:val="24"/>
              </w:rPr>
            </w:pPr>
            <w:r>
              <w:rPr>
                <w:rFonts w:hint="eastAsia"/>
                <w:sz w:val="24"/>
                <w:szCs w:val="24"/>
              </w:rPr>
              <w:t>序号</w:t>
            </w:r>
          </w:p>
        </w:tc>
        <w:tc>
          <w:tcPr>
            <w:tcW w:w="1540" w:type="dxa"/>
            <w:vMerge w:val="restart"/>
            <w:vAlign w:val="center"/>
          </w:tcPr>
          <w:p>
            <w:pPr>
              <w:autoSpaceDE/>
              <w:autoSpaceDN/>
              <w:spacing w:line="360" w:lineRule="auto"/>
              <w:jc w:val="center"/>
              <w:rPr>
                <w:sz w:val="24"/>
                <w:szCs w:val="24"/>
              </w:rPr>
            </w:pPr>
            <w:r>
              <w:rPr>
                <w:rFonts w:hint="eastAsia"/>
                <w:sz w:val="24"/>
                <w:szCs w:val="24"/>
              </w:rPr>
              <w:t>评分项目</w:t>
            </w:r>
          </w:p>
        </w:tc>
        <w:tc>
          <w:tcPr>
            <w:tcW w:w="852" w:type="dxa"/>
            <w:vMerge w:val="restart"/>
            <w:vAlign w:val="center"/>
          </w:tcPr>
          <w:p>
            <w:pPr>
              <w:autoSpaceDE/>
              <w:autoSpaceDN/>
              <w:spacing w:line="360" w:lineRule="auto"/>
              <w:jc w:val="center"/>
              <w:rPr>
                <w:sz w:val="24"/>
                <w:szCs w:val="24"/>
              </w:rPr>
            </w:pPr>
            <w:r>
              <w:rPr>
                <w:rFonts w:hint="eastAsia"/>
                <w:sz w:val="24"/>
                <w:szCs w:val="24"/>
              </w:rPr>
              <w:t>标准分</w:t>
            </w:r>
          </w:p>
        </w:tc>
        <w:tc>
          <w:tcPr>
            <w:tcW w:w="6138" w:type="dxa"/>
            <w:gridSpan w:val="7"/>
            <w:vAlign w:val="center"/>
          </w:tcPr>
          <w:p>
            <w:pPr>
              <w:autoSpaceDE/>
              <w:autoSpaceDN/>
              <w:spacing w:line="360" w:lineRule="auto"/>
              <w:jc w:val="center"/>
              <w:rPr>
                <w:sz w:val="24"/>
                <w:szCs w:val="24"/>
              </w:rPr>
            </w:pPr>
            <w:r>
              <w:rPr>
                <w:rFonts w:hint="eastAsia"/>
                <w:sz w:val="24"/>
                <w:szCs w:val="24"/>
              </w:rPr>
              <w:t>投标人名称代码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9" w:type="dxa"/>
            <w:vMerge w:val="continue"/>
            <w:vAlign w:val="center"/>
          </w:tcPr>
          <w:p>
            <w:pPr>
              <w:autoSpaceDE/>
              <w:autoSpaceDN/>
              <w:spacing w:line="360" w:lineRule="auto"/>
              <w:rPr>
                <w:sz w:val="24"/>
                <w:szCs w:val="24"/>
              </w:rPr>
            </w:pPr>
          </w:p>
        </w:tc>
        <w:tc>
          <w:tcPr>
            <w:tcW w:w="1540" w:type="dxa"/>
            <w:vMerge w:val="continue"/>
            <w:vAlign w:val="center"/>
          </w:tcPr>
          <w:p>
            <w:pPr>
              <w:autoSpaceDE/>
              <w:autoSpaceDN/>
              <w:spacing w:line="360" w:lineRule="auto"/>
              <w:rPr>
                <w:sz w:val="24"/>
                <w:szCs w:val="24"/>
              </w:rPr>
            </w:pPr>
          </w:p>
        </w:tc>
        <w:tc>
          <w:tcPr>
            <w:tcW w:w="852" w:type="dxa"/>
            <w:vMerge w:val="continue"/>
            <w:vAlign w:val="center"/>
          </w:tcPr>
          <w:p>
            <w:pPr>
              <w:autoSpaceDE/>
              <w:autoSpaceDN/>
              <w:spacing w:line="360" w:lineRule="auto"/>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82" w:type="dxa"/>
            <w:vAlign w:val="center"/>
          </w:tcPr>
          <w:p>
            <w:pPr>
              <w:autoSpaceDE/>
              <w:autoSpaceDN/>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9" w:type="dxa"/>
            <w:vAlign w:val="center"/>
          </w:tcPr>
          <w:p>
            <w:pPr>
              <w:autoSpaceDE/>
              <w:autoSpaceDN/>
              <w:spacing w:line="360" w:lineRule="auto"/>
              <w:jc w:val="center"/>
              <w:rPr>
                <w:sz w:val="24"/>
                <w:szCs w:val="24"/>
              </w:rPr>
            </w:pPr>
          </w:p>
        </w:tc>
        <w:tc>
          <w:tcPr>
            <w:tcW w:w="1540" w:type="dxa"/>
            <w:vAlign w:val="center"/>
          </w:tcPr>
          <w:p>
            <w:pPr>
              <w:autoSpaceDE/>
              <w:autoSpaceDN/>
              <w:spacing w:line="360" w:lineRule="auto"/>
              <w:jc w:val="center"/>
              <w:rPr>
                <w:sz w:val="24"/>
                <w:szCs w:val="24"/>
              </w:rPr>
            </w:pPr>
            <w:r>
              <w:rPr>
                <w:rFonts w:hint="eastAsia"/>
                <w:sz w:val="24"/>
                <w:szCs w:val="24"/>
              </w:rPr>
              <w:t>……</w:t>
            </w:r>
          </w:p>
        </w:tc>
        <w:tc>
          <w:tcPr>
            <w:tcW w:w="852"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82" w:type="dxa"/>
            <w:vAlign w:val="center"/>
          </w:tcPr>
          <w:p>
            <w:pPr>
              <w:autoSpaceDE/>
              <w:autoSpaceDN/>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9" w:type="dxa"/>
            <w:vAlign w:val="center"/>
          </w:tcPr>
          <w:p>
            <w:pPr>
              <w:autoSpaceDE/>
              <w:autoSpaceDN/>
              <w:spacing w:line="360" w:lineRule="auto"/>
              <w:jc w:val="center"/>
              <w:rPr>
                <w:sz w:val="24"/>
                <w:szCs w:val="24"/>
              </w:rPr>
            </w:pPr>
          </w:p>
        </w:tc>
        <w:tc>
          <w:tcPr>
            <w:tcW w:w="1540" w:type="dxa"/>
            <w:vAlign w:val="center"/>
          </w:tcPr>
          <w:p>
            <w:pPr>
              <w:autoSpaceDE/>
              <w:autoSpaceDN/>
              <w:spacing w:line="360" w:lineRule="auto"/>
              <w:jc w:val="center"/>
              <w:rPr>
                <w:sz w:val="24"/>
                <w:szCs w:val="24"/>
              </w:rPr>
            </w:pPr>
            <w:r>
              <w:rPr>
                <w:rFonts w:hint="eastAsia"/>
                <w:sz w:val="24"/>
                <w:szCs w:val="24"/>
              </w:rPr>
              <w:t>……</w:t>
            </w:r>
          </w:p>
        </w:tc>
        <w:tc>
          <w:tcPr>
            <w:tcW w:w="852"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82" w:type="dxa"/>
            <w:vAlign w:val="center"/>
          </w:tcPr>
          <w:p>
            <w:pPr>
              <w:autoSpaceDE/>
              <w:autoSpaceDN/>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9" w:type="dxa"/>
            <w:vAlign w:val="center"/>
          </w:tcPr>
          <w:p>
            <w:pPr>
              <w:autoSpaceDE/>
              <w:autoSpaceDN/>
              <w:spacing w:line="360" w:lineRule="auto"/>
              <w:jc w:val="center"/>
              <w:rPr>
                <w:sz w:val="24"/>
                <w:szCs w:val="24"/>
              </w:rPr>
            </w:pPr>
          </w:p>
        </w:tc>
        <w:tc>
          <w:tcPr>
            <w:tcW w:w="1540" w:type="dxa"/>
            <w:vAlign w:val="center"/>
          </w:tcPr>
          <w:p>
            <w:pPr>
              <w:autoSpaceDE/>
              <w:autoSpaceDN/>
              <w:spacing w:line="360" w:lineRule="auto"/>
              <w:jc w:val="center"/>
              <w:rPr>
                <w:sz w:val="24"/>
                <w:szCs w:val="24"/>
              </w:rPr>
            </w:pPr>
            <w:r>
              <w:rPr>
                <w:rFonts w:hint="eastAsia"/>
                <w:sz w:val="24"/>
                <w:szCs w:val="24"/>
              </w:rPr>
              <w:t>……</w:t>
            </w:r>
          </w:p>
        </w:tc>
        <w:tc>
          <w:tcPr>
            <w:tcW w:w="852"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82" w:type="dxa"/>
            <w:vAlign w:val="center"/>
          </w:tcPr>
          <w:p>
            <w:pPr>
              <w:autoSpaceDE/>
              <w:autoSpaceDN/>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09" w:type="dxa"/>
            <w:vAlign w:val="center"/>
          </w:tcPr>
          <w:p>
            <w:pPr>
              <w:autoSpaceDE/>
              <w:autoSpaceDN/>
              <w:spacing w:line="360" w:lineRule="auto"/>
              <w:jc w:val="center"/>
              <w:rPr>
                <w:sz w:val="24"/>
                <w:szCs w:val="24"/>
              </w:rPr>
            </w:pPr>
          </w:p>
        </w:tc>
        <w:tc>
          <w:tcPr>
            <w:tcW w:w="1540" w:type="dxa"/>
            <w:vAlign w:val="center"/>
          </w:tcPr>
          <w:p>
            <w:pPr>
              <w:autoSpaceDE/>
              <w:autoSpaceDN/>
              <w:spacing w:line="360" w:lineRule="auto"/>
              <w:jc w:val="center"/>
              <w:rPr>
                <w:sz w:val="24"/>
                <w:szCs w:val="24"/>
              </w:rPr>
            </w:pPr>
            <w:r>
              <w:rPr>
                <w:rFonts w:hint="eastAsia"/>
                <w:sz w:val="24"/>
                <w:szCs w:val="24"/>
              </w:rPr>
              <w:t>……</w:t>
            </w:r>
          </w:p>
        </w:tc>
        <w:tc>
          <w:tcPr>
            <w:tcW w:w="852"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82" w:type="dxa"/>
            <w:vAlign w:val="center"/>
          </w:tcPr>
          <w:p>
            <w:pPr>
              <w:autoSpaceDE/>
              <w:autoSpaceDN/>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449" w:type="dxa"/>
            <w:gridSpan w:val="2"/>
            <w:vAlign w:val="center"/>
          </w:tcPr>
          <w:p>
            <w:pPr>
              <w:autoSpaceDE/>
              <w:autoSpaceDN/>
              <w:spacing w:line="360" w:lineRule="auto"/>
              <w:jc w:val="center"/>
              <w:rPr>
                <w:sz w:val="24"/>
                <w:szCs w:val="24"/>
              </w:rPr>
            </w:pPr>
            <w:r>
              <w:rPr>
                <w:rFonts w:hint="eastAsia"/>
                <w:sz w:val="24"/>
                <w:szCs w:val="24"/>
              </w:rPr>
              <w:t>其他因素得分合计</w:t>
            </w:r>
            <w:r>
              <w:rPr>
                <w:sz w:val="24"/>
                <w:szCs w:val="24"/>
              </w:rPr>
              <w:t>D(</w:t>
            </w:r>
            <w:r>
              <w:rPr>
                <w:rFonts w:hint="eastAsia"/>
                <w:sz w:val="24"/>
                <w:szCs w:val="24"/>
              </w:rPr>
              <w:t>满分</w:t>
            </w:r>
            <w:r>
              <w:rPr>
                <w:sz w:val="24"/>
                <w:szCs w:val="24"/>
              </w:rPr>
              <w:t>)</w:t>
            </w:r>
          </w:p>
        </w:tc>
        <w:tc>
          <w:tcPr>
            <w:tcW w:w="852"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76" w:type="dxa"/>
            <w:vAlign w:val="center"/>
          </w:tcPr>
          <w:p>
            <w:pPr>
              <w:autoSpaceDE/>
              <w:autoSpaceDN/>
              <w:spacing w:line="360" w:lineRule="auto"/>
              <w:jc w:val="center"/>
              <w:rPr>
                <w:sz w:val="24"/>
                <w:szCs w:val="24"/>
              </w:rPr>
            </w:pPr>
          </w:p>
        </w:tc>
        <w:tc>
          <w:tcPr>
            <w:tcW w:w="882" w:type="dxa"/>
            <w:vAlign w:val="center"/>
          </w:tcPr>
          <w:p>
            <w:pPr>
              <w:autoSpaceDE/>
              <w:autoSpaceDN/>
              <w:spacing w:line="360" w:lineRule="auto"/>
              <w:jc w:val="center"/>
              <w:rPr>
                <w:sz w:val="24"/>
                <w:szCs w:val="24"/>
              </w:rPr>
            </w:pPr>
          </w:p>
        </w:tc>
      </w:tr>
    </w:tbl>
    <w:p>
      <w:pPr>
        <w:spacing w:line="360" w:lineRule="auto"/>
        <w:rPr>
          <w:sz w:val="24"/>
          <w:szCs w:val="24"/>
        </w:rPr>
      </w:pPr>
    </w:p>
    <w:p>
      <w:pPr>
        <w:spacing w:line="360" w:lineRule="auto"/>
        <w:rPr>
          <w:sz w:val="24"/>
          <w:szCs w:val="24"/>
        </w:rPr>
      </w:pPr>
      <w:r>
        <w:rPr>
          <w:rFonts w:hint="eastAsia"/>
          <w:sz w:val="24"/>
          <w:szCs w:val="24"/>
        </w:rPr>
        <w:t>评标委员会成员签名：</w:t>
      </w:r>
      <w:r>
        <w:rPr>
          <w:sz w:val="24"/>
          <w:szCs w:val="24"/>
        </w:rPr>
        <w:t xml:space="preserve">                            </w:t>
      </w: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360" w:lineRule="auto"/>
        <w:rPr>
          <w:sz w:val="24"/>
          <w:szCs w:val="24"/>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rPr>
          <w:color w:val="000000"/>
          <w:sz w:val="24"/>
          <w:szCs w:val="24"/>
          <w:lang w:val="en-US"/>
        </w:rPr>
      </w:pPr>
    </w:p>
    <w:p>
      <w:pPr>
        <w:widowControl/>
        <w:autoSpaceDE/>
        <w:autoSpaceDN/>
        <w:spacing w:line="360" w:lineRule="auto"/>
        <w:rPr>
          <w:b/>
          <w:bCs/>
          <w:kern w:val="2"/>
          <w:sz w:val="24"/>
          <w:szCs w:val="24"/>
          <w:lang w:val="en-US"/>
        </w:rPr>
      </w:pPr>
      <w:r>
        <w:rPr>
          <w:rFonts w:hint="eastAsia"/>
          <w:b/>
          <w:bCs/>
          <w:kern w:val="2"/>
          <w:sz w:val="24"/>
          <w:szCs w:val="24"/>
          <w:lang w:val="en-US"/>
        </w:rPr>
        <w:t>附表</w:t>
      </w:r>
      <w:r>
        <w:rPr>
          <w:b/>
          <w:bCs/>
          <w:kern w:val="2"/>
          <w:sz w:val="24"/>
          <w:szCs w:val="24"/>
          <w:lang w:val="en-US"/>
        </w:rPr>
        <w:t xml:space="preserve"> A-9</w:t>
      </w:r>
      <w:r>
        <w:rPr>
          <w:rFonts w:hint="eastAsia"/>
          <w:b/>
          <w:bCs/>
          <w:kern w:val="2"/>
          <w:sz w:val="24"/>
          <w:szCs w:val="24"/>
          <w:lang w:val="en-US"/>
        </w:rPr>
        <w:t>：投标报价合理性评审记录表</w:t>
      </w:r>
      <w:r>
        <w:rPr>
          <w:b/>
          <w:bCs/>
          <w:kern w:val="2"/>
          <w:sz w:val="24"/>
          <w:szCs w:val="24"/>
          <w:lang w:val="en-US"/>
        </w:rPr>
        <w:t xml:space="preserve"> </w:t>
      </w:r>
    </w:p>
    <w:p>
      <w:pPr>
        <w:widowControl/>
        <w:autoSpaceDE/>
        <w:autoSpaceDN/>
        <w:spacing w:line="360" w:lineRule="auto"/>
        <w:jc w:val="center"/>
      </w:pPr>
      <w:r>
        <w:rPr>
          <w:rFonts w:hint="eastAsia"/>
          <w:b/>
          <w:sz w:val="24"/>
          <w:szCs w:val="24"/>
          <w:lang w:val="en-US"/>
        </w:rPr>
        <w:t>投标报价合理性评审记录表</w:t>
      </w:r>
    </w:p>
    <w:p>
      <w:pPr>
        <w:widowControl/>
        <w:autoSpaceDE/>
        <w:autoSpaceDN/>
        <w:spacing w:line="360" w:lineRule="auto"/>
        <w:rPr>
          <w:color w:val="000000"/>
          <w:sz w:val="24"/>
          <w:szCs w:val="24"/>
        </w:rPr>
      </w:pPr>
      <w:r>
        <w:rPr>
          <w:rFonts w:hint="eastAsia"/>
          <w:color w:val="000000"/>
          <w:sz w:val="24"/>
          <w:szCs w:val="24"/>
          <w:lang w:val="en-US"/>
        </w:rPr>
        <w:t>工程名称：</w:t>
      </w:r>
      <w:r>
        <w:rPr>
          <w:color w:val="000000"/>
          <w:sz w:val="24"/>
          <w:szCs w:val="24"/>
          <w:u w:val="single"/>
          <w:lang w:val="en-US"/>
        </w:rPr>
        <w:t xml:space="preserve">                 (</w:t>
      </w:r>
      <w:r>
        <w:rPr>
          <w:rFonts w:hint="eastAsia"/>
          <w:color w:val="000000"/>
          <w:sz w:val="24"/>
          <w:szCs w:val="24"/>
          <w:u w:val="single"/>
          <w:lang w:val="en-US"/>
        </w:rPr>
        <w:t>项目名称</w:t>
      </w:r>
      <w:r>
        <w:rPr>
          <w:color w:val="000000"/>
          <w:sz w:val="24"/>
          <w:szCs w:val="24"/>
          <w:u w:val="single"/>
          <w:lang w:val="en-US"/>
        </w:rPr>
        <w:t xml:space="preserve">)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8"/>
        <w:gridCol w:w="1179"/>
        <w:gridCol w:w="805"/>
        <w:gridCol w:w="778"/>
        <w:gridCol w:w="778"/>
        <w:gridCol w:w="778"/>
        <w:gridCol w:w="778"/>
        <w:gridCol w:w="778"/>
        <w:gridCol w:w="779"/>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400" w:type="dxa"/>
            <w:vMerge w:val="restart"/>
            <w:vAlign w:val="center"/>
          </w:tcPr>
          <w:p>
            <w:pPr>
              <w:widowControl/>
              <w:jc w:val="center"/>
              <w:rPr>
                <w:color w:val="000000"/>
                <w:sz w:val="24"/>
                <w:szCs w:val="24"/>
                <w:lang w:val="en-US"/>
              </w:rPr>
            </w:pPr>
            <w:r>
              <w:rPr>
                <w:rFonts w:hint="eastAsia"/>
                <w:color w:val="000000"/>
                <w:sz w:val="24"/>
                <w:szCs w:val="24"/>
                <w:lang w:val="en-US"/>
              </w:rPr>
              <w:t>序号</w:t>
            </w:r>
          </w:p>
        </w:tc>
        <w:tc>
          <w:tcPr>
            <w:tcW w:w="1243" w:type="dxa"/>
            <w:vMerge w:val="restart"/>
            <w:vAlign w:val="center"/>
          </w:tcPr>
          <w:p>
            <w:pPr>
              <w:widowControl/>
              <w:jc w:val="center"/>
              <w:rPr>
                <w:color w:val="000000"/>
                <w:sz w:val="24"/>
                <w:szCs w:val="24"/>
                <w:lang w:val="en-US"/>
              </w:rPr>
            </w:pPr>
            <w:r>
              <w:rPr>
                <w:rFonts w:hint="eastAsia"/>
                <w:color w:val="000000"/>
                <w:sz w:val="24"/>
                <w:szCs w:val="24"/>
                <w:lang w:val="en-US"/>
              </w:rPr>
              <w:t>评分项目</w:t>
            </w:r>
          </w:p>
        </w:tc>
        <w:tc>
          <w:tcPr>
            <w:tcW w:w="852" w:type="dxa"/>
            <w:vMerge w:val="restart"/>
            <w:vAlign w:val="center"/>
          </w:tcPr>
          <w:p>
            <w:pPr>
              <w:widowControl/>
              <w:jc w:val="center"/>
              <w:rPr>
                <w:color w:val="000000"/>
                <w:sz w:val="24"/>
                <w:szCs w:val="24"/>
                <w:lang w:val="en-US"/>
              </w:rPr>
            </w:pPr>
            <w:r>
              <w:rPr>
                <w:rFonts w:hint="eastAsia"/>
                <w:color w:val="000000"/>
                <w:sz w:val="24"/>
                <w:szCs w:val="24"/>
                <w:lang w:val="en-US"/>
              </w:rPr>
              <w:t>标准分</w:t>
            </w:r>
          </w:p>
        </w:tc>
        <w:tc>
          <w:tcPr>
            <w:tcW w:w="5966" w:type="dxa"/>
            <w:gridSpan w:val="7"/>
            <w:vAlign w:val="center"/>
          </w:tcPr>
          <w:p>
            <w:pPr>
              <w:widowControl/>
              <w:jc w:val="center"/>
              <w:rPr>
                <w:color w:val="000000"/>
                <w:sz w:val="24"/>
                <w:szCs w:val="24"/>
                <w:lang w:val="en-US"/>
              </w:rPr>
            </w:pPr>
            <w:r>
              <w:rPr>
                <w:rFonts w:hint="eastAsia"/>
                <w:color w:val="000000"/>
                <w:sz w:val="24"/>
                <w:szCs w:val="24"/>
                <w:lang w:val="en-US"/>
              </w:rPr>
              <w:t>投标人名称代码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00" w:type="dxa"/>
            <w:vMerge w:val="continue"/>
            <w:vAlign w:val="center"/>
          </w:tcPr>
          <w:p>
            <w:pPr>
              <w:widowControl/>
              <w:jc w:val="center"/>
              <w:rPr>
                <w:color w:val="000000"/>
                <w:sz w:val="24"/>
                <w:szCs w:val="24"/>
                <w:lang w:val="en-US"/>
              </w:rPr>
            </w:pPr>
          </w:p>
        </w:tc>
        <w:tc>
          <w:tcPr>
            <w:tcW w:w="1243" w:type="dxa"/>
            <w:vMerge w:val="continue"/>
            <w:vAlign w:val="center"/>
          </w:tcPr>
          <w:p>
            <w:pPr>
              <w:widowControl/>
              <w:jc w:val="center"/>
              <w:rPr>
                <w:color w:val="000000"/>
                <w:sz w:val="24"/>
                <w:szCs w:val="24"/>
                <w:lang w:val="en-US"/>
              </w:rPr>
            </w:pPr>
          </w:p>
        </w:tc>
        <w:tc>
          <w:tcPr>
            <w:tcW w:w="852" w:type="dxa"/>
            <w:vMerge w:val="continue"/>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3" w:type="dxa"/>
            <w:vAlign w:val="center"/>
          </w:tcPr>
          <w:p>
            <w:pPr>
              <w:widowControl/>
              <w:jc w:val="center"/>
              <w:rPr>
                <w:color w:val="000000"/>
                <w:sz w:val="24"/>
                <w:szCs w:val="24"/>
                <w:lang w:val="en-US"/>
              </w:rPr>
            </w:pPr>
          </w:p>
        </w:tc>
        <w:tc>
          <w:tcPr>
            <w:tcW w:w="853" w:type="dxa"/>
            <w:vAlign w:val="center"/>
          </w:tcPr>
          <w:p>
            <w:pPr>
              <w:widowControl/>
              <w:jc w:val="center"/>
              <w:rPr>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00" w:type="dxa"/>
            <w:vAlign w:val="center"/>
          </w:tcPr>
          <w:p>
            <w:pPr>
              <w:widowControl/>
              <w:jc w:val="center"/>
              <w:rPr>
                <w:color w:val="000000"/>
                <w:sz w:val="24"/>
                <w:szCs w:val="24"/>
                <w:lang w:val="en-US"/>
              </w:rPr>
            </w:pPr>
            <w:r>
              <w:rPr>
                <w:color w:val="000000"/>
                <w:sz w:val="24"/>
                <w:szCs w:val="24"/>
                <w:lang w:val="en-US"/>
              </w:rPr>
              <w:t>1</w:t>
            </w:r>
          </w:p>
          <w:p>
            <w:pPr>
              <w:widowControl/>
              <w:jc w:val="center"/>
              <w:rPr>
                <w:color w:val="000000"/>
                <w:sz w:val="24"/>
                <w:szCs w:val="24"/>
                <w:lang w:val="en-US"/>
              </w:rPr>
            </w:pPr>
          </w:p>
        </w:tc>
        <w:tc>
          <w:tcPr>
            <w:tcW w:w="1243" w:type="dxa"/>
            <w:vAlign w:val="center"/>
          </w:tcPr>
          <w:p>
            <w:pPr>
              <w:widowControl/>
              <w:jc w:val="center"/>
              <w:rPr>
                <w:color w:val="000000"/>
                <w:sz w:val="24"/>
                <w:szCs w:val="24"/>
                <w:lang w:val="en-US"/>
              </w:rPr>
            </w:pPr>
            <w:r>
              <w:rPr>
                <w:rFonts w:hint="eastAsia"/>
                <w:color w:val="000000"/>
                <w:sz w:val="18"/>
                <w:szCs w:val="18"/>
                <w:lang w:val="en-US"/>
              </w:rPr>
              <w:t>工程量清单各子目的综合单价金额与合理性分析基准值比较</w:t>
            </w:r>
          </w:p>
        </w:tc>
        <w:tc>
          <w:tcPr>
            <w:tcW w:w="852" w:type="dxa"/>
            <w:vAlign w:val="center"/>
          </w:tcPr>
          <w:p>
            <w:pPr>
              <w:widowControl/>
              <w:jc w:val="center"/>
              <w:rPr>
                <w:color w:val="000000"/>
                <w:sz w:val="24"/>
                <w:szCs w:val="24"/>
                <w:lang w:val="en-US"/>
              </w:rPr>
            </w:pPr>
            <w:r>
              <w:rPr>
                <w:color w:val="000000"/>
                <w:sz w:val="24"/>
                <w:szCs w:val="24"/>
                <w:lang w:val="en-US"/>
              </w:rPr>
              <w:t>5</w:t>
            </w: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3" w:type="dxa"/>
            <w:vAlign w:val="center"/>
          </w:tcPr>
          <w:p>
            <w:pPr>
              <w:widowControl/>
              <w:jc w:val="center"/>
              <w:rPr>
                <w:color w:val="000000"/>
                <w:sz w:val="24"/>
                <w:szCs w:val="24"/>
                <w:lang w:val="en-US"/>
              </w:rPr>
            </w:pPr>
          </w:p>
        </w:tc>
        <w:tc>
          <w:tcPr>
            <w:tcW w:w="853" w:type="dxa"/>
            <w:vAlign w:val="center"/>
          </w:tcPr>
          <w:p>
            <w:pPr>
              <w:widowControl/>
              <w:jc w:val="center"/>
              <w:rPr>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00" w:type="dxa"/>
            <w:vAlign w:val="center"/>
          </w:tcPr>
          <w:p>
            <w:pPr>
              <w:widowControl/>
              <w:jc w:val="center"/>
              <w:rPr>
                <w:color w:val="000000"/>
                <w:sz w:val="24"/>
                <w:szCs w:val="24"/>
                <w:lang w:val="en-US"/>
              </w:rPr>
            </w:pPr>
            <w:r>
              <w:rPr>
                <w:color w:val="000000"/>
                <w:sz w:val="24"/>
                <w:szCs w:val="24"/>
                <w:lang w:val="en-US"/>
              </w:rPr>
              <w:t>2</w:t>
            </w:r>
          </w:p>
        </w:tc>
        <w:tc>
          <w:tcPr>
            <w:tcW w:w="1243"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3" w:type="dxa"/>
            <w:vAlign w:val="center"/>
          </w:tcPr>
          <w:p>
            <w:pPr>
              <w:widowControl/>
              <w:jc w:val="center"/>
              <w:rPr>
                <w:color w:val="000000"/>
                <w:sz w:val="24"/>
                <w:szCs w:val="24"/>
                <w:lang w:val="en-US"/>
              </w:rPr>
            </w:pPr>
          </w:p>
        </w:tc>
        <w:tc>
          <w:tcPr>
            <w:tcW w:w="853" w:type="dxa"/>
            <w:vAlign w:val="center"/>
          </w:tcPr>
          <w:p>
            <w:pPr>
              <w:widowControl/>
              <w:jc w:val="center"/>
              <w:rPr>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00" w:type="dxa"/>
            <w:vAlign w:val="center"/>
          </w:tcPr>
          <w:p>
            <w:pPr>
              <w:widowControl/>
              <w:jc w:val="center"/>
              <w:rPr>
                <w:color w:val="000000"/>
                <w:sz w:val="24"/>
                <w:szCs w:val="24"/>
                <w:lang w:val="en-US"/>
              </w:rPr>
            </w:pPr>
          </w:p>
        </w:tc>
        <w:tc>
          <w:tcPr>
            <w:tcW w:w="1243" w:type="dxa"/>
            <w:vAlign w:val="center"/>
          </w:tcPr>
          <w:p>
            <w:pPr>
              <w:widowControl/>
              <w:jc w:val="center"/>
              <w:rPr>
                <w:color w:val="000000"/>
                <w:sz w:val="24"/>
                <w:szCs w:val="24"/>
                <w:lang w:val="en-US"/>
              </w:rPr>
            </w:pPr>
            <w:r>
              <w:rPr>
                <w:rFonts w:hint="eastAsia"/>
                <w:color w:val="000000"/>
                <w:sz w:val="24"/>
                <w:szCs w:val="24"/>
                <w:lang w:val="en-US"/>
              </w:rPr>
              <w:t>……</w:t>
            </w: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3" w:type="dxa"/>
            <w:vAlign w:val="center"/>
          </w:tcPr>
          <w:p>
            <w:pPr>
              <w:widowControl/>
              <w:jc w:val="center"/>
              <w:rPr>
                <w:color w:val="000000"/>
                <w:sz w:val="24"/>
                <w:szCs w:val="24"/>
                <w:lang w:val="en-US"/>
              </w:rPr>
            </w:pPr>
          </w:p>
        </w:tc>
        <w:tc>
          <w:tcPr>
            <w:tcW w:w="853" w:type="dxa"/>
            <w:vAlign w:val="center"/>
          </w:tcPr>
          <w:p>
            <w:pPr>
              <w:widowControl/>
              <w:jc w:val="center"/>
              <w:rPr>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400" w:type="dxa"/>
            <w:vAlign w:val="center"/>
          </w:tcPr>
          <w:p>
            <w:pPr>
              <w:widowControl/>
              <w:jc w:val="center"/>
              <w:rPr>
                <w:color w:val="000000"/>
                <w:sz w:val="24"/>
                <w:szCs w:val="24"/>
                <w:lang w:val="en-US"/>
              </w:rPr>
            </w:pPr>
          </w:p>
        </w:tc>
        <w:tc>
          <w:tcPr>
            <w:tcW w:w="1243" w:type="dxa"/>
            <w:vAlign w:val="center"/>
          </w:tcPr>
          <w:p>
            <w:pPr>
              <w:widowControl/>
              <w:jc w:val="center"/>
              <w:rPr>
                <w:color w:val="000000"/>
                <w:sz w:val="24"/>
                <w:szCs w:val="24"/>
                <w:lang w:val="en-US"/>
              </w:rPr>
            </w:pPr>
            <w:r>
              <w:rPr>
                <w:rFonts w:hint="eastAsia"/>
                <w:color w:val="000000"/>
                <w:sz w:val="24"/>
                <w:szCs w:val="24"/>
                <w:lang w:val="en-US"/>
              </w:rPr>
              <w:t>……</w:t>
            </w: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3" w:type="dxa"/>
            <w:vAlign w:val="center"/>
          </w:tcPr>
          <w:p>
            <w:pPr>
              <w:widowControl/>
              <w:jc w:val="center"/>
              <w:rPr>
                <w:color w:val="000000"/>
                <w:sz w:val="24"/>
                <w:szCs w:val="24"/>
                <w:lang w:val="en-US"/>
              </w:rPr>
            </w:pPr>
          </w:p>
        </w:tc>
        <w:tc>
          <w:tcPr>
            <w:tcW w:w="853" w:type="dxa"/>
            <w:vAlign w:val="center"/>
          </w:tcPr>
          <w:p>
            <w:pPr>
              <w:widowControl/>
              <w:jc w:val="center"/>
              <w:rPr>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3" w:type="dxa"/>
            <w:gridSpan w:val="2"/>
            <w:vAlign w:val="center"/>
          </w:tcPr>
          <w:p>
            <w:pPr>
              <w:widowControl/>
              <w:jc w:val="center"/>
              <w:rPr>
                <w:color w:val="000000"/>
                <w:sz w:val="24"/>
                <w:szCs w:val="24"/>
                <w:lang w:val="en-US"/>
              </w:rPr>
            </w:pPr>
            <w:r>
              <w:rPr>
                <w:rFonts w:hint="eastAsia"/>
                <w:color w:val="000000"/>
                <w:sz w:val="24"/>
                <w:szCs w:val="24"/>
                <w:lang w:val="en-US"/>
              </w:rPr>
              <w:t>投标报价合理性得分合计</w:t>
            </w:r>
            <w:r>
              <w:rPr>
                <w:color w:val="000000"/>
                <w:sz w:val="24"/>
                <w:szCs w:val="24"/>
                <w:lang w:val="en-US"/>
              </w:rPr>
              <w:t>F(</w:t>
            </w:r>
            <w:r>
              <w:rPr>
                <w:rFonts w:hint="eastAsia"/>
                <w:color w:val="000000"/>
                <w:sz w:val="24"/>
                <w:szCs w:val="24"/>
                <w:lang w:val="en-US"/>
              </w:rPr>
              <w:t>满分</w:t>
            </w:r>
            <w:r>
              <w:rPr>
                <w:color w:val="000000"/>
                <w:sz w:val="24"/>
                <w:szCs w:val="24"/>
                <w:lang w:val="en-US"/>
              </w:rPr>
              <w:t>)</w:t>
            </w: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2" w:type="dxa"/>
            <w:vAlign w:val="center"/>
          </w:tcPr>
          <w:p>
            <w:pPr>
              <w:widowControl/>
              <w:jc w:val="center"/>
              <w:rPr>
                <w:color w:val="000000"/>
                <w:sz w:val="24"/>
                <w:szCs w:val="24"/>
                <w:lang w:val="en-US"/>
              </w:rPr>
            </w:pPr>
          </w:p>
        </w:tc>
        <w:tc>
          <w:tcPr>
            <w:tcW w:w="853" w:type="dxa"/>
            <w:vAlign w:val="center"/>
          </w:tcPr>
          <w:p>
            <w:pPr>
              <w:widowControl/>
              <w:jc w:val="center"/>
              <w:rPr>
                <w:color w:val="000000"/>
                <w:sz w:val="24"/>
                <w:szCs w:val="24"/>
                <w:lang w:val="en-US"/>
              </w:rPr>
            </w:pPr>
          </w:p>
        </w:tc>
        <w:tc>
          <w:tcPr>
            <w:tcW w:w="853" w:type="dxa"/>
            <w:vAlign w:val="center"/>
          </w:tcPr>
          <w:p>
            <w:pPr>
              <w:widowControl/>
              <w:jc w:val="center"/>
              <w:rPr>
                <w:color w:val="000000"/>
                <w:sz w:val="24"/>
                <w:szCs w:val="24"/>
                <w:lang w:val="en-US"/>
              </w:rPr>
            </w:pPr>
          </w:p>
        </w:tc>
      </w:tr>
    </w:tbl>
    <w:p>
      <w:pPr>
        <w:widowControl/>
        <w:rPr>
          <w:color w:val="000000"/>
          <w:sz w:val="24"/>
          <w:szCs w:val="24"/>
          <w:lang w:val="en-US"/>
        </w:rPr>
      </w:pPr>
    </w:p>
    <w:p>
      <w:pPr>
        <w:widowControl/>
        <w:autoSpaceDE/>
        <w:autoSpaceDN/>
        <w:spacing w:line="360" w:lineRule="auto"/>
        <w:rPr>
          <w:sz w:val="24"/>
          <w:szCs w:val="24"/>
        </w:rPr>
      </w:pPr>
      <w:r>
        <w:rPr>
          <w:rFonts w:hint="eastAsia"/>
          <w:sz w:val="24"/>
          <w:szCs w:val="24"/>
        </w:rPr>
        <w:t>评标委员会成员签名：</w:t>
      </w:r>
      <w:r>
        <w:rPr>
          <w:sz w:val="24"/>
          <w:szCs w:val="24"/>
        </w:rPr>
        <w:t xml:space="preserve">                            </w:t>
      </w: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br w:type="page"/>
      </w:r>
      <w:r>
        <w:rPr>
          <w:rFonts w:hint="eastAsia"/>
          <w:b/>
          <w:bCs/>
          <w:kern w:val="2"/>
          <w:sz w:val="24"/>
          <w:szCs w:val="24"/>
          <w:lang w:val="en-US"/>
        </w:rPr>
        <w:t>附表</w:t>
      </w:r>
      <w:r>
        <w:rPr>
          <w:b/>
          <w:bCs/>
          <w:kern w:val="2"/>
          <w:sz w:val="24"/>
          <w:szCs w:val="24"/>
          <w:lang w:val="en-US"/>
        </w:rPr>
        <w:t>A-10</w:t>
      </w:r>
      <w:r>
        <w:rPr>
          <w:rFonts w:hint="eastAsia"/>
          <w:b/>
          <w:bCs/>
          <w:kern w:val="2"/>
          <w:sz w:val="24"/>
          <w:szCs w:val="24"/>
          <w:lang w:val="en-US"/>
        </w:rPr>
        <w:t>：详细评审评分汇总表</w:t>
      </w:r>
    </w:p>
    <w:p>
      <w:pPr>
        <w:autoSpaceDE/>
        <w:autoSpaceDN/>
        <w:spacing w:line="360" w:lineRule="auto"/>
        <w:jc w:val="center"/>
        <w:rPr>
          <w:b/>
          <w:sz w:val="24"/>
          <w:szCs w:val="24"/>
        </w:rPr>
      </w:pPr>
      <w:r>
        <w:rPr>
          <w:rFonts w:hint="eastAsia"/>
          <w:b/>
          <w:sz w:val="24"/>
          <w:szCs w:val="24"/>
        </w:rPr>
        <w:t>详细评审评分汇总表</w:t>
      </w:r>
    </w:p>
    <w:p>
      <w:pPr>
        <w:autoSpaceDE/>
        <w:autoSpaceDN/>
        <w:spacing w:line="360" w:lineRule="auto"/>
        <w:rPr>
          <w:sz w:val="24"/>
          <w:szCs w:val="24"/>
        </w:rPr>
      </w:pPr>
      <w:r>
        <w:rPr>
          <w:rFonts w:hint="eastAsia"/>
          <w:color w:val="000000"/>
          <w:sz w:val="24"/>
          <w:szCs w:val="24"/>
        </w:rPr>
        <w:t>工程名称：</w:t>
      </w:r>
      <w:r>
        <w:rPr>
          <w:color w:val="000000"/>
          <w:sz w:val="24"/>
          <w:szCs w:val="24"/>
          <w:u w:val="single"/>
        </w:rPr>
        <w:t>(</w:t>
      </w:r>
      <w:r>
        <w:rPr>
          <w:rFonts w:hint="eastAsia"/>
          <w:color w:val="000000"/>
          <w:sz w:val="24"/>
          <w:szCs w:val="24"/>
          <w:u w:val="single"/>
        </w:rPr>
        <w:t>项目名称</w:t>
      </w:r>
      <w:r>
        <w:rPr>
          <w:color w:val="000000"/>
          <w:sz w:val="24"/>
          <w:szCs w:val="24"/>
          <w:u w:val="single"/>
        </w:rPr>
        <w:t xml:space="preserve">)  </w:t>
      </w:r>
      <w:r>
        <w:rPr>
          <w:color w:val="000000"/>
          <w:sz w:val="24"/>
          <w:szCs w:val="24"/>
          <w:u w:val="single"/>
          <w:lang w:val="en-US"/>
        </w:rPr>
        <w:t xml:space="preserve">         </w:t>
      </w:r>
    </w:p>
    <w:tbl>
      <w:tblPr>
        <w:tblStyle w:val="3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15"/>
        <w:gridCol w:w="1474"/>
        <w:gridCol w:w="1003"/>
        <w:gridCol w:w="935"/>
        <w:gridCol w:w="935"/>
        <w:gridCol w:w="935"/>
        <w:gridCol w:w="935"/>
        <w:gridCol w:w="935"/>
        <w:gridCol w:w="935"/>
        <w:gridCol w:w="9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 w:type="dxa"/>
            <w:vMerge w:val="restart"/>
            <w:vAlign w:val="center"/>
          </w:tcPr>
          <w:p>
            <w:pPr>
              <w:spacing w:line="360" w:lineRule="auto"/>
              <w:jc w:val="center"/>
              <w:rPr>
                <w:sz w:val="24"/>
                <w:szCs w:val="24"/>
              </w:rPr>
            </w:pPr>
            <w:r>
              <w:rPr>
                <w:rFonts w:hint="eastAsia"/>
                <w:sz w:val="24"/>
                <w:szCs w:val="24"/>
              </w:rPr>
              <w:t>序号</w:t>
            </w:r>
          </w:p>
        </w:tc>
        <w:tc>
          <w:tcPr>
            <w:tcW w:w="1474" w:type="dxa"/>
            <w:vMerge w:val="restart"/>
            <w:vAlign w:val="center"/>
          </w:tcPr>
          <w:p>
            <w:pPr>
              <w:spacing w:line="360" w:lineRule="auto"/>
              <w:jc w:val="center"/>
              <w:rPr>
                <w:sz w:val="24"/>
                <w:szCs w:val="24"/>
              </w:rPr>
            </w:pPr>
            <w:r>
              <w:rPr>
                <w:rFonts w:hint="eastAsia"/>
                <w:sz w:val="24"/>
                <w:szCs w:val="24"/>
              </w:rPr>
              <w:t>评分项目</w:t>
            </w:r>
          </w:p>
        </w:tc>
        <w:tc>
          <w:tcPr>
            <w:tcW w:w="1003" w:type="dxa"/>
            <w:vMerge w:val="restart"/>
            <w:vAlign w:val="center"/>
          </w:tcPr>
          <w:p>
            <w:pPr>
              <w:spacing w:line="360" w:lineRule="auto"/>
              <w:jc w:val="center"/>
              <w:rPr>
                <w:sz w:val="24"/>
                <w:szCs w:val="24"/>
              </w:rPr>
            </w:pPr>
            <w:r>
              <w:rPr>
                <w:rFonts w:hint="eastAsia"/>
                <w:sz w:val="24"/>
                <w:szCs w:val="24"/>
              </w:rPr>
              <w:t>分值代码</w:t>
            </w:r>
          </w:p>
        </w:tc>
        <w:tc>
          <w:tcPr>
            <w:tcW w:w="6547" w:type="dxa"/>
            <w:gridSpan w:val="7"/>
            <w:vAlign w:val="center"/>
          </w:tcPr>
          <w:p>
            <w:pPr>
              <w:spacing w:line="360" w:lineRule="auto"/>
              <w:jc w:val="center"/>
              <w:rPr>
                <w:sz w:val="24"/>
                <w:szCs w:val="24"/>
              </w:rPr>
            </w:pPr>
            <w:r>
              <w:rPr>
                <w:rFonts w:hint="eastAsia"/>
                <w:sz w:val="24"/>
                <w:szCs w:val="24"/>
              </w:rPr>
              <w:t>投标人名称代码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 w:type="dxa"/>
            <w:vMerge w:val="continue"/>
            <w:vAlign w:val="center"/>
          </w:tcPr>
          <w:p>
            <w:pPr>
              <w:spacing w:line="360" w:lineRule="auto"/>
              <w:rPr>
                <w:sz w:val="24"/>
                <w:szCs w:val="24"/>
              </w:rPr>
            </w:pPr>
          </w:p>
        </w:tc>
        <w:tc>
          <w:tcPr>
            <w:tcW w:w="1474" w:type="dxa"/>
            <w:vMerge w:val="continue"/>
            <w:vAlign w:val="center"/>
          </w:tcPr>
          <w:p>
            <w:pPr>
              <w:spacing w:line="360" w:lineRule="auto"/>
              <w:rPr>
                <w:sz w:val="24"/>
                <w:szCs w:val="24"/>
              </w:rPr>
            </w:pPr>
          </w:p>
        </w:tc>
        <w:tc>
          <w:tcPr>
            <w:tcW w:w="1003" w:type="dxa"/>
            <w:vMerge w:val="continue"/>
            <w:vAlign w:val="center"/>
          </w:tcPr>
          <w:p>
            <w:pPr>
              <w:spacing w:line="360" w:lineRule="auto"/>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7"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 w:type="dxa"/>
            <w:vAlign w:val="center"/>
          </w:tcPr>
          <w:p>
            <w:pPr>
              <w:spacing w:line="360" w:lineRule="auto"/>
              <w:jc w:val="center"/>
              <w:rPr>
                <w:sz w:val="24"/>
                <w:szCs w:val="24"/>
              </w:rPr>
            </w:pPr>
            <w:r>
              <w:rPr>
                <w:sz w:val="24"/>
                <w:szCs w:val="24"/>
              </w:rPr>
              <w:t>1</w:t>
            </w:r>
          </w:p>
        </w:tc>
        <w:tc>
          <w:tcPr>
            <w:tcW w:w="1474" w:type="dxa"/>
            <w:vAlign w:val="center"/>
          </w:tcPr>
          <w:p>
            <w:pPr>
              <w:spacing w:line="360" w:lineRule="auto"/>
              <w:jc w:val="center"/>
              <w:rPr>
                <w:sz w:val="24"/>
                <w:szCs w:val="24"/>
              </w:rPr>
            </w:pPr>
            <w:r>
              <w:rPr>
                <w:rFonts w:hint="eastAsia"/>
                <w:sz w:val="24"/>
                <w:szCs w:val="24"/>
              </w:rPr>
              <w:t>施工组织设计</w:t>
            </w:r>
          </w:p>
        </w:tc>
        <w:tc>
          <w:tcPr>
            <w:tcW w:w="1003" w:type="dxa"/>
            <w:vAlign w:val="center"/>
          </w:tcPr>
          <w:p>
            <w:pPr>
              <w:spacing w:line="360" w:lineRule="auto"/>
              <w:jc w:val="center"/>
              <w:rPr>
                <w:sz w:val="24"/>
                <w:szCs w:val="24"/>
              </w:rPr>
            </w:pPr>
            <w:r>
              <w:rPr>
                <w:sz w:val="24"/>
                <w:szCs w:val="24"/>
              </w:rPr>
              <w:t>A</w:t>
            </w: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7"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 w:type="dxa"/>
            <w:vAlign w:val="center"/>
          </w:tcPr>
          <w:p>
            <w:pPr>
              <w:spacing w:line="360" w:lineRule="auto"/>
              <w:jc w:val="center"/>
              <w:rPr>
                <w:sz w:val="24"/>
                <w:szCs w:val="24"/>
              </w:rPr>
            </w:pPr>
            <w:r>
              <w:rPr>
                <w:sz w:val="24"/>
                <w:szCs w:val="24"/>
              </w:rPr>
              <w:t>2</w:t>
            </w:r>
          </w:p>
        </w:tc>
        <w:tc>
          <w:tcPr>
            <w:tcW w:w="1474" w:type="dxa"/>
            <w:vAlign w:val="center"/>
          </w:tcPr>
          <w:p>
            <w:pPr>
              <w:spacing w:line="360" w:lineRule="auto"/>
              <w:jc w:val="center"/>
              <w:rPr>
                <w:sz w:val="24"/>
                <w:szCs w:val="24"/>
              </w:rPr>
            </w:pPr>
            <w:r>
              <w:rPr>
                <w:rFonts w:hint="eastAsia"/>
                <w:sz w:val="24"/>
                <w:szCs w:val="24"/>
              </w:rPr>
              <w:t>项目管理机构及业绩</w:t>
            </w:r>
          </w:p>
        </w:tc>
        <w:tc>
          <w:tcPr>
            <w:tcW w:w="1003" w:type="dxa"/>
            <w:vAlign w:val="center"/>
          </w:tcPr>
          <w:p>
            <w:pPr>
              <w:spacing w:line="360" w:lineRule="auto"/>
              <w:jc w:val="center"/>
              <w:rPr>
                <w:sz w:val="24"/>
                <w:szCs w:val="24"/>
              </w:rPr>
            </w:pPr>
            <w:r>
              <w:rPr>
                <w:sz w:val="24"/>
                <w:szCs w:val="24"/>
              </w:rPr>
              <w:t>B</w:t>
            </w: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7"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 w:type="dxa"/>
            <w:vAlign w:val="center"/>
          </w:tcPr>
          <w:p>
            <w:pPr>
              <w:spacing w:line="360" w:lineRule="auto"/>
              <w:jc w:val="center"/>
              <w:rPr>
                <w:sz w:val="24"/>
                <w:szCs w:val="24"/>
              </w:rPr>
            </w:pPr>
            <w:r>
              <w:rPr>
                <w:sz w:val="24"/>
                <w:szCs w:val="24"/>
              </w:rPr>
              <w:t>3</w:t>
            </w:r>
          </w:p>
        </w:tc>
        <w:tc>
          <w:tcPr>
            <w:tcW w:w="1474" w:type="dxa"/>
            <w:vAlign w:val="center"/>
          </w:tcPr>
          <w:p>
            <w:pPr>
              <w:spacing w:line="360" w:lineRule="auto"/>
              <w:jc w:val="center"/>
              <w:rPr>
                <w:sz w:val="24"/>
                <w:szCs w:val="24"/>
              </w:rPr>
            </w:pPr>
            <w:r>
              <w:rPr>
                <w:rFonts w:hint="eastAsia"/>
                <w:sz w:val="24"/>
                <w:szCs w:val="24"/>
              </w:rPr>
              <w:t>投标报价</w:t>
            </w:r>
          </w:p>
        </w:tc>
        <w:tc>
          <w:tcPr>
            <w:tcW w:w="1003" w:type="dxa"/>
            <w:vAlign w:val="center"/>
          </w:tcPr>
          <w:p>
            <w:pPr>
              <w:spacing w:line="360" w:lineRule="auto"/>
              <w:jc w:val="center"/>
              <w:rPr>
                <w:sz w:val="24"/>
                <w:szCs w:val="24"/>
              </w:rPr>
            </w:pPr>
            <w:r>
              <w:rPr>
                <w:sz w:val="24"/>
                <w:szCs w:val="24"/>
              </w:rPr>
              <w:t>C</w:t>
            </w: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7"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 w:type="dxa"/>
            <w:vAlign w:val="center"/>
          </w:tcPr>
          <w:p>
            <w:pPr>
              <w:spacing w:line="360" w:lineRule="auto"/>
              <w:jc w:val="center"/>
              <w:rPr>
                <w:sz w:val="24"/>
                <w:szCs w:val="24"/>
              </w:rPr>
            </w:pPr>
            <w:r>
              <w:rPr>
                <w:sz w:val="24"/>
                <w:szCs w:val="24"/>
              </w:rPr>
              <w:t>4</w:t>
            </w:r>
          </w:p>
        </w:tc>
        <w:tc>
          <w:tcPr>
            <w:tcW w:w="1474" w:type="dxa"/>
          </w:tcPr>
          <w:p>
            <w:r>
              <w:rPr>
                <w:rFonts w:hint="eastAsia"/>
              </w:rPr>
              <w:t>其他评审评分标准</w:t>
            </w:r>
          </w:p>
        </w:tc>
        <w:tc>
          <w:tcPr>
            <w:tcW w:w="1003" w:type="dxa"/>
            <w:vAlign w:val="center"/>
          </w:tcPr>
          <w:p>
            <w:pPr>
              <w:spacing w:line="360" w:lineRule="auto"/>
              <w:jc w:val="center"/>
              <w:rPr>
                <w:sz w:val="24"/>
                <w:szCs w:val="24"/>
              </w:rPr>
            </w:pPr>
            <w:r>
              <w:rPr>
                <w:sz w:val="24"/>
                <w:szCs w:val="24"/>
              </w:rPr>
              <w:t>D</w:t>
            </w: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7"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15" w:type="dxa"/>
            <w:vAlign w:val="center"/>
          </w:tcPr>
          <w:p>
            <w:pPr>
              <w:spacing w:line="360" w:lineRule="auto"/>
              <w:jc w:val="center"/>
              <w:rPr>
                <w:sz w:val="24"/>
                <w:szCs w:val="24"/>
              </w:rPr>
            </w:pPr>
            <w:r>
              <w:rPr>
                <w:sz w:val="24"/>
                <w:szCs w:val="24"/>
              </w:rPr>
              <w:t>5</w:t>
            </w:r>
          </w:p>
        </w:tc>
        <w:tc>
          <w:tcPr>
            <w:tcW w:w="1474" w:type="dxa"/>
            <w:vAlign w:val="center"/>
          </w:tcPr>
          <w:p>
            <w:pPr>
              <w:spacing w:line="360" w:lineRule="auto"/>
              <w:jc w:val="center"/>
              <w:rPr>
                <w:sz w:val="24"/>
                <w:szCs w:val="24"/>
              </w:rPr>
            </w:pPr>
            <w:r>
              <w:rPr>
                <w:rFonts w:hint="eastAsia"/>
              </w:rPr>
              <w:t>投标报价合理性</w:t>
            </w:r>
          </w:p>
        </w:tc>
        <w:tc>
          <w:tcPr>
            <w:tcW w:w="1003" w:type="dxa"/>
            <w:vAlign w:val="center"/>
          </w:tcPr>
          <w:p>
            <w:pPr>
              <w:spacing w:line="360" w:lineRule="auto"/>
              <w:jc w:val="center"/>
              <w:rPr>
                <w:sz w:val="24"/>
                <w:szCs w:val="24"/>
              </w:rPr>
            </w:pPr>
            <w:r>
              <w:rPr>
                <w:sz w:val="24"/>
                <w:szCs w:val="24"/>
              </w:rPr>
              <w:t>E</w:t>
            </w: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7"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2892" w:type="dxa"/>
            <w:gridSpan w:val="3"/>
            <w:vAlign w:val="center"/>
          </w:tcPr>
          <w:p>
            <w:pPr>
              <w:spacing w:line="360" w:lineRule="auto"/>
              <w:jc w:val="center"/>
              <w:rPr>
                <w:sz w:val="24"/>
                <w:szCs w:val="24"/>
              </w:rPr>
            </w:pPr>
            <w:r>
              <w:rPr>
                <w:rFonts w:hint="eastAsia"/>
                <w:sz w:val="24"/>
                <w:szCs w:val="24"/>
              </w:rPr>
              <w:t>详细评审得分合计</w:t>
            </w: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5" w:type="dxa"/>
            <w:vAlign w:val="center"/>
          </w:tcPr>
          <w:p>
            <w:pPr>
              <w:spacing w:line="360" w:lineRule="auto"/>
              <w:jc w:val="center"/>
              <w:rPr>
                <w:sz w:val="24"/>
                <w:szCs w:val="24"/>
              </w:rPr>
            </w:pPr>
          </w:p>
        </w:tc>
        <w:tc>
          <w:tcPr>
            <w:tcW w:w="937" w:type="dxa"/>
            <w:vAlign w:val="center"/>
          </w:tcPr>
          <w:p>
            <w:pPr>
              <w:spacing w:line="360" w:lineRule="auto"/>
              <w:jc w:val="center"/>
              <w:rPr>
                <w:sz w:val="24"/>
                <w:szCs w:val="24"/>
              </w:rPr>
            </w:pPr>
          </w:p>
        </w:tc>
      </w:tr>
    </w:tbl>
    <w:p>
      <w:pPr>
        <w:spacing w:line="360" w:lineRule="auto"/>
        <w:rPr>
          <w:sz w:val="24"/>
          <w:szCs w:val="24"/>
        </w:rPr>
      </w:pPr>
    </w:p>
    <w:p>
      <w:pPr>
        <w:spacing w:line="360" w:lineRule="auto"/>
        <w:rPr>
          <w:sz w:val="24"/>
          <w:szCs w:val="24"/>
        </w:rPr>
      </w:pPr>
      <w:r>
        <w:rPr>
          <w:rFonts w:hint="eastAsia"/>
          <w:sz w:val="24"/>
          <w:szCs w:val="24"/>
        </w:rPr>
        <w:t>评标委员会成员签名：</w:t>
      </w:r>
      <w:r>
        <w:rPr>
          <w:sz w:val="24"/>
          <w:szCs w:val="24"/>
        </w:rPr>
        <w:t xml:space="preserve">                           </w:t>
      </w: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360" w:lineRule="auto"/>
        <w:rPr>
          <w:sz w:val="24"/>
          <w:szCs w:val="24"/>
        </w:rPr>
      </w:pPr>
    </w:p>
    <w:p>
      <w:pPr>
        <w:widowControl/>
        <w:autoSpaceDE/>
        <w:autoSpaceDN/>
        <w:spacing w:line="360" w:lineRule="auto"/>
        <w:rPr>
          <w:sz w:val="24"/>
          <w:szCs w:val="24"/>
        </w:rPr>
      </w:pPr>
      <w:r>
        <w:rPr>
          <w:sz w:val="24"/>
          <w:szCs w:val="24"/>
        </w:rPr>
        <w:br w:type="page"/>
      </w:r>
      <w:r>
        <w:rPr>
          <w:rFonts w:hint="eastAsia"/>
          <w:b/>
          <w:bCs/>
          <w:kern w:val="2"/>
          <w:sz w:val="24"/>
          <w:szCs w:val="24"/>
          <w:lang w:val="en-US"/>
        </w:rPr>
        <w:t>附表</w:t>
      </w:r>
      <w:r>
        <w:rPr>
          <w:b/>
          <w:bCs/>
          <w:kern w:val="2"/>
          <w:sz w:val="24"/>
          <w:szCs w:val="24"/>
          <w:lang w:val="en-US"/>
        </w:rPr>
        <w:t>A-11</w:t>
      </w:r>
      <w:r>
        <w:rPr>
          <w:rFonts w:hint="eastAsia"/>
          <w:b/>
          <w:bCs/>
          <w:kern w:val="2"/>
          <w:sz w:val="24"/>
          <w:szCs w:val="24"/>
          <w:lang w:val="en-US"/>
        </w:rPr>
        <w:t>：评标结果汇总表</w:t>
      </w:r>
    </w:p>
    <w:p>
      <w:pPr>
        <w:autoSpaceDE/>
        <w:autoSpaceDN/>
        <w:spacing w:line="360" w:lineRule="auto"/>
        <w:jc w:val="center"/>
        <w:rPr>
          <w:b/>
          <w:sz w:val="24"/>
          <w:szCs w:val="24"/>
        </w:rPr>
      </w:pPr>
      <w:r>
        <w:rPr>
          <w:rFonts w:hint="eastAsia"/>
          <w:b/>
          <w:sz w:val="24"/>
          <w:szCs w:val="24"/>
        </w:rPr>
        <w:t>评标结果汇总表</w:t>
      </w:r>
    </w:p>
    <w:p>
      <w:pPr>
        <w:autoSpaceDE/>
        <w:autoSpaceDN/>
        <w:spacing w:line="360" w:lineRule="auto"/>
        <w:rPr>
          <w:sz w:val="24"/>
          <w:szCs w:val="24"/>
        </w:rPr>
      </w:pPr>
      <w:r>
        <w:rPr>
          <w:rFonts w:hint="eastAsia"/>
          <w:color w:val="000000"/>
          <w:sz w:val="24"/>
          <w:szCs w:val="24"/>
        </w:rPr>
        <w:t>工程名称：</w:t>
      </w:r>
      <w:r>
        <w:rPr>
          <w:color w:val="000000"/>
          <w:sz w:val="24"/>
          <w:szCs w:val="24"/>
          <w:u w:val="single"/>
        </w:rPr>
        <w:t>(</w:t>
      </w:r>
      <w:r>
        <w:rPr>
          <w:rFonts w:hint="eastAsia"/>
          <w:color w:val="000000"/>
          <w:sz w:val="24"/>
          <w:szCs w:val="24"/>
          <w:u w:val="single"/>
        </w:rPr>
        <w:t>项目名称</w:t>
      </w:r>
      <w:r>
        <w:rPr>
          <w:color w:val="000000"/>
          <w:sz w:val="24"/>
          <w:szCs w:val="24"/>
          <w:u w:val="single"/>
        </w:rPr>
        <w:t xml:space="preserve">)  </w:t>
      </w:r>
      <w:r>
        <w:rPr>
          <w:color w:val="000000"/>
          <w:sz w:val="24"/>
          <w:szCs w:val="24"/>
          <w:u w:val="single"/>
          <w:lang w:val="en-US"/>
        </w:rPr>
        <w:t xml:space="preserve">          </w:t>
      </w:r>
    </w:p>
    <w:tbl>
      <w:tblPr>
        <w:tblStyle w:val="3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1154"/>
        <w:gridCol w:w="1154"/>
        <w:gridCol w:w="1154"/>
        <w:gridCol w:w="1154"/>
        <w:gridCol w:w="1154"/>
        <w:gridCol w:w="1154"/>
        <w:gridCol w:w="11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418" w:type="dxa"/>
            <w:vMerge w:val="restart"/>
            <w:vAlign w:val="center"/>
          </w:tcPr>
          <w:p>
            <w:pPr>
              <w:spacing w:line="360" w:lineRule="auto"/>
              <w:jc w:val="center"/>
              <w:rPr>
                <w:sz w:val="24"/>
                <w:szCs w:val="24"/>
              </w:rPr>
            </w:pPr>
            <w:r>
              <w:rPr>
                <w:rFonts w:hint="eastAsia"/>
                <w:sz w:val="24"/>
                <w:szCs w:val="24"/>
              </w:rPr>
              <w:t>评委序号和姓名</w:t>
            </w:r>
          </w:p>
        </w:tc>
        <w:tc>
          <w:tcPr>
            <w:tcW w:w="8084" w:type="dxa"/>
            <w:gridSpan w:val="7"/>
            <w:vAlign w:val="center"/>
          </w:tcPr>
          <w:p>
            <w:pPr>
              <w:spacing w:line="360" w:lineRule="auto"/>
              <w:jc w:val="center"/>
              <w:rPr>
                <w:sz w:val="24"/>
                <w:szCs w:val="24"/>
              </w:rPr>
            </w:pPr>
            <w:r>
              <w:rPr>
                <w:rFonts w:hint="eastAsia"/>
                <w:sz w:val="24"/>
                <w:szCs w:val="24"/>
              </w:rPr>
              <w:t>投标人名称</w:t>
            </w:r>
            <w:r>
              <w:rPr>
                <w:sz w:val="24"/>
                <w:szCs w:val="24"/>
              </w:rPr>
              <w:t>(</w:t>
            </w:r>
            <w:r>
              <w:rPr>
                <w:rFonts w:hint="eastAsia"/>
                <w:sz w:val="24"/>
                <w:szCs w:val="24"/>
              </w:rPr>
              <w:t>或代码</w:t>
            </w:r>
            <w:r>
              <w:rPr>
                <w:sz w:val="24"/>
                <w:szCs w:val="24"/>
              </w:rPr>
              <w:t>)</w:t>
            </w:r>
            <w:r>
              <w:rPr>
                <w:rFonts w:hint="eastAsia"/>
                <w:sz w:val="24"/>
                <w:szCs w:val="24"/>
              </w:rPr>
              <w:t>及其得分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418" w:type="dxa"/>
            <w:vMerge w:val="continue"/>
            <w:vAlign w:val="center"/>
          </w:tcPr>
          <w:p>
            <w:pPr>
              <w:spacing w:line="360" w:lineRule="auto"/>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60"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spacing w:line="360" w:lineRule="auto"/>
              <w:rPr>
                <w:sz w:val="24"/>
                <w:szCs w:val="24"/>
              </w:rPr>
            </w:pPr>
            <w:r>
              <w:rPr>
                <w:sz w:val="24"/>
                <w:szCs w:val="24"/>
              </w:rPr>
              <w:t>1:</w:t>
            </w: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60"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spacing w:line="360" w:lineRule="auto"/>
              <w:rPr>
                <w:sz w:val="24"/>
                <w:szCs w:val="24"/>
              </w:rPr>
            </w:pPr>
            <w:r>
              <w:rPr>
                <w:sz w:val="24"/>
                <w:szCs w:val="24"/>
              </w:rPr>
              <w:t>2:</w:t>
            </w: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60"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spacing w:line="360" w:lineRule="auto"/>
              <w:rPr>
                <w:sz w:val="24"/>
                <w:szCs w:val="24"/>
              </w:rPr>
            </w:pPr>
            <w:r>
              <w:rPr>
                <w:sz w:val="24"/>
                <w:szCs w:val="24"/>
              </w:rPr>
              <w:t>3:</w:t>
            </w: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60"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spacing w:line="360" w:lineRule="auto"/>
              <w:rPr>
                <w:sz w:val="24"/>
                <w:szCs w:val="24"/>
              </w:rPr>
            </w:pPr>
            <w:r>
              <w:rPr>
                <w:sz w:val="24"/>
                <w:szCs w:val="24"/>
              </w:rPr>
              <w:t>4:</w:t>
            </w: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60"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spacing w:line="360" w:lineRule="auto"/>
              <w:rPr>
                <w:sz w:val="24"/>
                <w:szCs w:val="24"/>
              </w:rPr>
            </w:pPr>
            <w:r>
              <w:rPr>
                <w:sz w:val="24"/>
                <w:szCs w:val="24"/>
              </w:rPr>
              <w:t>5:</w:t>
            </w: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60"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spacing w:line="360" w:lineRule="auto"/>
              <w:rPr>
                <w:sz w:val="24"/>
                <w:szCs w:val="24"/>
              </w:rPr>
            </w:pPr>
            <w:r>
              <w:rPr>
                <w:sz w:val="24"/>
                <w:szCs w:val="24"/>
              </w:rPr>
              <w:t>6:</w:t>
            </w: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60"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spacing w:line="360" w:lineRule="auto"/>
              <w:rPr>
                <w:sz w:val="24"/>
                <w:szCs w:val="24"/>
              </w:rPr>
            </w:pPr>
            <w:r>
              <w:rPr>
                <w:sz w:val="24"/>
                <w:szCs w:val="24"/>
              </w:rPr>
              <w:t>7:</w:t>
            </w: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60"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spacing w:line="360" w:lineRule="auto"/>
              <w:jc w:val="center"/>
              <w:rPr>
                <w:sz w:val="24"/>
                <w:szCs w:val="24"/>
              </w:rPr>
            </w:pPr>
            <w:r>
              <w:rPr>
                <w:rFonts w:hint="eastAsia"/>
                <w:sz w:val="24"/>
                <w:szCs w:val="24"/>
              </w:rPr>
              <w:t>各评委评分合计</w:t>
            </w: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60"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spacing w:line="360" w:lineRule="auto"/>
              <w:jc w:val="center"/>
              <w:rPr>
                <w:sz w:val="24"/>
                <w:szCs w:val="24"/>
              </w:rPr>
            </w:pPr>
            <w:r>
              <w:rPr>
                <w:rFonts w:hint="eastAsia"/>
                <w:sz w:val="24"/>
                <w:szCs w:val="24"/>
              </w:rPr>
              <w:t>各评委评分平均值</w:t>
            </w: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60" w:type="dxa"/>
            <w:vAlign w:val="center"/>
          </w:tcPr>
          <w:p>
            <w:pPr>
              <w:spacing w:line="360" w:lineRule="auto"/>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418" w:type="dxa"/>
            <w:vAlign w:val="center"/>
          </w:tcPr>
          <w:p>
            <w:pPr>
              <w:spacing w:line="360" w:lineRule="auto"/>
              <w:jc w:val="center"/>
              <w:rPr>
                <w:sz w:val="24"/>
                <w:szCs w:val="24"/>
              </w:rPr>
            </w:pPr>
            <w:r>
              <w:rPr>
                <w:rFonts w:hint="eastAsia"/>
                <w:sz w:val="24"/>
                <w:szCs w:val="24"/>
              </w:rPr>
              <w:t>投标人最终排名次序</w:t>
            </w: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54" w:type="dxa"/>
            <w:vAlign w:val="center"/>
          </w:tcPr>
          <w:p>
            <w:pPr>
              <w:spacing w:line="360" w:lineRule="auto"/>
              <w:jc w:val="center"/>
              <w:rPr>
                <w:sz w:val="24"/>
                <w:szCs w:val="24"/>
              </w:rPr>
            </w:pPr>
          </w:p>
        </w:tc>
        <w:tc>
          <w:tcPr>
            <w:tcW w:w="1160" w:type="dxa"/>
            <w:vAlign w:val="center"/>
          </w:tcPr>
          <w:p>
            <w:pPr>
              <w:spacing w:line="360" w:lineRule="auto"/>
              <w:jc w:val="center"/>
              <w:rPr>
                <w:sz w:val="24"/>
                <w:szCs w:val="24"/>
              </w:rPr>
            </w:pPr>
          </w:p>
        </w:tc>
      </w:tr>
    </w:tbl>
    <w:p>
      <w:pPr>
        <w:spacing w:line="360" w:lineRule="auto"/>
        <w:rPr>
          <w:sz w:val="24"/>
          <w:szCs w:val="24"/>
        </w:rPr>
      </w:pPr>
      <w:r>
        <w:rPr>
          <w:rFonts w:hint="eastAsia"/>
          <w:sz w:val="24"/>
          <w:szCs w:val="24"/>
        </w:rPr>
        <w:t>评标委员会全体成员签名：</w:t>
      </w:r>
      <w:r>
        <w:rPr>
          <w:sz w:val="24"/>
          <w:szCs w:val="24"/>
        </w:rPr>
        <w:t xml:space="preserve">                     </w:t>
      </w:r>
      <w:r>
        <w:rPr>
          <w:rFonts w:hint="eastAsia"/>
          <w:sz w:val="24"/>
          <w:szCs w:val="24"/>
        </w:rPr>
        <w:t>日期：</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p>
      <w:pPr>
        <w:spacing w:line="36" w:lineRule="auto"/>
        <w:rPr>
          <w:sz w:val="27"/>
        </w:rPr>
      </w:pPr>
    </w:p>
    <w:p>
      <w:pPr>
        <w:spacing w:line="360" w:lineRule="auto"/>
        <w:jc w:val="center"/>
        <w:rPr>
          <w:sz w:val="27"/>
        </w:rPr>
      </w:pPr>
      <w:r>
        <w:br w:type="page"/>
      </w:r>
      <w:r>
        <w:rPr>
          <w:rFonts w:hint="eastAsia"/>
          <w:sz w:val="32"/>
          <w:szCs w:val="32"/>
        </w:rPr>
        <w:t>□</w:t>
      </w:r>
      <w:r>
        <w:rPr>
          <w:sz w:val="32"/>
          <w:szCs w:val="32"/>
        </w:rPr>
        <w:t xml:space="preserve"> </w:t>
      </w:r>
      <w:r>
        <w:rPr>
          <w:rFonts w:hint="eastAsia"/>
          <w:sz w:val="32"/>
          <w:szCs w:val="32"/>
        </w:rPr>
        <w:t>第三章</w:t>
      </w:r>
      <w:r>
        <w:rPr>
          <w:sz w:val="24"/>
          <w:szCs w:val="24"/>
        </w:rPr>
        <w:t xml:space="preserve"> </w:t>
      </w:r>
      <w:r>
        <w:rPr>
          <w:rFonts w:hint="eastAsia"/>
          <w:sz w:val="32"/>
          <w:szCs w:val="32"/>
        </w:rPr>
        <w:t>评标办法（经评审的最低评标价法）</w:t>
      </w:r>
      <w:r>
        <w:rPr>
          <w:rFonts w:hint="eastAsia"/>
          <w:b/>
          <w:bCs/>
          <w:color w:val="FF0000"/>
          <w:sz w:val="32"/>
          <w:szCs w:val="32"/>
        </w:rPr>
        <w:t>标版</w:t>
      </w:r>
      <w:r>
        <w:rPr>
          <w:b/>
          <w:bCs/>
          <w:color w:val="FF0000"/>
          <w:sz w:val="32"/>
          <w:szCs w:val="32"/>
        </w:rPr>
        <w:t>2010</w:t>
      </w:r>
      <w:r>
        <w:rPr>
          <w:rFonts w:hint="eastAsia"/>
          <w:b/>
          <w:bCs/>
          <w:color w:val="FF0000"/>
          <w:sz w:val="32"/>
          <w:szCs w:val="32"/>
        </w:rPr>
        <w:t>版</w:t>
      </w:r>
    </w:p>
    <w:p>
      <w:pPr>
        <w:spacing w:afterLines="100" w:line="420" w:lineRule="exact"/>
        <w:jc w:val="center"/>
        <w:rPr>
          <w:rFonts w:ascii="黑体" w:eastAsia="黑体"/>
          <w:color w:val="000000"/>
          <w:sz w:val="28"/>
          <w:szCs w:val="28"/>
        </w:rPr>
      </w:pPr>
      <w:r>
        <w:rPr>
          <w:rFonts w:hint="eastAsia" w:ascii="黑体" w:eastAsia="黑体"/>
          <w:color w:val="000000"/>
          <w:sz w:val="28"/>
          <w:szCs w:val="28"/>
        </w:rPr>
        <w:t>评标办法前附表</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1123"/>
        <w:gridCol w:w="2246"/>
        <w:gridCol w:w="4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75" w:type="dxa"/>
            <w:gridSpan w:val="2"/>
            <w:tcMar>
              <w:left w:w="57" w:type="dxa"/>
              <w:right w:w="57" w:type="dxa"/>
            </w:tcMar>
            <w:vAlign w:val="center"/>
          </w:tcPr>
          <w:p>
            <w:pPr>
              <w:jc w:val="center"/>
              <w:rPr>
                <w:b/>
                <w:color w:val="000000"/>
                <w:szCs w:val="21"/>
              </w:rPr>
            </w:pPr>
            <w:r>
              <w:rPr>
                <w:rFonts w:hint="eastAsia"/>
                <w:b/>
                <w:color w:val="000000"/>
                <w:szCs w:val="21"/>
              </w:rPr>
              <w:t>条款号</w:t>
            </w:r>
          </w:p>
        </w:tc>
        <w:tc>
          <w:tcPr>
            <w:tcW w:w="2268" w:type="dxa"/>
            <w:vAlign w:val="center"/>
          </w:tcPr>
          <w:p>
            <w:pPr>
              <w:jc w:val="center"/>
              <w:rPr>
                <w:b/>
                <w:color w:val="000000"/>
                <w:szCs w:val="21"/>
              </w:rPr>
            </w:pPr>
            <w:r>
              <w:rPr>
                <w:rFonts w:hint="eastAsia"/>
                <w:b/>
                <w:color w:val="000000"/>
                <w:szCs w:val="21"/>
              </w:rPr>
              <w:t>评审因素</w:t>
            </w:r>
          </w:p>
        </w:tc>
        <w:tc>
          <w:tcPr>
            <w:tcW w:w="4473" w:type="dxa"/>
            <w:vAlign w:val="center"/>
          </w:tcPr>
          <w:p>
            <w:pPr>
              <w:jc w:val="center"/>
              <w:rPr>
                <w:b/>
                <w:color w:val="000000"/>
                <w:szCs w:val="21"/>
              </w:rPr>
            </w:pPr>
            <w:r>
              <w:rPr>
                <w:rFonts w:hint="eastAsia"/>
                <w:b/>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restart"/>
            <w:tcMar>
              <w:left w:w="57" w:type="dxa"/>
              <w:right w:w="57" w:type="dxa"/>
            </w:tcMar>
            <w:vAlign w:val="center"/>
          </w:tcPr>
          <w:p>
            <w:pPr>
              <w:jc w:val="center"/>
              <w:rPr>
                <w:color w:val="000000"/>
                <w:szCs w:val="21"/>
              </w:rPr>
            </w:pPr>
            <w:r>
              <w:rPr>
                <w:color w:val="000000"/>
                <w:szCs w:val="21"/>
              </w:rPr>
              <w:t>2.1.1</w:t>
            </w:r>
          </w:p>
        </w:tc>
        <w:tc>
          <w:tcPr>
            <w:tcW w:w="1133" w:type="dxa"/>
            <w:vMerge w:val="restart"/>
            <w:vAlign w:val="center"/>
          </w:tcPr>
          <w:p>
            <w:pPr>
              <w:jc w:val="center"/>
              <w:rPr>
                <w:color w:val="000000"/>
                <w:szCs w:val="21"/>
              </w:rPr>
            </w:pPr>
            <w:r>
              <w:rPr>
                <w:rFonts w:hint="eastAsia"/>
                <w:color w:val="000000"/>
                <w:szCs w:val="21"/>
              </w:rPr>
              <w:t>形式评审</w:t>
            </w:r>
          </w:p>
          <w:p>
            <w:pPr>
              <w:jc w:val="center"/>
              <w:rPr>
                <w:color w:val="000000"/>
                <w:szCs w:val="21"/>
              </w:rPr>
            </w:pPr>
            <w:r>
              <w:rPr>
                <w:rFonts w:hint="eastAsia"/>
                <w:color w:val="000000"/>
                <w:szCs w:val="21"/>
              </w:rPr>
              <w:t>标    准</w:t>
            </w:r>
          </w:p>
        </w:tc>
        <w:tc>
          <w:tcPr>
            <w:tcW w:w="2268" w:type="dxa"/>
            <w:vAlign w:val="center"/>
          </w:tcPr>
          <w:p>
            <w:pPr>
              <w:rPr>
                <w:color w:val="000000"/>
                <w:szCs w:val="21"/>
              </w:rPr>
            </w:pPr>
            <w:r>
              <w:rPr>
                <w:rFonts w:hint="eastAsia"/>
                <w:color w:val="000000"/>
                <w:szCs w:val="21"/>
              </w:rPr>
              <w:t>投标人名称</w:t>
            </w:r>
          </w:p>
        </w:tc>
        <w:tc>
          <w:tcPr>
            <w:tcW w:w="4473" w:type="dxa"/>
            <w:vAlign w:val="center"/>
          </w:tcPr>
          <w:p>
            <w:pPr>
              <w:rPr>
                <w:color w:val="000000"/>
                <w:szCs w:val="21"/>
              </w:rPr>
            </w:pPr>
            <w:r>
              <w:rPr>
                <w:rFonts w:hint="eastAsia"/>
                <w:color w:val="000000"/>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rPr>
                <w:color w:val="000000"/>
                <w:szCs w:val="21"/>
              </w:rPr>
            </w:pPr>
          </w:p>
        </w:tc>
        <w:tc>
          <w:tcPr>
            <w:tcW w:w="2268" w:type="dxa"/>
            <w:vAlign w:val="center"/>
          </w:tcPr>
          <w:p>
            <w:pPr>
              <w:rPr>
                <w:color w:val="000000"/>
                <w:szCs w:val="21"/>
              </w:rPr>
            </w:pPr>
            <w:r>
              <w:rPr>
                <w:color w:val="000000"/>
                <w:szCs w:val="21"/>
              </w:rPr>
              <w:t>投标函签字盖章</w:t>
            </w:r>
          </w:p>
        </w:tc>
        <w:tc>
          <w:tcPr>
            <w:tcW w:w="4473" w:type="dxa"/>
            <w:vAlign w:val="center"/>
          </w:tcPr>
          <w:p>
            <w:pPr>
              <w:spacing w:line="400" w:lineRule="exact"/>
              <w:rPr>
                <w:color w:val="000000"/>
                <w:szCs w:val="21"/>
              </w:rPr>
            </w:pPr>
            <w:r>
              <w:rPr>
                <w:color w:val="000000"/>
                <w:szCs w:val="21"/>
              </w:rPr>
              <w:t>有法定代表人或其委托代理人签字并加盖单位章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rPr>
                <w:color w:val="000000"/>
                <w:szCs w:val="21"/>
              </w:rPr>
            </w:pPr>
          </w:p>
        </w:tc>
        <w:tc>
          <w:tcPr>
            <w:tcW w:w="2268" w:type="dxa"/>
            <w:vAlign w:val="center"/>
          </w:tcPr>
          <w:p>
            <w:pPr>
              <w:rPr>
                <w:color w:val="000000"/>
                <w:szCs w:val="21"/>
              </w:rPr>
            </w:pPr>
            <w:r>
              <w:rPr>
                <w:color w:val="000000"/>
                <w:szCs w:val="21"/>
              </w:rPr>
              <w:t>投标文件格式</w:t>
            </w:r>
          </w:p>
        </w:tc>
        <w:tc>
          <w:tcPr>
            <w:tcW w:w="4473" w:type="dxa"/>
            <w:vAlign w:val="center"/>
          </w:tcPr>
          <w:p>
            <w:pPr>
              <w:rPr>
                <w:color w:val="000000"/>
                <w:szCs w:val="21"/>
              </w:rPr>
            </w:pPr>
            <w:r>
              <w:rPr>
                <w:color w:val="000000"/>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rPr>
                <w:color w:val="000000"/>
                <w:szCs w:val="21"/>
              </w:rPr>
            </w:pPr>
          </w:p>
        </w:tc>
        <w:tc>
          <w:tcPr>
            <w:tcW w:w="2268" w:type="dxa"/>
            <w:vAlign w:val="center"/>
          </w:tcPr>
          <w:p>
            <w:pPr>
              <w:rPr>
                <w:color w:val="000000"/>
                <w:szCs w:val="21"/>
              </w:rPr>
            </w:pPr>
            <w:r>
              <w:rPr>
                <w:color w:val="000000"/>
                <w:szCs w:val="21"/>
              </w:rPr>
              <w:t>联合体投标人（如有）</w:t>
            </w:r>
          </w:p>
        </w:tc>
        <w:tc>
          <w:tcPr>
            <w:tcW w:w="4473" w:type="dxa"/>
            <w:vAlign w:val="center"/>
          </w:tcPr>
          <w:p>
            <w:pPr>
              <w:rPr>
                <w:color w:val="000000"/>
                <w:szCs w:val="21"/>
              </w:rPr>
            </w:pPr>
            <w:r>
              <w:rPr>
                <w:color w:val="000000"/>
                <w:szCs w:val="21"/>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rPr>
                <w:color w:val="000000"/>
                <w:szCs w:val="21"/>
              </w:rPr>
            </w:pPr>
          </w:p>
        </w:tc>
        <w:tc>
          <w:tcPr>
            <w:tcW w:w="2268" w:type="dxa"/>
            <w:vAlign w:val="center"/>
          </w:tcPr>
          <w:p>
            <w:pPr>
              <w:rPr>
                <w:color w:val="000000"/>
                <w:szCs w:val="21"/>
              </w:rPr>
            </w:pPr>
            <w:r>
              <w:rPr>
                <w:color w:val="000000"/>
                <w:szCs w:val="21"/>
              </w:rPr>
              <w:t>报价唯一</w:t>
            </w:r>
          </w:p>
        </w:tc>
        <w:tc>
          <w:tcPr>
            <w:tcW w:w="4473" w:type="dxa"/>
            <w:vAlign w:val="center"/>
          </w:tcPr>
          <w:p>
            <w:pPr>
              <w:rPr>
                <w:color w:val="000000"/>
                <w:szCs w:val="21"/>
              </w:rPr>
            </w:pPr>
            <w:r>
              <w:rPr>
                <w:color w:val="00000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rPr>
                <w:color w:val="000000"/>
                <w:szCs w:val="21"/>
              </w:rPr>
            </w:pPr>
          </w:p>
        </w:tc>
        <w:tc>
          <w:tcPr>
            <w:tcW w:w="2268" w:type="dxa"/>
            <w:vAlign w:val="center"/>
          </w:tcPr>
          <w:p>
            <w:pPr>
              <w:rPr>
                <w:color w:val="000000"/>
                <w:szCs w:val="21"/>
              </w:rPr>
            </w:pPr>
            <w:r>
              <w:rPr>
                <w:rFonts w:hint="eastAsia"/>
                <w:color w:val="000000"/>
                <w:szCs w:val="21"/>
              </w:rPr>
              <w:t>……</w:t>
            </w:r>
          </w:p>
        </w:tc>
        <w:tc>
          <w:tcPr>
            <w:tcW w:w="4473" w:type="dxa"/>
            <w:vAlign w:val="center"/>
          </w:tcPr>
          <w:p>
            <w:pPr>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restart"/>
            <w:tcMar>
              <w:left w:w="57" w:type="dxa"/>
              <w:right w:w="57" w:type="dxa"/>
            </w:tcMar>
            <w:vAlign w:val="center"/>
          </w:tcPr>
          <w:p>
            <w:pPr>
              <w:jc w:val="center"/>
              <w:rPr>
                <w:color w:val="000000"/>
                <w:szCs w:val="21"/>
              </w:rPr>
            </w:pPr>
            <w:r>
              <w:rPr>
                <w:rFonts w:hint="eastAsia"/>
                <w:color w:val="000000"/>
                <w:szCs w:val="21"/>
              </w:rPr>
              <w:t>2.1.2</w:t>
            </w:r>
          </w:p>
        </w:tc>
        <w:tc>
          <w:tcPr>
            <w:tcW w:w="1133" w:type="dxa"/>
            <w:vMerge w:val="restart"/>
            <w:vAlign w:val="center"/>
          </w:tcPr>
          <w:p>
            <w:pPr>
              <w:jc w:val="center"/>
              <w:rPr>
                <w:color w:val="000000"/>
                <w:szCs w:val="21"/>
              </w:rPr>
            </w:pPr>
            <w:r>
              <w:rPr>
                <w:color w:val="000000"/>
                <w:szCs w:val="21"/>
              </w:rPr>
              <w:t>资格评审</w:t>
            </w:r>
          </w:p>
          <w:p>
            <w:pPr>
              <w:jc w:val="center"/>
              <w:rPr>
                <w:color w:val="000000"/>
                <w:szCs w:val="21"/>
              </w:rPr>
            </w:pPr>
            <w:r>
              <w:rPr>
                <w:color w:val="000000"/>
                <w:szCs w:val="21"/>
              </w:rPr>
              <w:t>标</w:t>
            </w:r>
            <w:r>
              <w:rPr>
                <w:rFonts w:hint="eastAsia"/>
                <w:color w:val="000000"/>
                <w:szCs w:val="21"/>
              </w:rPr>
              <w:t xml:space="preserve"> </w:t>
            </w:r>
            <w:r>
              <w:rPr>
                <w:color w:val="000000"/>
                <w:szCs w:val="21"/>
              </w:rPr>
              <w:t xml:space="preserve">   准</w:t>
            </w:r>
          </w:p>
        </w:tc>
        <w:tc>
          <w:tcPr>
            <w:tcW w:w="2268" w:type="dxa"/>
            <w:vAlign w:val="center"/>
          </w:tcPr>
          <w:p>
            <w:pPr>
              <w:rPr>
                <w:color w:val="000000"/>
                <w:szCs w:val="21"/>
              </w:rPr>
            </w:pPr>
            <w:r>
              <w:rPr>
                <w:color w:val="000000"/>
                <w:szCs w:val="21"/>
              </w:rPr>
              <w:t>营业执照</w:t>
            </w:r>
          </w:p>
        </w:tc>
        <w:tc>
          <w:tcPr>
            <w:tcW w:w="4473" w:type="dxa"/>
            <w:vAlign w:val="center"/>
          </w:tcPr>
          <w:p>
            <w:pPr>
              <w:rPr>
                <w:color w:val="000000"/>
                <w:szCs w:val="21"/>
              </w:rPr>
            </w:pPr>
            <w:r>
              <w:rPr>
                <w:color w:val="000000"/>
                <w:szCs w:val="21"/>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vAlign w:val="center"/>
          </w:tcPr>
          <w:p>
            <w:pPr>
              <w:rPr>
                <w:color w:val="000000"/>
                <w:szCs w:val="21"/>
              </w:rPr>
            </w:pPr>
            <w:r>
              <w:rPr>
                <w:color w:val="000000"/>
                <w:szCs w:val="21"/>
              </w:rPr>
              <w:t>安全生产许可证</w:t>
            </w:r>
          </w:p>
        </w:tc>
        <w:tc>
          <w:tcPr>
            <w:tcW w:w="4473" w:type="dxa"/>
            <w:vAlign w:val="center"/>
          </w:tcPr>
          <w:p>
            <w:pPr>
              <w:rPr>
                <w:color w:val="000000"/>
                <w:szCs w:val="21"/>
              </w:rPr>
            </w:pPr>
            <w:r>
              <w:rPr>
                <w:color w:val="000000"/>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vAlign w:val="center"/>
          </w:tcPr>
          <w:p>
            <w:pPr>
              <w:rPr>
                <w:color w:val="000000"/>
                <w:szCs w:val="21"/>
              </w:rPr>
            </w:pPr>
            <w:r>
              <w:rPr>
                <w:color w:val="000000"/>
                <w:szCs w:val="21"/>
              </w:rPr>
              <w:t>资质等级</w:t>
            </w:r>
          </w:p>
        </w:tc>
        <w:tc>
          <w:tcPr>
            <w:tcW w:w="4473" w:type="dxa"/>
            <w:vAlign w:val="center"/>
          </w:tcPr>
          <w:p>
            <w:pPr>
              <w:rPr>
                <w:color w:val="000000"/>
                <w:szCs w:val="21"/>
              </w:rPr>
            </w:pPr>
            <w:r>
              <w:rPr>
                <w:color w:val="000000"/>
                <w:szCs w:val="21"/>
              </w:rPr>
              <w:t>符合第二章“投标人须知”第1</w:t>
            </w:r>
            <w:r>
              <w:rPr>
                <w:rFonts w:hint="eastAsia"/>
                <w:color w:val="000000"/>
                <w:szCs w:val="21"/>
              </w:rPr>
              <w:t>.</w:t>
            </w:r>
            <w:r>
              <w:rPr>
                <w:color w:val="000000"/>
                <w:szCs w:val="21"/>
              </w:rPr>
              <w:t>4</w:t>
            </w:r>
            <w:r>
              <w:rPr>
                <w:rFonts w:hint="eastAsia"/>
                <w:color w:val="000000"/>
                <w:szCs w:val="21"/>
              </w:rPr>
              <w:t>.</w:t>
            </w:r>
            <w:r>
              <w:rPr>
                <w:color w:val="00000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vAlign w:val="center"/>
          </w:tcPr>
          <w:p>
            <w:pPr>
              <w:rPr>
                <w:color w:val="000000"/>
                <w:szCs w:val="21"/>
              </w:rPr>
            </w:pPr>
            <w:r>
              <w:rPr>
                <w:color w:val="000000"/>
                <w:szCs w:val="21"/>
              </w:rPr>
              <w:t>财务状况</w:t>
            </w:r>
          </w:p>
        </w:tc>
        <w:tc>
          <w:tcPr>
            <w:tcW w:w="4473" w:type="dxa"/>
            <w:vAlign w:val="center"/>
          </w:tcPr>
          <w:p>
            <w:pPr>
              <w:rPr>
                <w:color w:val="000000"/>
                <w:szCs w:val="21"/>
              </w:rPr>
            </w:pPr>
            <w:r>
              <w:rPr>
                <w:color w:val="000000"/>
                <w:szCs w:val="21"/>
              </w:rPr>
              <w:t>符合第二章“投标人须知”第1</w:t>
            </w:r>
            <w:r>
              <w:rPr>
                <w:rFonts w:hint="eastAsia"/>
                <w:color w:val="000000"/>
                <w:szCs w:val="21"/>
              </w:rPr>
              <w:t>.</w:t>
            </w:r>
            <w:r>
              <w:rPr>
                <w:color w:val="000000"/>
                <w:szCs w:val="21"/>
              </w:rPr>
              <w:t>4</w:t>
            </w:r>
            <w:r>
              <w:rPr>
                <w:rFonts w:hint="eastAsia"/>
                <w:color w:val="000000"/>
                <w:szCs w:val="21"/>
              </w:rPr>
              <w:t>.</w:t>
            </w:r>
            <w:r>
              <w:rPr>
                <w:color w:val="00000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vAlign w:val="center"/>
          </w:tcPr>
          <w:p>
            <w:pPr>
              <w:rPr>
                <w:color w:val="000000"/>
                <w:szCs w:val="21"/>
              </w:rPr>
            </w:pPr>
            <w:r>
              <w:rPr>
                <w:color w:val="000000"/>
                <w:szCs w:val="21"/>
              </w:rPr>
              <w:t>类似项目业绩</w:t>
            </w:r>
          </w:p>
        </w:tc>
        <w:tc>
          <w:tcPr>
            <w:tcW w:w="4473" w:type="dxa"/>
            <w:vAlign w:val="center"/>
          </w:tcPr>
          <w:p>
            <w:pPr>
              <w:rPr>
                <w:color w:val="000000"/>
                <w:szCs w:val="21"/>
              </w:rPr>
            </w:pPr>
            <w:r>
              <w:rPr>
                <w:color w:val="000000"/>
                <w:szCs w:val="21"/>
              </w:rPr>
              <w:t>符合第二章“投标人须知”第1</w:t>
            </w:r>
            <w:r>
              <w:rPr>
                <w:rFonts w:hint="eastAsia"/>
                <w:color w:val="000000"/>
                <w:szCs w:val="21"/>
              </w:rPr>
              <w:t>.</w:t>
            </w:r>
            <w:r>
              <w:rPr>
                <w:color w:val="000000"/>
                <w:szCs w:val="21"/>
              </w:rPr>
              <w:t>4</w:t>
            </w:r>
            <w:r>
              <w:rPr>
                <w:rFonts w:hint="eastAsia"/>
                <w:color w:val="000000"/>
                <w:szCs w:val="21"/>
              </w:rPr>
              <w:t>.</w:t>
            </w:r>
            <w:r>
              <w:rPr>
                <w:color w:val="00000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vAlign w:val="center"/>
          </w:tcPr>
          <w:p>
            <w:pPr>
              <w:rPr>
                <w:color w:val="000000"/>
                <w:szCs w:val="21"/>
              </w:rPr>
            </w:pPr>
            <w:r>
              <w:rPr>
                <w:color w:val="000000"/>
                <w:szCs w:val="21"/>
              </w:rPr>
              <w:t>信誉</w:t>
            </w:r>
          </w:p>
        </w:tc>
        <w:tc>
          <w:tcPr>
            <w:tcW w:w="4473" w:type="dxa"/>
            <w:vAlign w:val="center"/>
          </w:tcPr>
          <w:p>
            <w:pPr>
              <w:rPr>
                <w:color w:val="000000"/>
                <w:szCs w:val="21"/>
              </w:rPr>
            </w:pPr>
            <w:r>
              <w:rPr>
                <w:color w:val="000000"/>
                <w:szCs w:val="21"/>
              </w:rPr>
              <w:t>符合第二章“投标人须知”第1</w:t>
            </w:r>
            <w:r>
              <w:rPr>
                <w:rFonts w:hint="eastAsia"/>
                <w:color w:val="000000"/>
                <w:szCs w:val="21"/>
              </w:rPr>
              <w:t>.</w:t>
            </w:r>
            <w:r>
              <w:rPr>
                <w:color w:val="000000"/>
                <w:szCs w:val="21"/>
              </w:rPr>
              <w:t>4</w:t>
            </w:r>
            <w:r>
              <w:rPr>
                <w:rFonts w:hint="eastAsia"/>
                <w:color w:val="000000"/>
                <w:szCs w:val="21"/>
              </w:rPr>
              <w:t>.</w:t>
            </w:r>
            <w:r>
              <w:rPr>
                <w:color w:val="00000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vAlign w:val="center"/>
          </w:tcPr>
          <w:p>
            <w:pPr>
              <w:rPr>
                <w:color w:val="000000"/>
                <w:szCs w:val="21"/>
              </w:rPr>
            </w:pPr>
            <w:r>
              <w:rPr>
                <w:color w:val="000000"/>
                <w:szCs w:val="21"/>
              </w:rPr>
              <w:t>项目经理</w:t>
            </w:r>
          </w:p>
        </w:tc>
        <w:tc>
          <w:tcPr>
            <w:tcW w:w="4473" w:type="dxa"/>
            <w:vAlign w:val="center"/>
          </w:tcPr>
          <w:p>
            <w:pPr>
              <w:rPr>
                <w:color w:val="000000"/>
                <w:szCs w:val="21"/>
              </w:rPr>
            </w:pPr>
            <w:r>
              <w:rPr>
                <w:color w:val="000000"/>
                <w:szCs w:val="21"/>
              </w:rPr>
              <w:t>符合第二章“投标人须知”第1</w:t>
            </w:r>
            <w:r>
              <w:rPr>
                <w:rFonts w:hint="eastAsia"/>
                <w:color w:val="000000"/>
                <w:szCs w:val="21"/>
              </w:rPr>
              <w:t>.</w:t>
            </w:r>
            <w:r>
              <w:rPr>
                <w:color w:val="000000"/>
                <w:szCs w:val="21"/>
              </w:rPr>
              <w:t>4</w:t>
            </w:r>
            <w:r>
              <w:rPr>
                <w:rFonts w:hint="eastAsia"/>
                <w:color w:val="000000"/>
                <w:szCs w:val="21"/>
              </w:rPr>
              <w:t>.</w:t>
            </w:r>
            <w:r>
              <w:rPr>
                <w:color w:val="00000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vAlign w:val="center"/>
          </w:tcPr>
          <w:p>
            <w:pPr>
              <w:rPr>
                <w:color w:val="000000"/>
                <w:szCs w:val="21"/>
              </w:rPr>
            </w:pPr>
            <w:r>
              <w:rPr>
                <w:color w:val="000000"/>
                <w:szCs w:val="21"/>
              </w:rPr>
              <w:t>其他要求</w:t>
            </w:r>
          </w:p>
        </w:tc>
        <w:tc>
          <w:tcPr>
            <w:tcW w:w="4473" w:type="dxa"/>
            <w:vAlign w:val="center"/>
          </w:tcPr>
          <w:p>
            <w:pPr>
              <w:rPr>
                <w:color w:val="000000"/>
                <w:szCs w:val="21"/>
              </w:rPr>
            </w:pPr>
            <w:r>
              <w:rPr>
                <w:color w:val="000000"/>
                <w:szCs w:val="21"/>
              </w:rPr>
              <w:t>符合第二章“投标人须知”第1</w:t>
            </w:r>
            <w:r>
              <w:rPr>
                <w:rFonts w:hint="eastAsia"/>
                <w:color w:val="000000"/>
                <w:szCs w:val="21"/>
              </w:rPr>
              <w:t>.</w:t>
            </w:r>
            <w:r>
              <w:rPr>
                <w:color w:val="000000"/>
                <w:szCs w:val="21"/>
              </w:rPr>
              <w:t>4</w:t>
            </w:r>
            <w:r>
              <w:rPr>
                <w:rFonts w:hint="eastAsia"/>
                <w:color w:val="000000"/>
                <w:szCs w:val="21"/>
              </w:rPr>
              <w:t>.</w:t>
            </w:r>
            <w:r>
              <w:rPr>
                <w:color w:val="00000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vAlign w:val="center"/>
          </w:tcPr>
          <w:p>
            <w:pPr>
              <w:rPr>
                <w:color w:val="000000"/>
                <w:szCs w:val="21"/>
              </w:rPr>
            </w:pPr>
            <w:r>
              <w:rPr>
                <w:color w:val="000000"/>
                <w:szCs w:val="21"/>
              </w:rPr>
              <w:t>联合体投标人（如有）</w:t>
            </w:r>
          </w:p>
        </w:tc>
        <w:tc>
          <w:tcPr>
            <w:tcW w:w="4473" w:type="dxa"/>
            <w:vAlign w:val="center"/>
          </w:tcPr>
          <w:p>
            <w:pPr>
              <w:rPr>
                <w:color w:val="000000"/>
                <w:szCs w:val="21"/>
              </w:rPr>
            </w:pPr>
            <w:r>
              <w:rPr>
                <w:color w:val="000000"/>
                <w:szCs w:val="21"/>
              </w:rPr>
              <w:t>符合第二章“投标人须知”第1</w:t>
            </w:r>
            <w:r>
              <w:rPr>
                <w:rFonts w:hint="eastAsia"/>
                <w:color w:val="000000"/>
                <w:szCs w:val="21"/>
              </w:rPr>
              <w:t>.</w:t>
            </w:r>
            <w:r>
              <w:rPr>
                <w:color w:val="000000"/>
                <w:szCs w:val="21"/>
              </w:rPr>
              <w:t>4</w:t>
            </w:r>
            <w:r>
              <w:rPr>
                <w:rFonts w:hint="eastAsia"/>
                <w:color w:val="000000"/>
                <w:szCs w:val="21"/>
              </w:rPr>
              <w:t>.</w:t>
            </w:r>
            <w:r>
              <w:rPr>
                <w:color w:val="000000"/>
                <w:szCs w:val="21"/>
              </w:rPr>
              <w:t>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vAlign w:val="center"/>
          </w:tcPr>
          <w:p>
            <w:pPr>
              <w:rPr>
                <w:color w:val="000000"/>
                <w:szCs w:val="21"/>
              </w:rPr>
            </w:pPr>
            <w:r>
              <w:rPr>
                <w:rFonts w:hint="eastAsia"/>
                <w:color w:val="000000"/>
                <w:szCs w:val="21"/>
              </w:rPr>
              <w:t>……</w:t>
            </w:r>
          </w:p>
        </w:tc>
        <w:tc>
          <w:tcPr>
            <w:tcW w:w="4473" w:type="dxa"/>
            <w:vAlign w:val="center"/>
          </w:tcPr>
          <w:p>
            <w:pPr>
              <w:jc w:val="cente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restart"/>
            <w:tcMar>
              <w:left w:w="57" w:type="dxa"/>
              <w:right w:w="57" w:type="dxa"/>
            </w:tcMar>
            <w:vAlign w:val="center"/>
          </w:tcPr>
          <w:p>
            <w:pPr>
              <w:jc w:val="center"/>
              <w:rPr>
                <w:color w:val="000000"/>
                <w:szCs w:val="21"/>
              </w:rPr>
            </w:pPr>
            <w:r>
              <w:rPr>
                <w:rFonts w:hint="eastAsia"/>
                <w:color w:val="000000"/>
                <w:szCs w:val="21"/>
              </w:rPr>
              <w:t>2.1.3</w:t>
            </w:r>
          </w:p>
        </w:tc>
        <w:tc>
          <w:tcPr>
            <w:tcW w:w="1133" w:type="dxa"/>
            <w:vMerge w:val="restart"/>
            <w:vAlign w:val="center"/>
          </w:tcPr>
          <w:p>
            <w:pPr>
              <w:jc w:val="center"/>
              <w:rPr>
                <w:color w:val="000000"/>
                <w:szCs w:val="21"/>
              </w:rPr>
            </w:pPr>
            <w:r>
              <w:rPr>
                <w:color w:val="000000"/>
                <w:szCs w:val="21"/>
              </w:rPr>
              <w:t>响</w:t>
            </w:r>
            <w:r>
              <w:rPr>
                <w:rFonts w:hint="eastAsia"/>
                <w:color w:val="000000"/>
                <w:szCs w:val="21"/>
              </w:rPr>
              <w:t xml:space="preserve"> </w:t>
            </w:r>
            <w:r>
              <w:rPr>
                <w:color w:val="000000"/>
                <w:szCs w:val="21"/>
              </w:rPr>
              <w:t>应</w:t>
            </w:r>
            <w:r>
              <w:rPr>
                <w:rFonts w:hint="eastAsia"/>
                <w:color w:val="000000"/>
                <w:szCs w:val="21"/>
              </w:rPr>
              <w:t xml:space="preserve"> </w:t>
            </w:r>
            <w:r>
              <w:rPr>
                <w:color w:val="000000"/>
                <w:szCs w:val="21"/>
              </w:rPr>
              <w:t>性</w:t>
            </w:r>
          </w:p>
          <w:p>
            <w:pPr>
              <w:jc w:val="center"/>
              <w:rPr>
                <w:color w:val="000000"/>
                <w:szCs w:val="21"/>
              </w:rPr>
            </w:pPr>
            <w:r>
              <w:rPr>
                <w:color w:val="000000"/>
                <w:szCs w:val="21"/>
              </w:rPr>
              <w:t>评审标准</w:t>
            </w:r>
          </w:p>
        </w:tc>
        <w:tc>
          <w:tcPr>
            <w:tcW w:w="2268" w:type="dxa"/>
            <w:vAlign w:val="center"/>
          </w:tcPr>
          <w:p>
            <w:pPr>
              <w:rPr>
                <w:color w:val="000000"/>
                <w:szCs w:val="21"/>
              </w:rPr>
            </w:pPr>
            <w:r>
              <w:rPr>
                <w:color w:val="000000"/>
                <w:szCs w:val="21"/>
              </w:rPr>
              <w:t>投标内容</w:t>
            </w:r>
          </w:p>
        </w:tc>
        <w:tc>
          <w:tcPr>
            <w:tcW w:w="4473" w:type="dxa"/>
            <w:vAlign w:val="center"/>
          </w:tcPr>
          <w:p>
            <w:pPr>
              <w:rPr>
                <w:color w:val="000000"/>
                <w:szCs w:val="21"/>
              </w:rPr>
            </w:pPr>
            <w:r>
              <w:rPr>
                <w:color w:val="000000"/>
                <w:szCs w:val="21"/>
              </w:rPr>
              <w:t>符合第二章“投标人须知”第1</w:t>
            </w:r>
            <w:r>
              <w:rPr>
                <w:rFonts w:hint="eastAsia"/>
                <w:color w:val="000000"/>
                <w:szCs w:val="21"/>
              </w:rPr>
              <w:t>.</w:t>
            </w:r>
            <w:r>
              <w:rPr>
                <w:color w:val="000000"/>
                <w:szCs w:val="21"/>
              </w:rPr>
              <w:t>3</w:t>
            </w:r>
            <w:r>
              <w:rPr>
                <w:rFonts w:hint="eastAsia"/>
                <w:color w:val="000000"/>
                <w:szCs w:val="21"/>
              </w:rPr>
              <w:t>.</w:t>
            </w:r>
            <w:r>
              <w:rPr>
                <w:color w:val="00000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rPr>
                <w:color w:val="000000"/>
                <w:szCs w:val="21"/>
              </w:rPr>
            </w:pPr>
          </w:p>
        </w:tc>
        <w:tc>
          <w:tcPr>
            <w:tcW w:w="2268" w:type="dxa"/>
            <w:vAlign w:val="center"/>
          </w:tcPr>
          <w:p>
            <w:pPr>
              <w:rPr>
                <w:color w:val="000000"/>
                <w:szCs w:val="21"/>
              </w:rPr>
            </w:pPr>
            <w:r>
              <w:rPr>
                <w:color w:val="000000"/>
                <w:szCs w:val="21"/>
              </w:rPr>
              <w:t>工期</w:t>
            </w:r>
          </w:p>
        </w:tc>
        <w:tc>
          <w:tcPr>
            <w:tcW w:w="4473" w:type="dxa"/>
            <w:vAlign w:val="center"/>
          </w:tcPr>
          <w:p>
            <w:pPr>
              <w:rPr>
                <w:color w:val="000000"/>
                <w:szCs w:val="21"/>
              </w:rPr>
            </w:pPr>
            <w:r>
              <w:rPr>
                <w:color w:val="000000"/>
                <w:szCs w:val="21"/>
              </w:rPr>
              <w:t>符合第二章“投标人须知’’第1</w:t>
            </w:r>
            <w:r>
              <w:rPr>
                <w:rFonts w:hint="eastAsia"/>
                <w:color w:val="000000"/>
                <w:szCs w:val="21"/>
              </w:rPr>
              <w:t>.</w:t>
            </w:r>
            <w:r>
              <w:rPr>
                <w:color w:val="000000"/>
                <w:szCs w:val="21"/>
              </w:rPr>
              <w:t>3</w:t>
            </w:r>
            <w:r>
              <w:rPr>
                <w:rFonts w:hint="eastAsia"/>
                <w:color w:val="000000"/>
                <w:szCs w:val="21"/>
              </w:rPr>
              <w:t>.</w:t>
            </w:r>
            <w:r>
              <w:rPr>
                <w:color w:val="000000"/>
                <w:szCs w:val="21"/>
              </w:rPr>
              <w:t>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rPr>
                <w:color w:val="000000"/>
                <w:szCs w:val="21"/>
              </w:rPr>
            </w:pPr>
          </w:p>
        </w:tc>
        <w:tc>
          <w:tcPr>
            <w:tcW w:w="2268" w:type="dxa"/>
            <w:vAlign w:val="center"/>
          </w:tcPr>
          <w:p>
            <w:pPr>
              <w:rPr>
                <w:color w:val="000000"/>
                <w:szCs w:val="21"/>
              </w:rPr>
            </w:pPr>
            <w:r>
              <w:rPr>
                <w:color w:val="000000"/>
                <w:szCs w:val="21"/>
              </w:rPr>
              <w:t>工程质量</w:t>
            </w:r>
          </w:p>
        </w:tc>
        <w:tc>
          <w:tcPr>
            <w:tcW w:w="4473" w:type="dxa"/>
            <w:vAlign w:val="center"/>
          </w:tcPr>
          <w:p>
            <w:pPr>
              <w:rPr>
                <w:color w:val="000000"/>
                <w:szCs w:val="21"/>
              </w:rPr>
            </w:pPr>
            <w:r>
              <w:rPr>
                <w:color w:val="000000"/>
                <w:szCs w:val="21"/>
              </w:rPr>
              <w:t>符合第二章“投标人须知”第1</w:t>
            </w:r>
            <w:r>
              <w:rPr>
                <w:rFonts w:hint="eastAsia"/>
                <w:color w:val="000000"/>
                <w:szCs w:val="21"/>
              </w:rPr>
              <w:t>.</w:t>
            </w:r>
            <w:r>
              <w:rPr>
                <w:color w:val="000000"/>
                <w:szCs w:val="21"/>
              </w:rPr>
              <w:t>3</w:t>
            </w:r>
            <w:r>
              <w:rPr>
                <w:rFonts w:hint="eastAsia"/>
                <w:color w:val="000000"/>
                <w:szCs w:val="21"/>
              </w:rPr>
              <w:t>.</w:t>
            </w:r>
            <w:r>
              <w:rPr>
                <w:color w:val="000000"/>
                <w:szCs w:val="21"/>
              </w:rPr>
              <w:t>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rPr>
                <w:color w:val="000000"/>
                <w:szCs w:val="21"/>
              </w:rPr>
            </w:pPr>
          </w:p>
        </w:tc>
        <w:tc>
          <w:tcPr>
            <w:tcW w:w="2268" w:type="dxa"/>
            <w:vAlign w:val="center"/>
          </w:tcPr>
          <w:p>
            <w:pPr>
              <w:rPr>
                <w:color w:val="000000"/>
                <w:szCs w:val="21"/>
              </w:rPr>
            </w:pPr>
            <w:r>
              <w:rPr>
                <w:color w:val="000000"/>
                <w:szCs w:val="21"/>
              </w:rPr>
              <w:t>投标有效期</w:t>
            </w:r>
          </w:p>
        </w:tc>
        <w:tc>
          <w:tcPr>
            <w:tcW w:w="4473" w:type="dxa"/>
            <w:vAlign w:val="center"/>
          </w:tcPr>
          <w:p>
            <w:pPr>
              <w:rPr>
                <w:color w:val="000000"/>
                <w:szCs w:val="21"/>
              </w:rPr>
            </w:pPr>
            <w:r>
              <w:rPr>
                <w:color w:val="000000"/>
                <w:szCs w:val="21"/>
              </w:rPr>
              <w:t>符合第二章“投标人须知”第3</w:t>
            </w:r>
            <w:r>
              <w:rPr>
                <w:rFonts w:hint="eastAsia"/>
                <w:color w:val="000000"/>
                <w:szCs w:val="21"/>
              </w:rPr>
              <w:t>.</w:t>
            </w:r>
            <w:r>
              <w:rPr>
                <w:color w:val="000000"/>
                <w:szCs w:val="21"/>
              </w:rPr>
              <w:t>3</w:t>
            </w:r>
            <w:r>
              <w:rPr>
                <w:rFonts w:hint="eastAsia"/>
                <w:color w:val="000000"/>
                <w:szCs w:val="21"/>
              </w:rPr>
              <w:t>.</w:t>
            </w:r>
            <w:r>
              <w:rPr>
                <w:color w:val="00000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rPr>
                <w:color w:val="000000"/>
                <w:szCs w:val="21"/>
              </w:rPr>
            </w:pPr>
          </w:p>
        </w:tc>
        <w:tc>
          <w:tcPr>
            <w:tcW w:w="2268" w:type="dxa"/>
            <w:vAlign w:val="center"/>
          </w:tcPr>
          <w:p>
            <w:pPr>
              <w:rPr>
                <w:color w:val="000000"/>
                <w:szCs w:val="21"/>
              </w:rPr>
            </w:pPr>
            <w:r>
              <w:rPr>
                <w:color w:val="000000"/>
                <w:szCs w:val="21"/>
              </w:rPr>
              <w:t>投标保证金</w:t>
            </w:r>
          </w:p>
        </w:tc>
        <w:tc>
          <w:tcPr>
            <w:tcW w:w="4473" w:type="dxa"/>
            <w:vAlign w:val="center"/>
          </w:tcPr>
          <w:p>
            <w:pPr>
              <w:rPr>
                <w:color w:val="000000"/>
                <w:szCs w:val="21"/>
              </w:rPr>
            </w:pPr>
            <w:r>
              <w:rPr>
                <w:color w:val="000000"/>
                <w:szCs w:val="21"/>
              </w:rPr>
              <w:t>符合第二章“投标人须知”第3</w:t>
            </w:r>
            <w:r>
              <w:rPr>
                <w:rFonts w:hint="eastAsia"/>
                <w:color w:val="000000"/>
                <w:szCs w:val="21"/>
              </w:rPr>
              <w:t>.</w:t>
            </w:r>
            <w:r>
              <w:rPr>
                <w:color w:val="000000"/>
                <w:szCs w:val="21"/>
              </w:rPr>
              <w:t>4</w:t>
            </w:r>
            <w:r>
              <w:rPr>
                <w:rFonts w:hint="eastAsia"/>
                <w:color w:val="000000"/>
                <w:szCs w:val="21"/>
              </w:rPr>
              <w:t>.</w:t>
            </w:r>
            <w:r>
              <w:rPr>
                <w:color w:val="00000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rPr>
                <w:color w:val="000000"/>
                <w:szCs w:val="21"/>
              </w:rPr>
            </w:pPr>
          </w:p>
        </w:tc>
        <w:tc>
          <w:tcPr>
            <w:tcW w:w="2268" w:type="dxa"/>
            <w:vAlign w:val="center"/>
          </w:tcPr>
          <w:p>
            <w:pPr>
              <w:rPr>
                <w:color w:val="000000"/>
                <w:szCs w:val="21"/>
              </w:rPr>
            </w:pPr>
            <w:r>
              <w:rPr>
                <w:color w:val="000000"/>
                <w:szCs w:val="21"/>
              </w:rPr>
              <w:t>权利义务</w:t>
            </w:r>
          </w:p>
        </w:tc>
        <w:tc>
          <w:tcPr>
            <w:tcW w:w="4473" w:type="dxa"/>
            <w:vAlign w:val="center"/>
          </w:tcPr>
          <w:p>
            <w:pPr>
              <w:rPr>
                <w:color w:val="000000"/>
                <w:szCs w:val="21"/>
              </w:rPr>
            </w:pPr>
            <w:r>
              <w:rPr>
                <w:color w:val="000000"/>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rPr>
                <w:color w:val="000000"/>
                <w:szCs w:val="21"/>
              </w:rPr>
            </w:pPr>
          </w:p>
        </w:tc>
        <w:tc>
          <w:tcPr>
            <w:tcW w:w="2268" w:type="dxa"/>
            <w:vAlign w:val="center"/>
          </w:tcPr>
          <w:p>
            <w:pPr>
              <w:rPr>
                <w:color w:val="000000"/>
                <w:szCs w:val="21"/>
              </w:rPr>
            </w:pPr>
            <w:r>
              <w:rPr>
                <w:color w:val="000000"/>
                <w:szCs w:val="21"/>
              </w:rPr>
              <w:t>已标价工程量清单</w:t>
            </w:r>
          </w:p>
        </w:tc>
        <w:tc>
          <w:tcPr>
            <w:tcW w:w="4473" w:type="dxa"/>
            <w:vAlign w:val="center"/>
          </w:tcPr>
          <w:p>
            <w:pPr>
              <w:rPr>
                <w:color w:val="000000"/>
                <w:szCs w:val="21"/>
              </w:rPr>
            </w:pPr>
            <w:r>
              <w:rPr>
                <w:color w:val="000000"/>
                <w:szCs w:val="21"/>
              </w:rPr>
              <w:t>符合第五章“工程量清单”给出的子目编码、子目名称、子目特征、计量单位和工程量。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tcMar>
              <w:left w:w="57" w:type="dxa"/>
              <w:right w:w="57" w:type="dxa"/>
            </w:tcMar>
            <w:vAlign w:val="center"/>
          </w:tcPr>
          <w:p>
            <w:pPr>
              <w:jc w:val="center"/>
              <w:rPr>
                <w:color w:val="000000"/>
                <w:szCs w:val="21"/>
              </w:rPr>
            </w:pPr>
            <w:r>
              <w:rPr>
                <w:rFonts w:hint="eastAsia"/>
                <w:color w:val="000000"/>
              </w:rPr>
              <w:t>技术标准和要求</w:t>
            </w:r>
          </w:p>
        </w:tc>
        <w:tc>
          <w:tcPr>
            <w:tcW w:w="4473" w:type="dxa"/>
            <w:vAlign w:val="center"/>
          </w:tcPr>
          <w:p>
            <w:pPr>
              <w:jc w:val="center"/>
              <w:rPr>
                <w:color w:val="000000"/>
                <w:szCs w:val="21"/>
              </w:rPr>
            </w:pPr>
            <w:r>
              <w:rPr>
                <w:rFonts w:hint="eastAsia"/>
                <w:color w:val="000000"/>
              </w:rPr>
              <w:t>符合第七章“技术标准和要求”规定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tcMar>
              <w:left w:w="57" w:type="dxa"/>
              <w:right w:w="57" w:type="dxa"/>
            </w:tcMar>
            <w:vAlign w:val="center"/>
          </w:tcPr>
          <w:p>
            <w:pPr>
              <w:rPr>
                <w:color w:val="000000"/>
                <w:szCs w:val="21"/>
              </w:rPr>
            </w:pPr>
            <w:r>
              <w:rPr>
                <w:rFonts w:hint="eastAsia"/>
                <w:color w:val="000000"/>
              </w:rPr>
              <w:t>投标价格</w:t>
            </w:r>
          </w:p>
        </w:tc>
        <w:tc>
          <w:tcPr>
            <w:tcW w:w="4473" w:type="dxa"/>
            <w:vAlign w:val="center"/>
          </w:tcPr>
          <w:p>
            <w:pPr>
              <w:spacing w:line="312" w:lineRule="auto"/>
              <w:rPr>
                <w:color w:val="000000"/>
              </w:rPr>
            </w:pPr>
            <w:r>
              <w:rPr>
                <w:rFonts w:hint="eastAsia"/>
                <w:color w:val="000000"/>
              </w:rPr>
              <w:t>□ 低于（含等于）拦标价，</w:t>
            </w:r>
          </w:p>
          <w:p>
            <w:pPr>
              <w:spacing w:line="312" w:lineRule="auto"/>
              <w:rPr>
                <w:color w:val="000000"/>
              </w:rPr>
            </w:pPr>
            <w:r>
              <w:rPr>
                <w:rFonts w:hint="eastAsia"/>
                <w:color w:val="000000"/>
              </w:rPr>
              <w:t xml:space="preserve">   拦标价=标底价×（1+</w:t>
            </w:r>
            <w:r>
              <w:rPr>
                <w:rFonts w:hint="eastAsia"/>
                <w:color w:val="000000"/>
                <w:u w:val="single"/>
              </w:rPr>
              <w:t xml:space="preserve">       </w:t>
            </w:r>
            <w:r>
              <w:rPr>
                <w:rFonts w:hint="eastAsia"/>
                <w:color w:val="000000"/>
              </w:rPr>
              <w:t>％）。</w:t>
            </w:r>
          </w:p>
          <w:p>
            <w:pPr>
              <w:spacing w:line="312" w:lineRule="auto"/>
              <w:ind w:left="440" w:hanging="440" w:hangingChars="200"/>
              <w:rPr>
                <w:color w:val="000000"/>
                <w:szCs w:val="21"/>
              </w:rPr>
            </w:pPr>
            <w:r>
              <w:rPr>
                <w:rFonts w:hint="eastAsia"/>
                <w:color w:val="000000"/>
              </w:rPr>
              <w:t>□ 低于（含等于）第二章“投标人须知”前附表第10.2款载明的招标控制价。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rPr>
                <w:color w:val="000000"/>
                <w:szCs w:val="21"/>
              </w:rPr>
            </w:pPr>
          </w:p>
        </w:tc>
        <w:tc>
          <w:tcPr>
            <w:tcW w:w="2268" w:type="dxa"/>
            <w:tcMar>
              <w:left w:w="57" w:type="dxa"/>
              <w:right w:w="57" w:type="dxa"/>
            </w:tcMar>
            <w:vAlign w:val="center"/>
          </w:tcPr>
          <w:p>
            <w:pPr>
              <w:rPr>
                <w:color w:val="000000"/>
                <w:szCs w:val="21"/>
              </w:rPr>
            </w:pPr>
            <w:r>
              <w:rPr>
                <w:rFonts w:hint="eastAsia"/>
                <w:color w:val="000000"/>
              </w:rPr>
              <w:t>分包计划</w:t>
            </w:r>
          </w:p>
        </w:tc>
        <w:tc>
          <w:tcPr>
            <w:tcW w:w="4473" w:type="dxa"/>
            <w:vAlign w:val="center"/>
          </w:tcPr>
          <w:p>
            <w:pPr>
              <w:rPr>
                <w:color w:val="000000"/>
                <w:szCs w:val="21"/>
              </w:rPr>
            </w:pPr>
            <w:r>
              <w:rPr>
                <w:rFonts w:hint="eastAsia"/>
                <w:color w:val="000000"/>
              </w:rPr>
              <w:t>符合第二章“投标人须知”第1.11款规定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tcMar>
              <w:left w:w="57" w:type="dxa"/>
              <w:right w:w="57" w:type="dxa"/>
            </w:tcMar>
            <w:vAlign w:val="center"/>
          </w:tcPr>
          <w:p>
            <w:pPr>
              <w:rPr>
                <w:color w:val="000000"/>
                <w:szCs w:val="21"/>
              </w:rPr>
            </w:pPr>
            <w:r>
              <w:rPr>
                <w:rFonts w:hint="eastAsia"/>
                <w:color w:val="000000"/>
              </w:rPr>
              <w:t>……</w:t>
            </w:r>
          </w:p>
        </w:tc>
        <w:tc>
          <w:tcPr>
            <w:tcW w:w="4473" w:type="dxa"/>
            <w:vAlign w:val="center"/>
          </w:tcPr>
          <w:p>
            <w:pPr>
              <w:jc w:val="center"/>
              <w:rPr>
                <w:color w:val="000000"/>
                <w:szCs w:val="21"/>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42" w:type="dxa"/>
            <w:vMerge w:val="restart"/>
            <w:tcMar>
              <w:left w:w="57" w:type="dxa"/>
              <w:right w:w="57" w:type="dxa"/>
            </w:tcMar>
            <w:vAlign w:val="center"/>
          </w:tcPr>
          <w:p>
            <w:pPr>
              <w:jc w:val="center"/>
              <w:rPr>
                <w:color w:val="000000"/>
                <w:szCs w:val="21"/>
              </w:rPr>
            </w:pPr>
            <w:r>
              <w:rPr>
                <w:rFonts w:hint="eastAsia"/>
                <w:color w:val="000000"/>
              </w:rPr>
              <w:t>2.1.4</w:t>
            </w:r>
          </w:p>
        </w:tc>
        <w:tc>
          <w:tcPr>
            <w:tcW w:w="1133" w:type="dxa"/>
            <w:vMerge w:val="restart"/>
            <w:vAlign w:val="center"/>
          </w:tcPr>
          <w:p>
            <w:pPr>
              <w:spacing w:line="420" w:lineRule="exact"/>
              <w:rPr>
                <w:color w:val="000000"/>
              </w:rPr>
            </w:pPr>
            <w:r>
              <w:rPr>
                <w:rFonts w:hint="eastAsia"/>
                <w:color w:val="000000"/>
              </w:rPr>
              <w:t>施工组织</w:t>
            </w:r>
          </w:p>
          <w:p>
            <w:pPr>
              <w:spacing w:line="420" w:lineRule="exact"/>
              <w:rPr>
                <w:color w:val="000000"/>
              </w:rPr>
            </w:pPr>
            <w:r>
              <w:rPr>
                <w:rFonts w:hint="eastAsia"/>
                <w:color w:val="000000"/>
              </w:rPr>
              <w:t>设计和项</w:t>
            </w:r>
          </w:p>
          <w:p>
            <w:pPr>
              <w:spacing w:line="420" w:lineRule="exact"/>
              <w:rPr>
                <w:color w:val="000000"/>
              </w:rPr>
            </w:pPr>
            <w:r>
              <w:rPr>
                <w:rFonts w:hint="eastAsia"/>
                <w:color w:val="000000"/>
              </w:rPr>
              <w:t>目管理机</w:t>
            </w:r>
          </w:p>
          <w:p>
            <w:pPr>
              <w:rPr>
                <w:color w:val="000000"/>
              </w:rPr>
            </w:pPr>
            <w:r>
              <w:rPr>
                <w:rFonts w:hint="eastAsia"/>
                <w:color w:val="000000"/>
              </w:rPr>
              <w:t>构评审标</w:t>
            </w:r>
          </w:p>
          <w:p>
            <w:pPr>
              <w:rPr>
                <w:color w:val="000000"/>
                <w:szCs w:val="21"/>
              </w:rPr>
            </w:pPr>
            <w:r>
              <w:rPr>
                <w:rFonts w:hint="eastAsia"/>
                <w:color w:val="000000"/>
              </w:rPr>
              <w:t>准</w:t>
            </w:r>
          </w:p>
        </w:tc>
        <w:tc>
          <w:tcPr>
            <w:tcW w:w="2268" w:type="dxa"/>
            <w:tcMar>
              <w:left w:w="57" w:type="dxa"/>
              <w:right w:w="57" w:type="dxa"/>
            </w:tcMar>
            <w:vAlign w:val="center"/>
          </w:tcPr>
          <w:p>
            <w:pPr>
              <w:rPr>
                <w:color w:val="000000"/>
                <w:szCs w:val="21"/>
              </w:rPr>
            </w:pPr>
            <w:r>
              <w:rPr>
                <w:rFonts w:hint="eastAsia"/>
                <w:color w:val="000000"/>
              </w:rPr>
              <w:t>施工方案与技术措施</w:t>
            </w:r>
          </w:p>
        </w:tc>
        <w:tc>
          <w:tcPr>
            <w:tcW w:w="4473" w:type="dxa"/>
            <w:vAlign w:val="center"/>
          </w:tcPr>
          <w:p>
            <w:pPr>
              <w:jc w:val="center"/>
              <w:rPr>
                <w:color w:val="000000"/>
                <w:szCs w:val="21"/>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tcMar>
              <w:left w:w="57" w:type="dxa"/>
              <w:right w:w="57" w:type="dxa"/>
            </w:tcMar>
            <w:vAlign w:val="center"/>
          </w:tcPr>
          <w:p>
            <w:pPr>
              <w:rPr>
                <w:color w:val="000000"/>
                <w:szCs w:val="21"/>
              </w:rPr>
            </w:pPr>
            <w:r>
              <w:rPr>
                <w:rFonts w:hint="eastAsia"/>
                <w:color w:val="000000"/>
              </w:rPr>
              <w:t>质量管理体系与措施</w:t>
            </w:r>
          </w:p>
        </w:tc>
        <w:tc>
          <w:tcPr>
            <w:tcW w:w="4473" w:type="dxa"/>
            <w:vAlign w:val="center"/>
          </w:tcPr>
          <w:p>
            <w:pPr>
              <w:jc w:val="center"/>
              <w:rPr>
                <w:color w:val="000000"/>
                <w:szCs w:val="21"/>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tcMar>
              <w:left w:w="57" w:type="dxa"/>
              <w:right w:w="57" w:type="dxa"/>
            </w:tcMar>
            <w:vAlign w:val="center"/>
          </w:tcPr>
          <w:p>
            <w:pPr>
              <w:rPr>
                <w:color w:val="000000"/>
                <w:szCs w:val="21"/>
              </w:rPr>
            </w:pPr>
            <w:r>
              <w:rPr>
                <w:rFonts w:hint="eastAsia"/>
                <w:color w:val="000000"/>
              </w:rPr>
              <w:t>安全管理体系与措施</w:t>
            </w:r>
          </w:p>
        </w:tc>
        <w:tc>
          <w:tcPr>
            <w:tcW w:w="4473" w:type="dxa"/>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tcMar>
              <w:left w:w="57" w:type="dxa"/>
              <w:right w:w="57" w:type="dxa"/>
            </w:tcMar>
            <w:vAlign w:val="center"/>
          </w:tcPr>
          <w:p>
            <w:pPr>
              <w:rPr>
                <w:color w:val="000000"/>
                <w:szCs w:val="21"/>
              </w:rPr>
            </w:pPr>
            <w:r>
              <w:rPr>
                <w:rFonts w:hint="eastAsia"/>
                <w:color w:val="000000"/>
              </w:rPr>
              <w:t>环境保护管理体系与措施</w:t>
            </w:r>
          </w:p>
        </w:tc>
        <w:tc>
          <w:tcPr>
            <w:tcW w:w="4473" w:type="dxa"/>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tcMar>
              <w:left w:w="57" w:type="dxa"/>
              <w:right w:w="57" w:type="dxa"/>
            </w:tcMar>
            <w:vAlign w:val="center"/>
          </w:tcPr>
          <w:p>
            <w:pPr>
              <w:rPr>
                <w:color w:val="000000"/>
                <w:szCs w:val="21"/>
              </w:rPr>
            </w:pPr>
            <w:r>
              <w:rPr>
                <w:rFonts w:hint="eastAsia"/>
                <w:color w:val="000000"/>
              </w:rPr>
              <w:t>工程进度计划与措施</w:t>
            </w:r>
          </w:p>
        </w:tc>
        <w:tc>
          <w:tcPr>
            <w:tcW w:w="4473" w:type="dxa"/>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tcMar>
              <w:left w:w="57" w:type="dxa"/>
              <w:right w:w="57" w:type="dxa"/>
            </w:tcMar>
            <w:vAlign w:val="center"/>
          </w:tcPr>
          <w:p>
            <w:pPr>
              <w:rPr>
                <w:color w:val="000000"/>
              </w:rPr>
            </w:pPr>
            <w:r>
              <w:rPr>
                <w:rFonts w:hint="eastAsia"/>
                <w:color w:val="000000"/>
              </w:rPr>
              <w:t>资源配备计划</w:t>
            </w:r>
          </w:p>
        </w:tc>
        <w:tc>
          <w:tcPr>
            <w:tcW w:w="4473" w:type="dxa"/>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tcMar>
              <w:left w:w="57" w:type="dxa"/>
              <w:right w:w="57" w:type="dxa"/>
            </w:tcMar>
            <w:vAlign w:val="center"/>
          </w:tcPr>
          <w:p>
            <w:pPr>
              <w:rPr>
                <w:color w:val="000000"/>
              </w:rPr>
            </w:pPr>
            <w:r>
              <w:rPr>
                <w:rFonts w:hint="eastAsia"/>
                <w:color w:val="000000"/>
              </w:rPr>
              <w:t>技术负责人</w:t>
            </w:r>
          </w:p>
        </w:tc>
        <w:tc>
          <w:tcPr>
            <w:tcW w:w="4473" w:type="dxa"/>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tcMar>
              <w:left w:w="57" w:type="dxa"/>
              <w:right w:w="57" w:type="dxa"/>
            </w:tcMar>
            <w:vAlign w:val="center"/>
          </w:tcPr>
          <w:p>
            <w:pPr>
              <w:rPr>
                <w:color w:val="000000"/>
              </w:rPr>
            </w:pPr>
            <w:r>
              <w:rPr>
                <w:rFonts w:hint="eastAsia"/>
                <w:color w:val="000000"/>
              </w:rPr>
              <w:t>其他主要人员</w:t>
            </w:r>
          </w:p>
        </w:tc>
        <w:tc>
          <w:tcPr>
            <w:tcW w:w="4473" w:type="dxa"/>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tcMar>
              <w:left w:w="57" w:type="dxa"/>
              <w:right w:w="57" w:type="dxa"/>
            </w:tcMar>
            <w:vAlign w:val="center"/>
          </w:tcPr>
          <w:p>
            <w:pPr>
              <w:rPr>
                <w:color w:val="000000"/>
              </w:rPr>
            </w:pPr>
            <w:r>
              <w:rPr>
                <w:rFonts w:hint="eastAsia"/>
                <w:color w:val="000000"/>
              </w:rPr>
              <w:t>施工设备</w:t>
            </w:r>
          </w:p>
        </w:tc>
        <w:tc>
          <w:tcPr>
            <w:tcW w:w="4473" w:type="dxa"/>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tcMar>
              <w:left w:w="57" w:type="dxa"/>
              <w:right w:w="57" w:type="dxa"/>
            </w:tcMar>
            <w:vAlign w:val="center"/>
          </w:tcPr>
          <w:p>
            <w:pPr>
              <w:rPr>
                <w:color w:val="000000"/>
              </w:rPr>
            </w:pPr>
            <w:r>
              <w:rPr>
                <w:rFonts w:hint="eastAsia"/>
                <w:color w:val="000000"/>
              </w:rPr>
              <w:t>试验、检测仪器设备</w:t>
            </w:r>
          </w:p>
        </w:tc>
        <w:tc>
          <w:tcPr>
            <w:tcW w:w="4473" w:type="dxa"/>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42" w:type="dxa"/>
            <w:vMerge w:val="continue"/>
            <w:tcMar>
              <w:left w:w="57" w:type="dxa"/>
              <w:right w:w="57" w:type="dxa"/>
            </w:tcMar>
            <w:vAlign w:val="center"/>
          </w:tcPr>
          <w:p>
            <w:pPr>
              <w:jc w:val="center"/>
              <w:rPr>
                <w:color w:val="000000"/>
                <w:szCs w:val="21"/>
              </w:rPr>
            </w:pPr>
          </w:p>
        </w:tc>
        <w:tc>
          <w:tcPr>
            <w:tcW w:w="1133" w:type="dxa"/>
            <w:vMerge w:val="continue"/>
            <w:vAlign w:val="center"/>
          </w:tcPr>
          <w:p>
            <w:pPr>
              <w:jc w:val="center"/>
              <w:rPr>
                <w:color w:val="000000"/>
                <w:szCs w:val="21"/>
              </w:rPr>
            </w:pPr>
          </w:p>
        </w:tc>
        <w:tc>
          <w:tcPr>
            <w:tcW w:w="2268" w:type="dxa"/>
            <w:tcMar>
              <w:left w:w="57" w:type="dxa"/>
              <w:right w:w="57" w:type="dxa"/>
            </w:tcMar>
            <w:vAlign w:val="center"/>
          </w:tcPr>
          <w:p>
            <w:pPr>
              <w:rPr>
                <w:color w:val="000000"/>
              </w:rPr>
            </w:pPr>
            <w:r>
              <w:rPr>
                <w:rFonts w:hint="eastAsia"/>
                <w:color w:val="000000"/>
              </w:rPr>
              <w:t>……</w:t>
            </w:r>
          </w:p>
        </w:tc>
        <w:tc>
          <w:tcPr>
            <w:tcW w:w="4473" w:type="dxa"/>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8516" w:type="dxa"/>
            <w:gridSpan w:val="4"/>
            <w:tcMar>
              <w:left w:w="57" w:type="dxa"/>
              <w:right w:w="57"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1775" w:type="dxa"/>
            <w:gridSpan w:val="2"/>
            <w:tcMar>
              <w:left w:w="57" w:type="dxa"/>
              <w:right w:w="57" w:type="dxa"/>
            </w:tcMar>
            <w:vAlign w:val="center"/>
          </w:tcPr>
          <w:p>
            <w:pPr>
              <w:jc w:val="center"/>
              <w:rPr>
                <w:b/>
                <w:color w:val="000000"/>
                <w:szCs w:val="21"/>
              </w:rPr>
            </w:pPr>
            <w:r>
              <w:rPr>
                <w:rFonts w:hint="eastAsia"/>
                <w:b/>
                <w:color w:val="000000"/>
              </w:rPr>
              <w:t>条款号</w:t>
            </w:r>
          </w:p>
        </w:tc>
        <w:tc>
          <w:tcPr>
            <w:tcW w:w="2268" w:type="dxa"/>
            <w:vAlign w:val="center"/>
          </w:tcPr>
          <w:p>
            <w:pPr>
              <w:jc w:val="center"/>
              <w:rPr>
                <w:b/>
                <w:color w:val="000000"/>
              </w:rPr>
            </w:pPr>
            <w:r>
              <w:rPr>
                <w:rFonts w:hint="eastAsia"/>
                <w:b/>
                <w:color w:val="000000"/>
              </w:rPr>
              <w:t>评审因素</w:t>
            </w:r>
          </w:p>
        </w:tc>
        <w:tc>
          <w:tcPr>
            <w:tcW w:w="4473" w:type="dxa"/>
            <w:vAlign w:val="center"/>
          </w:tcPr>
          <w:p>
            <w:pPr>
              <w:jc w:val="center"/>
              <w:rPr>
                <w:b/>
                <w:color w:val="000000"/>
              </w:rPr>
            </w:pPr>
            <w:r>
              <w:rPr>
                <w:rFonts w:hint="eastAsia"/>
                <w:b/>
                <w:color w:val="000000"/>
              </w:rPr>
              <w:t>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42" w:type="dxa"/>
            <w:vMerge w:val="restart"/>
            <w:tcMar>
              <w:left w:w="57" w:type="dxa"/>
              <w:right w:w="57" w:type="dxa"/>
            </w:tcMar>
            <w:vAlign w:val="center"/>
          </w:tcPr>
          <w:p>
            <w:pPr>
              <w:jc w:val="center"/>
              <w:rPr>
                <w:color w:val="000000"/>
                <w:szCs w:val="21"/>
              </w:rPr>
            </w:pPr>
            <w:r>
              <w:rPr>
                <w:rFonts w:hint="eastAsia"/>
                <w:color w:val="000000"/>
              </w:rPr>
              <w:t>2.2</w:t>
            </w:r>
          </w:p>
        </w:tc>
        <w:tc>
          <w:tcPr>
            <w:tcW w:w="1133" w:type="dxa"/>
            <w:vMerge w:val="restart"/>
            <w:vAlign w:val="center"/>
          </w:tcPr>
          <w:p>
            <w:pPr>
              <w:jc w:val="center"/>
              <w:rPr>
                <w:color w:val="000000"/>
                <w:szCs w:val="21"/>
              </w:rPr>
            </w:pPr>
            <w:r>
              <w:rPr>
                <w:rFonts w:hint="eastAsia"/>
                <w:color w:val="000000"/>
              </w:rPr>
              <w:t>详细评审标    准</w:t>
            </w:r>
          </w:p>
        </w:tc>
        <w:tc>
          <w:tcPr>
            <w:tcW w:w="2268" w:type="dxa"/>
            <w:tcMar>
              <w:left w:w="57" w:type="dxa"/>
              <w:right w:w="57" w:type="dxa"/>
            </w:tcMar>
            <w:vAlign w:val="center"/>
          </w:tcPr>
          <w:p>
            <w:pPr>
              <w:rPr>
                <w:color w:val="000000"/>
              </w:rPr>
            </w:pPr>
            <w:r>
              <w:rPr>
                <w:rFonts w:hint="eastAsia"/>
                <w:color w:val="000000"/>
              </w:rPr>
              <w:t>单价遗漏</w:t>
            </w:r>
          </w:p>
        </w:tc>
        <w:tc>
          <w:tcPr>
            <w:tcW w:w="4473" w:type="dxa"/>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42" w:type="dxa"/>
            <w:vMerge w:val="continue"/>
            <w:tcMar>
              <w:left w:w="57" w:type="dxa"/>
              <w:right w:w="57" w:type="dxa"/>
            </w:tcMar>
            <w:vAlign w:val="center"/>
          </w:tcPr>
          <w:p>
            <w:pPr>
              <w:jc w:val="center"/>
              <w:rPr>
                <w:color w:val="000000"/>
              </w:rPr>
            </w:pPr>
          </w:p>
        </w:tc>
        <w:tc>
          <w:tcPr>
            <w:tcW w:w="1133" w:type="dxa"/>
            <w:vMerge w:val="continue"/>
            <w:vAlign w:val="center"/>
          </w:tcPr>
          <w:p>
            <w:pPr>
              <w:jc w:val="center"/>
              <w:rPr>
                <w:color w:val="000000"/>
                <w:szCs w:val="21"/>
              </w:rPr>
            </w:pPr>
          </w:p>
        </w:tc>
        <w:tc>
          <w:tcPr>
            <w:tcW w:w="2268" w:type="dxa"/>
            <w:tcMar>
              <w:left w:w="57" w:type="dxa"/>
              <w:right w:w="57" w:type="dxa"/>
            </w:tcMar>
            <w:vAlign w:val="center"/>
          </w:tcPr>
          <w:p>
            <w:pPr>
              <w:rPr>
                <w:color w:val="000000"/>
              </w:rPr>
            </w:pPr>
            <w:r>
              <w:rPr>
                <w:rFonts w:hint="eastAsia"/>
                <w:color w:val="000000"/>
              </w:rPr>
              <w:t>不平衡报价</w:t>
            </w:r>
          </w:p>
        </w:tc>
        <w:tc>
          <w:tcPr>
            <w:tcW w:w="4473" w:type="dxa"/>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42" w:type="dxa"/>
            <w:vMerge w:val="continue"/>
            <w:tcMar>
              <w:left w:w="57" w:type="dxa"/>
              <w:right w:w="57" w:type="dxa"/>
            </w:tcMar>
            <w:vAlign w:val="center"/>
          </w:tcPr>
          <w:p>
            <w:pPr>
              <w:jc w:val="center"/>
              <w:rPr>
                <w:color w:val="000000"/>
              </w:rPr>
            </w:pPr>
          </w:p>
        </w:tc>
        <w:tc>
          <w:tcPr>
            <w:tcW w:w="1133" w:type="dxa"/>
            <w:vMerge w:val="continue"/>
            <w:vAlign w:val="center"/>
          </w:tcPr>
          <w:p>
            <w:pPr>
              <w:jc w:val="center"/>
              <w:rPr>
                <w:color w:val="000000"/>
                <w:szCs w:val="21"/>
              </w:rPr>
            </w:pPr>
          </w:p>
        </w:tc>
        <w:tc>
          <w:tcPr>
            <w:tcW w:w="2268" w:type="dxa"/>
            <w:tcMar>
              <w:left w:w="57" w:type="dxa"/>
              <w:right w:w="57" w:type="dxa"/>
            </w:tcMar>
            <w:vAlign w:val="center"/>
          </w:tcPr>
          <w:p>
            <w:pPr>
              <w:rPr>
                <w:color w:val="000000"/>
              </w:rPr>
            </w:pPr>
            <w:r>
              <w:rPr>
                <w:rFonts w:hint="eastAsia"/>
                <w:color w:val="000000"/>
              </w:rPr>
              <w:t>……</w:t>
            </w:r>
          </w:p>
        </w:tc>
        <w:tc>
          <w:tcPr>
            <w:tcW w:w="4473" w:type="dxa"/>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516" w:type="dxa"/>
            <w:gridSpan w:val="4"/>
            <w:tcMar>
              <w:left w:w="57" w:type="dxa"/>
              <w:right w:w="57" w:type="dxa"/>
            </w:tcMar>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75" w:type="dxa"/>
            <w:gridSpan w:val="2"/>
            <w:tcMar>
              <w:left w:w="57" w:type="dxa"/>
              <w:right w:w="57" w:type="dxa"/>
            </w:tcMar>
            <w:vAlign w:val="center"/>
          </w:tcPr>
          <w:p>
            <w:pPr>
              <w:jc w:val="center"/>
              <w:rPr>
                <w:b/>
                <w:color w:val="000000"/>
                <w:szCs w:val="21"/>
              </w:rPr>
            </w:pPr>
            <w:r>
              <w:rPr>
                <w:rFonts w:hint="eastAsia"/>
                <w:b/>
                <w:color w:val="000000"/>
              </w:rPr>
              <w:t>条款号</w:t>
            </w:r>
          </w:p>
        </w:tc>
        <w:tc>
          <w:tcPr>
            <w:tcW w:w="6741" w:type="dxa"/>
            <w:gridSpan w:val="2"/>
            <w:vAlign w:val="center"/>
          </w:tcPr>
          <w:p>
            <w:pPr>
              <w:jc w:val="center"/>
              <w:rPr>
                <w:b/>
                <w:color w:val="000000"/>
              </w:rPr>
            </w:pPr>
            <w:r>
              <w:rPr>
                <w:rFonts w:hint="eastAsia"/>
                <w:b/>
                <w:color w:val="00000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642" w:type="dxa"/>
            <w:tcMar>
              <w:left w:w="57" w:type="dxa"/>
              <w:right w:w="57" w:type="dxa"/>
            </w:tcMar>
            <w:vAlign w:val="center"/>
          </w:tcPr>
          <w:p>
            <w:pPr>
              <w:jc w:val="center"/>
              <w:rPr>
                <w:color w:val="000000"/>
              </w:rPr>
            </w:pPr>
            <w:r>
              <w:rPr>
                <w:rFonts w:hint="eastAsia"/>
                <w:color w:val="000000"/>
              </w:rPr>
              <w:t>3</w:t>
            </w:r>
          </w:p>
        </w:tc>
        <w:tc>
          <w:tcPr>
            <w:tcW w:w="1133" w:type="dxa"/>
            <w:vAlign w:val="center"/>
          </w:tcPr>
          <w:p>
            <w:pPr>
              <w:jc w:val="center"/>
              <w:rPr>
                <w:color w:val="000000"/>
              </w:rPr>
            </w:pPr>
            <w:r>
              <w:rPr>
                <w:rFonts w:hint="eastAsia"/>
                <w:color w:val="000000"/>
              </w:rPr>
              <w:t>评    标</w:t>
            </w:r>
          </w:p>
          <w:p>
            <w:pPr>
              <w:jc w:val="center"/>
              <w:rPr>
                <w:color w:val="000000"/>
                <w:szCs w:val="21"/>
              </w:rPr>
            </w:pPr>
            <w:r>
              <w:rPr>
                <w:rFonts w:hint="eastAsia"/>
                <w:color w:val="000000"/>
              </w:rPr>
              <w:t>程    序</w:t>
            </w:r>
          </w:p>
        </w:tc>
        <w:tc>
          <w:tcPr>
            <w:tcW w:w="6741" w:type="dxa"/>
            <w:gridSpan w:val="2"/>
            <w:vAlign w:val="center"/>
          </w:tcPr>
          <w:p>
            <w:pPr>
              <w:rPr>
                <w:color w:val="000000"/>
              </w:rPr>
            </w:pPr>
            <w:r>
              <w:rPr>
                <w:rFonts w:hint="eastAsia"/>
                <w:color w:val="000000"/>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42" w:type="dxa"/>
            <w:tcMar>
              <w:left w:w="57" w:type="dxa"/>
              <w:right w:w="57" w:type="dxa"/>
            </w:tcMar>
            <w:vAlign w:val="center"/>
          </w:tcPr>
          <w:p>
            <w:pPr>
              <w:jc w:val="center"/>
              <w:rPr>
                <w:color w:val="000000"/>
              </w:rPr>
            </w:pPr>
            <w:r>
              <w:rPr>
                <w:rFonts w:hint="eastAsia"/>
                <w:color w:val="000000"/>
              </w:rPr>
              <w:t>3.1.2</w:t>
            </w:r>
          </w:p>
        </w:tc>
        <w:tc>
          <w:tcPr>
            <w:tcW w:w="1133" w:type="dxa"/>
            <w:vAlign w:val="center"/>
          </w:tcPr>
          <w:p>
            <w:pPr>
              <w:rPr>
                <w:color w:val="000000"/>
                <w:w w:val="95"/>
                <w:szCs w:val="21"/>
              </w:rPr>
            </w:pPr>
            <w:r>
              <w:rPr>
                <w:rFonts w:hint="eastAsia"/>
                <w:color w:val="000000"/>
                <w:w w:val="95"/>
                <w:szCs w:val="21"/>
              </w:rPr>
              <w:t>废标条件</w:t>
            </w:r>
          </w:p>
        </w:tc>
        <w:tc>
          <w:tcPr>
            <w:tcW w:w="6741" w:type="dxa"/>
            <w:gridSpan w:val="2"/>
            <w:vAlign w:val="center"/>
          </w:tcPr>
          <w:p>
            <w:pPr>
              <w:rPr>
                <w:color w:val="000000"/>
              </w:rPr>
            </w:pPr>
            <w:r>
              <w:rPr>
                <w:rFonts w:hint="eastAsia"/>
                <w:color w:val="000000"/>
              </w:rPr>
              <w:t>详见本章附件B：废标条件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42" w:type="dxa"/>
            <w:tcMar>
              <w:left w:w="57" w:type="dxa"/>
              <w:right w:w="57" w:type="dxa"/>
            </w:tcMar>
            <w:vAlign w:val="center"/>
          </w:tcPr>
          <w:p>
            <w:pPr>
              <w:jc w:val="center"/>
              <w:rPr>
                <w:color w:val="000000"/>
              </w:rPr>
            </w:pPr>
            <w:r>
              <w:rPr>
                <w:rFonts w:hint="eastAsia"/>
                <w:color w:val="000000"/>
              </w:rPr>
              <w:t>3.2.1</w:t>
            </w:r>
          </w:p>
        </w:tc>
        <w:tc>
          <w:tcPr>
            <w:tcW w:w="1133" w:type="dxa"/>
            <w:vAlign w:val="center"/>
          </w:tcPr>
          <w:p>
            <w:pPr>
              <w:jc w:val="center"/>
              <w:rPr>
                <w:color w:val="000000"/>
              </w:rPr>
            </w:pPr>
            <w:r>
              <w:rPr>
                <w:rFonts w:hint="eastAsia"/>
                <w:color w:val="000000"/>
              </w:rPr>
              <w:t>价格折算</w:t>
            </w:r>
          </w:p>
        </w:tc>
        <w:tc>
          <w:tcPr>
            <w:tcW w:w="6741" w:type="dxa"/>
            <w:gridSpan w:val="2"/>
            <w:vAlign w:val="center"/>
          </w:tcPr>
          <w:p>
            <w:pPr>
              <w:rPr>
                <w:color w:val="000000"/>
              </w:rPr>
            </w:pPr>
            <w:r>
              <w:rPr>
                <w:rFonts w:hint="eastAsia"/>
                <w:color w:val="000000"/>
              </w:rPr>
              <w:t>详见本章附件C：评标价计算方法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642" w:type="dxa"/>
            <w:vAlign w:val="center"/>
          </w:tcPr>
          <w:p>
            <w:pPr>
              <w:jc w:val="center"/>
              <w:rPr>
                <w:color w:val="000000"/>
              </w:rPr>
            </w:pPr>
            <w:r>
              <w:rPr>
                <w:rFonts w:hint="eastAsia"/>
                <w:color w:val="000000"/>
              </w:rPr>
              <w:t>3.2.2</w:t>
            </w:r>
          </w:p>
        </w:tc>
        <w:tc>
          <w:tcPr>
            <w:tcW w:w="1133" w:type="dxa"/>
            <w:tcMar>
              <w:left w:w="57" w:type="dxa"/>
              <w:right w:w="57" w:type="dxa"/>
            </w:tcMar>
            <w:vAlign w:val="center"/>
          </w:tcPr>
          <w:p>
            <w:pPr>
              <w:spacing w:line="312" w:lineRule="auto"/>
              <w:rPr>
                <w:color w:val="000000"/>
              </w:rPr>
            </w:pPr>
            <w:r>
              <w:rPr>
                <w:rFonts w:hint="eastAsia"/>
                <w:color w:val="000000"/>
              </w:rPr>
              <w:t>判断投标报价是否低于其成本</w:t>
            </w:r>
          </w:p>
        </w:tc>
        <w:tc>
          <w:tcPr>
            <w:tcW w:w="6741" w:type="dxa"/>
            <w:gridSpan w:val="2"/>
            <w:vAlign w:val="center"/>
          </w:tcPr>
          <w:p>
            <w:pPr>
              <w:rPr>
                <w:color w:val="000000"/>
              </w:rPr>
            </w:pPr>
            <w:r>
              <w:rPr>
                <w:rFonts w:hint="eastAsia"/>
                <w:color w:val="000000"/>
              </w:rPr>
              <w:t>详见本章附件D：投标人成本评审办法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642" w:type="dxa"/>
            <w:vAlign w:val="center"/>
          </w:tcPr>
          <w:p>
            <w:pPr>
              <w:jc w:val="center"/>
              <w:rPr>
                <w:color w:val="000000"/>
              </w:rPr>
            </w:pPr>
            <w:r>
              <w:rPr>
                <w:rFonts w:hint="eastAsia"/>
                <w:color w:val="000000"/>
              </w:rPr>
              <w:t>补1</w:t>
            </w:r>
          </w:p>
        </w:tc>
        <w:tc>
          <w:tcPr>
            <w:tcW w:w="1133" w:type="dxa"/>
            <w:tcMar>
              <w:left w:w="57" w:type="dxa"/>
              <w:right w:w="57" w:type="dxa"/>
            </w:tcMar>
            <w:vAlign w:val="center"/>
          </w:tcPr>
          <w:p>
            <w:pPr>
              <w:spacing w:line="312" w:lineRule="auto"/>
              <w:rPr>
                <w:color w:val="000000"/>
              </w:rPr>
            </w:pPr>
            <w:r>
              <w:rPr>
                <w:rFonts w:hint="eastAsia"/>
                <w:color w:val="000000"/>
              </w:rPr>
              <w:t>备选投标方案的评审</w:t>
            </w:r>
          </w:p>
        </w:tc>
        <w:tc>
          <w:tcPr>
            <w:tcW w:w="6741" w:type="dxa"/>
            <w:gridSpan w:val="2"/>
            <w:vAlign w:val="center"/>
          </w:tcPr>
          <w:p>
            <w:pPr>
              <w:rPr>
                <w:color w:val="000000"/>
              </w:rPr>
            </w:pPr>
            <w:r>
              <w:rPr>
                <w:rFonts w:hint="eastAsia"/>
                <w:color w:val="000000"/>
              </w:rPr>
              <w:t>详见本章附件E：备选投标方案的评审和比较办法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642" w:type="dxa"/>
            <w:vAlign w:val="center"/>
          </w:tcPr>
          <w:p>
            <w:pPr>
              <w:jc w:val="center"/>
              <w:rPr>
                <w:color w:val="000000"/>
              </w:rPr>
            </w:pPr>
            <w:r>
              <w:rPr>
                <w:rFonts w:hint="eastAsia"/>
                <w:color w:val="000000"/>
              </w:rPr>
              <w:t>补2</w:t>
            </w:r>
          </w:p>
        </w:tc>
        <w:tc>
          <w:tcPr>
            <w:tcW w:w="1133" w:type="dxa"/>
            <w:tcMar>
              <w:left w:w="57" w:type="dxa"/>
              <w:right w:w="57" w:type="dxa"/>
            </w:tcMar>
            <w:vAlign w:val="center"/>
          </w:tcPr>
          <w:p>
            <w:pPr>
              <w:spacing w:line="312" w:lineRule="auto"/>
              <w:rPr>
                <w:color w:val="000000"/>
              </w:rPr>
            </w:pPr>
            <w:r>
              <w:rPr>
                <w:rFonts w:hint="eastAsia"/>
                <w:color w:val="000000"/>
              </w:rPr>
              <w:t>计算机辅助评标</w:t>
            </w:r>
          </w:p>
        </w:tc>
        <w:tc>
          <w:tcPr>
            <w:tcW w:w="6741" w:type="dxa"/>
            <w:gridSpan w:val="2"/>
            <w:vAlign w:val="center"/>
          </w:tcPr>
          <w:p>
            <w:pPr>
              <w:rPr>
                <w:color w:val="000000"/>
              </w:rPr>
            </w:pPr>
            <w:r>
              <w:rPr>
                <w:rFonts w:hint="eastAsia"/>
                <w:color w:val="000000"/>
              </w:rPr>
              <w:t>详见本章附件F：计算机辅助评标方法</w:t>
            </w:r>
          </w:p>
        </w:tc>
      </w:tr>
    </w:tbl>
    <w:p>
      <w:pPr>
        <w:spacing w:line="420" w:lineRule="exact"/>
        <w:rPr>
          <w:color w:val="000000"/>
        </w:rPr>
      </w:pPr>
    </w:p>
    <w:p>
      <w:pPr>
        <w:spacing w:line="360" w:lineRule="auto"/>
        <w:jc w:val="center"/>
        <w:rPr>
          <w:rFonts w:ascii="黑体" w:eastAsia="黑体"/>
          <w:color w:val="000000"/>
          <w:sz w:val="32"/>
          <w:szCs w:val="32"/>
        </w:rPr>
      </w:pPr>
      <w:r>
        <w:rPr>
          <w:rFonts w:hint="eastAsia" w:ascii="黑体" w:eastAsia="黑体"/>
          <w:color w:val="000000"/>
          <w:sz w:val="24"/>
        </w:rPr>
        <w:br w:type="page"/>
      </w:r>
      <w:r>
        <w:rPr>
          <w:rFonts w:hint="eastAsia" w:ascii="黑体" w:eastAsia="黑体"/>
          <w:color w:val="000000"/>
          <w:sz w:val="32"/>
          <w:szCs w:val="32"/>
        </w:rPr>
        <w:t>评标办法（经评审的最低投标价法）正文部分</w:t>
      </w:r>
    </w:p>
    <w:p>
      <w:pPr>
        <w:spacing w:line="360" w:lineRule="auto"/>
        <w:ind w:firstLine="480" w:firstLineChars="200"/>
        <w:rPr>
          <w:color w:val="000000"/>
          <w:sz w:val="24"/>
          <w:szCs w:val="24"/>
        </w:rPr>
      </w:pPr>
      <w:bookmarkStart w:id="52" w:name="_Toc407204985"/>
      <w:bookmarkEnd w:id="52"/>
      <w:bookmarkStart w:id="53" w:name="_Toc184635089"/>
      <w:bookmarkEnd w:id="53"/>
      <w:r>
        <w:rPr>
          <w:rFonts w:hint="eastAsia"/>
          <w:color w:val="000000"/>
          <w:sz w:val="24"/>
          <w:szCs w:val="24"/>
        </w:rPr>
        <w:t xml:space="preserve">1、评标方法 </w:t>
      </w:r>
    </w:p>
    <w:p>
      <w:pPr>
        <w:spacing w:line="360" w:lineRule="auto"/>
        <w:ind w:firstLine="480" w:firstLineChars="200"/>
        <w:rPr>
          <w:color w:val="000000"/>
          <w:sz w:val="24"/>
          <w:szCs w:val="24"/>
        </w:rPr>
      </w:pPr>
      <w:r>
        <w:rPr>
          <w:rFonts w:hint="eastAsia"/>
          <w:color w:val="000000"/>
          <w:sz w:val="24"/>
          <w:szCs w:val="24"/>
        </w:rPr>
        <w:t xml:space="preserve">本次评标采用经评审的最低投标价法。评标委员会对满足招标文件实质要求的投标文件，根据本章第2.2 款规定的量化因素及量化标准进行价格折算，按照经评审的投标价由低到高的顺序推荐中标候选人，或根据招标人授权直接确定中标人，但投标报价低于其成本的除外。经评审的投标价相等时，投标报价低的优先；投标报价也相等的，由招标人自行确定。 </w:t>
      </w:r>
    </w:p>
    <w:p>
      <w:pPr>
        <w:spacing w:line="360" w:lineRule="auto"/>
        <w:ind w:firstLine="480" w:firstLineChars="200"/>
        <w:rPr>
          <w:color w:val="000000"/>
          <w:sz w:val="24"/>
          <w:szCs w:val="24"/>
        </w:rPr>
      </w:pPr>
      <w:bookmarkStart w:id="54" w:name="_Toc184635090"/>
      <w:bookmarkEnd w:id="54"/>
      <w:bookmarkStart w:id="55" w:name="_Toc407204986"/>
      <w:bookmarkEnd w:id="55"/>
      <w:r>
        <w:rPr>
          <w:rFonts w:hint="eastAsia"/>
          <w:color w:val="000000"/>
          <w:sz w:val="24"/>
          <w:szCs w:val="24"/>
        </w:rPr>
        <w:t xml:space="preserve">2、评审标准 </w:t>
      </w:r>
    </w:p>
    <w:p>
      <w:pPr>
        <w:spacing w:line="360" w:lineRule="auto"/>
        <w:ind w:firstLine="480" w:firstLineChars="200"/>
        <w:rPr>
          <w:color w:val="000000"/>
          <w:sz w:val="24"/>
          <w:szCs w:val="24"/>
        </w:rPr>
      </w:pPr>
      <w:bookmarkStart w:id="56" w:name="_Toc407204987"/>
      <w:bookmarkEnd w:id="56"/>
      <w:r>
        <w:rPr>
          <w:rFonts w:hint="eastAsia"/>
          <w:color w:val="000000"/>
          <w:sz w:val="24"/>
          <w:szCs w:val="24"/>
        </w:rPr>
        <w:t xml:space="preserve">2.1 初步评审标准 </w:t>
      </w:r>
    </w:p>
    <w:p>
      <w:pPr>
        <w:spacing w:line="360" w:lineRule="auto"/>
        <w:ind w:firstLine="480" w:firstLineChars="200"/>
        <w:rPr>
          <w:color w:val="000000"/>
          <w:sz w:val="24"/>
          <w:szCs w:val="24"/>
        </w:rPr>
      </w:pPr>
      <w:r>
        <w:rPr>
          <w:rFonts w:hint="eastAsia"/>
          <w:color w:val="000000"/>
          <w:sz w:val="24"/>
          <w:szCs w:val="24"/>
        </w:rPr>
        <w:t xml:space="preserve">2.1.1 形式评审标准：见评标办法前附表。 </w:t>
      </w:r>
    </w:p>
    <w:p>
      <w:pPr>
        <w:spacing w:line="360" w:lineRule="auto"/>
        <w:ind w:firstLine="480" w:firstLineChars="200"/>
        <w:rPr>
          <w:color w:val="000000"/>
          <w:sz w:val="24"/>
          <w:szCs w:val="24"/>
        </w:rPr>
      </w:pPr>
      <w:r>
        <w:rPr>
          <w:rFonts w:hint="eastAsia"/>
          <w:color w:val="000000"/>
          <w:sz w:val="24"/>
          <w:szCs w:val="24"/>
        </w:rPr>
        <w:t xml:space="preserve">2.1.2 资格评审标准：见评标办法前附表（适用于未进行资格预审的）。 </w:t>
      </w:r>
    </w:p>
    <w:p>
      <w:pPr>
        <w:spacing w:line="360" w:lineRule="auto"/>
        <w:ind w:firstLine="480" w:firstLineChars="200"/>
        <w:rPr>
          <w:color w:val="000000"/>
          <w:sz w:val="24"/>
          <w:szCs w:val="24"/>
        </w:rPr>
      </w:pPr>
      <w:r>
        <w:rPr>
          <w:rFonts w:hint="eastAsia"/>
          <w:color w:val="000000"/>
          <w:sz w:val="24"/>
          <w:szCs w:val="24"/>
        </w:rPr>
        <w:t xml:space="preserve">2.1.2 资格评审标准：见资格预审文件第三章“资格审查办法”详细审查标准（适用于已进行资格预审的）。 </w:t>
      </w:r>
    </w:p>
    <w:p>
      <w:pPr>
        <w:spacing w:line="360" w:lineRule="auto"/>
        <w:ind w:firstLine="480" w:firstLineChars="200"/>
        <w:rPr>
          <w:color w:val="000000"/>
          <w:sz w:val="24"/>
          <w:szCs w:val="24"/>
        </w:rPr>
      </w:pPr>
      <w:r>
        <w:rPr>
          <w:rFonts w:hint="eastAsia"/>
          <w:color w:val="000000"/>
          <w:sz w:val="24"/>
          <w:szCs w:val="24"/>
        </w:rPr>
        <w:t xml:space="preserve">2.1.3 响应性评审标准：见评标办法前附表。 </w:t>
      </w:r>
    </w:p>
    <w:p>
      <w:pPr>
        <w:spacing w:line="360" w:lineRule="auto"/>
        <w:ind w:firstLine="480" w:firstLineChars="200"/>
        <w:rPr>
          <w:color w:val="000000"/>
          <w:sz w:val="24"/>
          <w:szCs w:val="24"/>
        </w:rPr>
      </w:pPr>
      <w:r>
        <w:rPr>
          <w:rFonts w:hint="eastAsia"/>
          <w:color w:val="000000"/>
          <w:sz w:val="24"/>
          <w:szCs w:val="24"/>
        </w:rPr>
        <w:t xml:space="preserve">2.1.4 施工组织设计和项目管理机构评审标准：见评标办法前附表。 </w:t>
      </w:r>
    </w:p>
    <w:p>
      <w:pPr>
        <w:spacing w:line="360" w:lineRule="auto"/>
        <w:ind w:firstLine="480" w:firstLineChars="200"/>
        <w:rPr>
          <w:color w:val="000000"/>
          <w:sz w:val="24"/>
          <w:szCs w:val="24"/>
        </w:rPr>
      </w:pPr>
      <w:bookmarkStart w:id="57" w:name="_Toc407204988"/>
      <w:bookmarkEnd w:id="57"/>
      <w:r>
        <w:rPr>
          <w:rFonts w:hint="eastAsia"/>
          <w:color w:val="000000"/>
          <w:sz w:val="24"/>
          <w:szCs w:val="24"/>
        </w:rPr>
        <w:t xml:space="preserve">2.2 详细评审标准 </w:t>
      </w:r>
    </w:p>
    <w:p>
      <w:pPr>
        <w:spacing w:line="360" w:lineRule="auto"/>
        <w:ind w:firstLine="480" w:firstLineChars="200"/>
        <w:rPr>
          <w:color w:val="000000"/>
          <w:sz w:val="24"/>
          <w:szCs w:val="24"/>
        </w:rPr>
      </w:pPr>
      <w:r>
        <w:rPr>
          <w:rFonts w:hint="eastAsia"/>
          <w:color w:val="000000"/>
          <w:sz w:val="24"/>
          <w:szCs w:val="24"/>
        </w:rPr>
        <w:t xml:space="preserve">详细评审标准：见评标办法前附表。 </w:t>
      </w:r>
    </w:p>
    <w:p>
      <w:pPr>
        <w:spacing w:line="360" w:lineRule="auto"/>
        <w:ind w:firstLine="480" w:firstLineChars="200"/>
        <w:rPr>
          <w:color w:val="000000"/>
          <w:sz w:val="24"/>
          <w:szCs w:val="24"/>
        </w:rPr>
      </w:pPr>
      <w:bookmarkStart w:id="58" w:name="_Toc184635091"/>
      <w:bookmarkEnd w:id="58"/>
      <w:bookmarkStart w:id="59" w:name="_Toc407204989"/>
      <w:bookmarkEnd w:id="59"/>
      <w:r>
        <w:rPr>
          <w:rFonts w:hint="eastAsia"/>
          <w:color w:val="000000"/>
          <w:sz w:val="24"/>
          <w:szCs w:val="24"/>
        </w:rPr>
        <w:t xml:space="preserve">3、评标程序 </w:t>
      </w:r>
    </w:p>
    <w:p>
      <w:pPr>
        <w:spacing w:line="360" w:lineRule="auto"/>
        <w:ind w:firstLine="480" w:firstLineChars="200"/>
        <w:rPr>
          <w:color w:val="000000"/>
          <w:sz w:val="24"/>
          <w:szCs w:val="24"/>
        </w:rPr>
      </w:pPr>
      <w:bookmarkStart w:id="60" w:name="_Toc407204990"/>
      <w:bookmarkEnd w:id="60"/>
      <w:r>
        <w:rPr>
          <w:rFonts w:hint="eastAsia"/>
          <w:color w:val="000000"/>
          <w:sz w:val="24"/>
          <w:szCs w:val="24"/>
        </w:rPr>
        <w:t xml:space="preserve">3.1 初步评审 </w:t>
      </w:r>
    </w:p>
    <w:p>
      <w:pPr>
        <w:spacing w:line="360" w:lineRule="auto"/>
        <w:ind w:firstLine="480" w:firstLineChars="200"/>
        <w:rPr>
          <w:color w:val="000000"/>
          <w:sz w:val="24"/>
          <w:szCs w:val="24"/>
        </w:rPr>
      </w:pPr>
      <w:r>
        <w:rPr>
          <w:rFonts w:hint="eastAsia"/>
          <w:color w:val="000000"/>
          <w:sz w:val="24"/>
          <w:szCs w:val="24"/>
        </w:rPr>
        <w:t xml:space="preserve">3.1.1 评标委员会可以要求投标人提交第二章“投标人须知”第3.5.1 项至第3.5.5 项规定的有关证明和证件的原件，以便核验。评标委员会依据本章第2.1 款规定的标准对投标文件进行初步评审。有一项不符合评审标准的，作废标处理。（适用于未进行资格预审的）3.1.1 评标委员会依据本章第2.1.1 项、第2.1.3 项、第2.1.4 项规定的标准对投标文件进行初步评审。有一项不符合评审标准的，作废标处理。当投标人资格预审申请文件的内容发生重大变化时，评标委员会依据本章第2.1.2 项规定的标准对其更新资料进行评审。（适用于已进行资格预审的） </w:t>
      </w:r>
    </w:p>
    <w:p>
      <w:pPr>
        <w:spacing w:line="360" w:lineRule="auto"/>
        <w:ind w:firstLine="480" w:firstLineChars="200"/>
        <w:rPr>
          <w:color w:val="000000"/>
          <w:sz w:val="24"/>
          <w:szCs w:val="24"/>
        </w:rPr>
      </w:pPr>
      <w:r>
        <w:rPr>
          <w:rFonts w:hint="eastAsia"/>
          <w:color w:val="000000"/>
          <w:sz w:val="24"/>
          <w:szCs w:val="24"/>
        </w:rPr>
        <w:t xml:space="preserve">3.1.2 投标人有以下情形之一的，其投标作废标处理： </w:t>
      </w:r>
    </w:p>
    <w:p>
      <w:pPr>
        <w:spacing w:line="360" w:lineRule="auto"/>
        <w:ind w:firstLine="480" w:firstLineChars="200"/>
        <w:rPr>
          <w:color w:val="000000"/>
          <w:sz w:val="24"/>
          <w:szCs w:val="24"/>
        </w:rPr>
      </w:pPr>
      <w:r>
        <w:rPr>
          <w:rFonts w:hint="eastAsia"/>
          <w:color w:val="000000"/>
          <w:sz w:val="24"/>
          <w:szCs w:val="24"/>
        </w:rPr>
        <w:t xml:space="preserve">(l）第二章“投标人须知”第1.4.3 项规定的任何一种情形的； </w:t>
      </w:r>
    </w:p>
    <w:p>
      <w:pPr>
        <w:spacing w:line="360" w:lineRule="auto"/>
        <w:ind w:firstLine="480" w:firstLineChars="200"/>
        <w:rPr>
          <w:color w:val="000000"/>
          <w:sz w:val="24"/>
          <w:szCs w:val="24"/>
        </w:rPr>
      </w:pPr>
      <w:r>
        <w:rPr>
          <w:rFonts w:hint="eastAsia"/>
          <w:color w:val="000000"/>
          <w:sz w:val="24"/>
          <w:szCs w:val="24"/>
        </w:rPr>
        <w:t xml:space="preserve">(2）串通投标或弄虚作假或有其他违法行为的； </w:t>
      </w:r>
    </w:p>
    <w:p>
      <w:pPr>
        <w:spacing w:line="360" w:lineRule="auto"/>
        <w:ind w:firstLine="480" w:firstLineChars="200"/>
        <w:rPr>
          <w:color w:val="000000"/>
          <w:sz w:val="24"/>
          <w:szCs w:val="24"/>
        </w:rPr>
      </w:pPr>
      <w:r>
        <w:rPr>
          <w:rFonts w:hint="eastAsia"/>
          <w:color w:val="000000"/>
          <w:sz w:val="24"/>
          <w:szCs w:val="24"/>
        </w:rPr>
        <w:t xml:space="preserve">(3）不按评标委员会要求澄清、说明或补正的。 </w:t>
      </w:r>
    </w:p>
    <w:p>
      <w:pPr>
        <w:spacing w:line="360" w:lineRule="auto"/>
        <w:ind w:firstLine="480" w:firstLineChars="200"/>
        <w:rPr>
          <w:color w:val="000000"/>
          <w:sz w:val="24"/>
          <w:szCs w:val="24"/>
        </w:rPr>
      </w:pPr>
      <w:r>
        <w:rPr>
          <w:rFonts w:hint="eastAsia"/>
          <w:color w:val="000000"/>
          <w:sz w:val="24"/>
          <w:szCs w:val="24"/>
        </w:rPr>
        <w:t xml:space="preserve">3.1.3 投标报价有算术错误的，评标委员会按以下原则对投标报价进行修正，修正的价格经投标人书面确认后具有约束力。投标人不接受修正价格的，其投标作废标处理。 </w:t>
      </w:r>
    </w:p>
    <w:p>
      <w:pPr>
        <w:spacing w:line="360" w:lineRule="auto"/>
        <w:ind w:firstLine="480" w:firstLineChars="200"/>
        <w:rPr>
          <w:color w:val="000000"/>
          <w:sz w:val="24"/>
          <w:szCs w:val="24"/>
        </w:rPr>
      </w:pPr>
      <w:r>
        <w:rPr>
          <w:rFonts w:hint="eastAsia"/>
          <w:color w:val="000000"/>
          <w:sz w:val="24"/>
          <w:szCs w:val="24"/>
        </w:rPr>
        <w:t xml:space="preserve">(1）投标文件中的大写金额与小写金额不一致的，以大写金额为准； </w:t>
      </w:r>
    </w:p>
    <w:p>
      <w:pPr>
        <w:spacing w:line="360" w:lineRule="auto"/>
        <w:ind w:firstLine="480" w:firstLineChars="200"/>
        <w:rPr>
          <w:color w:val="000000"/>
          <w:sz w:val="24"/>
          <w:szCs w:val="24"/>
        </w:rPr>
      </w:pPr>
      <w:r>
        <w:rPr>
          <w:rFonts w:hint="eastAsia"/>
          <w:color w:val="000000"/>
          <w:sz w:val="24"/>
          <w:szCs w:val="24"/>
        </w:rPr>
        <w:t xml:space="preserve">(2）总价金额与依据单价计算出的结果不一致的，以单价金额为准修正总价，但单价金额小数点有明显错误的除外。 </w:t>
      </w:r>
    </w:p>
    <w:p>
      <w:pPr>
        <w:spacing w:line="360" w:lineRule="auto"/>
        <w:ind w:firstLine="480" w:firstLineChars="200"/>
        <w:rPr>
          <w:color w:val="000000"/>
          <w:sz w:val="24"/>
          <w:szCs w:val="24"/>
        </w:rPr>
      </w:pPr>
      <w:bookmarkStart w:id="61" w:name="_Toc407204991"/>
      <w:bookmarkEnd w:id="61"/>
      <w:r>
        <w:rPr>
          <w:rFonts w:hint="eastAsia"/>
          <w:color w:val="000000"/>
          <w:sz w:val="24"/>
          <w:szCs w:val="24"/>
        </w:rPr>
        <w:t xml:space="preserve">3.2 详细评审 </w:t>
      </w:r>
    </w:p>
    <w:p>
      <w:pPr>
        <w:spacing w:line="360" w:lineRule="auto"/>
        <w:ind w:firstLine="480" w:firstLineChars="200"/>
        <w:rPr>
          <w:color w:val="000000"/>
          <w:sz w:val="24"/>
          <w:szCs w:val="24"/>
        </w:rPr>
      </w:pPr>
      <w:r>
        <w:rPr>
          <w:rFonts w:hint="eastAsia"/>
          <w:color w:val="000000"/>
          <w:sz w:val="24"/>
          <w:szCs w:val="24"/>
        </w:rPr>
        <w:t xml:space="preserve">3.2.1 评标委员会按本章第2.2 款规定的量化因素和标准进行价格折算，计算出评标价，并编制价格比较一览表。 </w:t>
      </w:r>
    </w:p>
    <w:p>
      <w:pPr>
        <w:spacing w:line="360" w:lineRule="auto"/>
        <w:ind w:firstLine="480" w:firstLineChars="200"/>
        <w:rPr>
          <w:color w:val="000000"/>
          <w:sz w:val="24"/>
          <w:szCs w:val="24"/>
        </w:rPr>
      </w:pPr>
      <w:r>
        <w:rPr>
          <w:rFonts w:hint="eastAsia"/>
          <w:color w:val="000000"/>
          <w:sz w:val="24"/>
          <w:szCs w:val="24"/>
        </w:rPr>
        <w:t xml:space="preserve">3.2.2 评标委员会发现投标人的报价明显低于其他投标报价，或者在设有标底时明显低于标底，使得其投标报价可能低于其成本的，应当要求该投标人作出书面说明并提供相应的证明材料。投标人不能合理说明或者不能提供相应证明材料的，由评标委员会认定该投标人以低于成本报价竞标，其投标作废标处理。 </w:t>
      </w:r>
    </w:p>
    <w:p>
      <w:pPr>
        <w:spacing w:line="360" w:lineRule="auto"/>
        <w:ind w:firstLine="480" w:firstLineChars="200"/>
        <w:rPr>
          <w:color w:val="000000"/>
          <w:sz w:val="24"/>
          <w:szCs w:val="24"/>
        </w:rPr>
      </w:pPr>
      <w:bookmarkStart w:id="62" w:name="_Toc407204992"/>
      <w:bookmarkEnd w:id="62"/>
      <w:r>
        <w:rPr>
          <w:rFonts w:hint="eastAsia"/>
          <w:color w:val="000000"/>
          <w:sz w:val="24"/>
          <w:szCs w:val="24"/>
        </w:rPr>
        <w:t xml:space="preserve">3.3 投标文件的澄清和补正 </w:t>
      </w:r>
    </w:p>
    <w:p>
      <w:pPr>
        <w:spacing w:line="360" w:lineRule="auto"/>
        <w:ind w:firstLine="480" w:firstLineChars="200"/>
        <w:rPr>
          <w:color w:val="000000"/>
          <w:sz w:val="24"/>
          <w:szCs w:val="24"/>
        </w:rPr>
      </w:pPr>
      <w:r>
        <w:rPr>
          <w:rFonts w:hint="eastAsia"/>
          <w:color w:val="000000"/>
          <w:sz w:val="24"/>
          <w:szCs w:val="24"/>
        </w:rPr>
        <w:t xml:space="preserve">3.3.1 在评标过程中，评标委员会可以书面形式要求投标人对所提交的投标文件中不明确的内容进行书面澄清或说明，或者对细微偏差进行补正。评标委员会不接受投标人主动提出的澄清、说明或补正。 </w:t>
      </w:r>
    </w:p>
    <w:p>
      <w:pPr>
        <w:spacing w:line="360" w:lineRule="auto"/>
        <w:ind w:firstLine="480" w:firstLineChars="200"/>
        <w:rPr>
          <w:color w:val="000000"/>
          <w:sz w:val="24"/>
          <w:szCs w:val="24"/>
        </w:rPr>
      </w:pPr>
      <w:r>
        <w:rPr>
          <w:rFonts w:hint="eastAsia"/>
          <w:color w:val="000000"/>
          <w:sz w:val="24"/>
          <w:szCs w:val="24"/>
        </w:rPr>
        <w:t xml:space="preserve">3.3.2 澄清、说明和补正不得改变投标文件的实质性内容（算术性错误修正的除外）。投标人的书面澄清、说明和补正属于投标文件的组成部分。 </w:t>
      </w:r>
    </w:p>
    <w:p>
      <w:pPr>
        <w:spacing w:line="360" w:lineRule="auto"/>
        <w:ind w:firstLine="480" w:firstLineChars="200"/>
        <w:rPr>
          <w:color w:val="000000"/>
          <w:sz w:val="24"/>
          <w:szCs w:val="24"/>
        </w:rPr>
      </w:pPr>
      <w:r>
        <w:rPr>
          <w:rFonts w:hint="eastAsia"/>
          <w:color w:val="000000"/>
          <w:sz w:val="24"/>
          <w:szCs w:val="24"/>
        </w:rPr>
        <w:t xml:space="preserve">3.3.3 评标委员会对投标人提交的澄清、说明或补正有疑问的，可以要求投标人进一步澄清、说明或补正，直至满足评标委员会的要求。 </w:t>
      </w:r>
    </w:p>
    <w:p>
      <w:pPr>
        <w:spacing w:line="360" w:lineRule="auto"/>
        <w:ind w:firstLine="480" w:firstLineChars="200"/>
        <w:rPr>
          <w:color w:val="000000"/>
          <w:sz w:val="24"/>
          <w:szCs w:val="24"/>
        </w:rPr>
      </w:pPr>
      <w:bookmarkStart w:id="63" w:name="_Toc407204993"/>
      <w:bookmarkEnd w:id="63"/>
      <w:r>
        <w:rPr>
          <w:rFonts w:hint="eastAsia"/>
          <w:color w:val="000000"/>
          <w:sz w:val="24"/>
          <w:szCs w:val="24"/>
        </w:rPr>
        <w:t xml:space="preserve">3.4 评标结果 </w:t>
      </w:r>
    </w:p>
    <w:p>
      <w:pPr>
        <w:spacing w:line="360" w:lineRule="auto"/>
        <w:ind w:firstLine="480" w:firstLineChars="200"/>
        <w:rPr>
          <w:color w:val="000000"/>
          <w:sz w:val="24"/>
          <w:szCs w:val="24"/>
        </w:rPr>
      </w:pPr>
      <w:r>
        <w:rPr>
          <w:rFonts w:hint="eastAsia"/>
          <w:color w:val="000000"/>
          <w:sz w:val="24"/>
          <w:szCs w:val="24"/>
        </w:rPr>
        <w:t xml:space="preserve">3.4.1 除第二章“投标人须知”前附表授权直接确定中标人外，评标委员会按照经评审的价格由低到高的顺序推荐中标候选人。 </w:t>
      </w:r>
    </w:p>
    <w:p>
      <w:pPr>
        <w:spacing w:line="360" w:lineRule="auto"/>
        <w:ind w:firstLine="480" w:firstLineChars="200"/>
        <w:rPr>
          <w:color w:val="000000"/>
          <w:sz w:val="24"/>
          <w:szCs w:val="24"/>
        </w:rPr>
      </w:pPr>
      <w:r>
        <w:rPr>
          <w:rFonts w:hint="eastAsia"/>
          <w:color w:val="000000"/>
          <w:sz w:val="24"/>
          <w:szCs w:val="24"/>
        </w:rPr>
        <w:t xml:space="preserve">3.4.2 评标委员会完成评标后，应当向招标人提交书面评标报告。 </w:t>
      </w:r>
    </w:p>
    <w:p>
      <w:pPr>
        <w:spacing w:afterLines="100" w:line="420" w:lineRule="exact"/>
        <w:rPr>
          <w:rFonts w:hint="eastAsia" w:ascii="黑体" w:eastAsia="黑体"/>
          <w:color w:val="000000"/>
        </w:rPr>
      </w:pPr>
    </w:p>
    <w:p>
      <w:pPr>
        <w:spacing w:afterLines="100" w:line="420" w:lineRule="exact"/>
        <w:rPr>
          <w:rFonts w:hint="eastAsia" w:ascii="黑体" w:eastAsia="黑体"/>
          <w:color w:val="000000"/>
        </w:rPr>
      </w:pPr>
    </w:p>
    <w:p>
      <w:pPr>
        <w:spacing w:afterLines="100" w:line="420" w:lineRule="exact"/>
        <w:rPr>
          <w:rFonts w:ascii="黑体" w:eastAsia="黑体"/>
          <w:color w:val="000000"/>
        </w:rPr>
      </w:pPr>
      <w:r>
        <w:rPr>
          <w:rFonts w:hint="eastAsia" w:ascii="黑体" w:eastAsia="黑体"/>
          <w:color w:val="000000"/>
        </w:rPr>
        <w:t>附件A:评标详细程序</w:t>
      </w:r>
    </w:p>
    <w:p>
      <w:pPr>
        <w:spacing w:afterLines="50" w:line="420" w:lineRule="exact"/>
        <w:jc w:val="center"/>
        <w:rPr>
          <w:rFonts w:ascii="黑体" w:eastAsia="黑体"/>
          <w:color w:val="000000"/>
          <w:sz w:val="28"/>
          <w:szCs w:val="28"/>
        </w:rPr>
      </w:pPr>
      <w:r>
        <w:rPr>
          <w:rFonts w:hint="eastAsia" w:ascii="黑体" w:eastAsia="黑体"/>
          <w:color w:val="000000"/>
          <w:sz w:val="28"/>
          <w:szCs w:val="28"/>
        </w:rPr>
        <w:t>评标详细程序</w:t>
      </w:r>
    </w:p>
    <w:p>
      <w:pPr>
        <w:spacing w:line="360" w:lineRule="auto"/>
        <w:rPr>
          <w:color w:val="000000"/>
          <w:sz w:val="24"/>
          <w:szCs w:val="24"/>
        </w:rPr>
      </w:pPr>
      <w:r>
        <w:rPr>
          <w:b/>
          <w:color w:val="000000"/>
          <w:sz w:val="24"/>
          <w:szCs w:val="24"/>
        </w:rPr>
        <w:t>A0</w:t>
      </w:r>
      <w:r>
        <w:rPr>
          <w:rFonts w:hint="eastAsia"/>
          <w:color w:val="000000"/>
          <w:sz w:val="24"/>
          <w:szCs w:val="24"/>
        </w:rPr>
        <w:t>.</w:t>
      </w:r>
      <w:r>
        <w:rPr>
          <w:rFonts w:hint="eastAsia" w:ascii="黑体" w:eastAsia="黑体"/>
          <w:color w:val="000000"/>
          <w:sz w:val="24"/>
          <w:szCs w:val="24"/>
        </w:rPr>
        <w:t>总  则</w:t>
      </w:r>
    </w:p>
    <w:p>
      <w:pPr>
        <w:spacing w:line="360" w:lineRule="auto"/>
        <w:ind w:firstLine="480" w:firstLineChars="200"/>
        <w:rPr>
          <w:color w:val="000000"/>
          <w:sz w:val="24"/>
          <w:szCs w:val="24"/>
        </w:rPr>
      </w:pPr>
      <w:r>
        <w:rPr>
          <w:rFonts w:hint="eastAsia"/>
          <w:color w:val="000000"/>
          <w:sz w:val="24"/>
          <w:szCs w:val="24"/>
        </w:rPr>
        <w:t>本附件是本章“评标办法”的组成部分，是对本章第3条所规定的评标程序的进一步细化，评标委员会应当按照本附件所规定的详细程序开展并完成评标工作。</w:t>
      </w:r>
    </w:p>
    <w:p>
      <w:pPr>
        <w:spacing w:line="360" w:lineRule="auto"/>
        <w:rPr>
          <w:rFonts w:ascii="黑体" w:eastAsia="黑体"/>
          <w:color w:val="000000"/>
          <w:sz w:val="24"/>
          <w:szCs w:val="24"/>
        </w:rPr>
      </w:pPr>
      <w:r>
        <w:rPr>
          <w:rFonts w:hint="eastAsia"/>
          <w:b/>
          <w:color w:val="000000"/>
          <w:sz w:val="24"/>
          <w:szCs w:val="24"/>
        </w:rPr>
        <w:t>A1.</w:t>
      </w:r>
      <w:r>
        <w:rPr>
          <w:rFonts w:hint="eastAsia" w:ascii="黑体" w:eastAsia="黑体"/>
          <w:color w:val="000000"/>
          <w:sz w:val="24"/>
          <w:szCs w:val="24"/>
        </w:rPr>
        <w:t>基本程序</w:t>
      </w:r>
    </w:p>
    <w:p>
      <w:pPr>
        <w:spacing w:line="360" w:lineRule="auto"/>
        <w:ind w:firstLine="480" w:firstLineChars="200"/>
        <w:rPr>
          <w:color w:val="000000"/>
          <w:sz w:val="24"/>
          <w:szCs w:val="24"/>
        </w:rPr>
      </w:pPr>
      <w:r>
        <w:rPr>
          <w:rFonts w:hint="eastAsia"/>
          <w:color w:val="000000"/>
          <w:sz w:val="24"/>
          <w:szCs w:val="24"/>
        </w:rPr>
        <w:t>评标活动将按以下五个步骤进行：</w:t>
      </w:r>
    </w:p>
    <w:p>
      <w:pPr>
        <w:spacing w:line="360" w:lineRule="auto"/>
        <w:ind w:firstLine="480" w:firstLineChars="200"/>
        <w:rPr>
          <w:color w:val="000000"/>
          <w:sz w:val="24"/>
          <w:szCs w:val="24"/>
        </w:rPr>
      </w:pPr>
      <w:r>
        <w:rPr>
          <w:rFonts w:hint="eastAsia"/>
          <w:color w:val="000000"/>
          <w:sz w:val="24"/>
          <w:szCs w:val="24"/>
        </w:rPr>
        <w:t>（1）  评标准备；</w:t>
      </w:r>
    </w:p>
    <w:p>
      <w:pPr>
        <w:spacing w:line="360" w:lineRule="auto"/>
        <w:ind w:firstLine="480" w:firstLineChars="200"/>
        <w:rPr>
          <w:color w:val="000000"/>
          <w:sz w:val="24"/>
          <w:szCs w:val="24"/>
        </w:rPr>
      </w:pPr>
      <w:r>
        <w:rPr>
          <w:rFonts w:hint="eastAsia"/>
          <w:color w:val="000000"/>
          <w:sz w:val="24"/>
          <w:szCs w:val="24"/>
        </w:rPr>
        <w:t>（2）  初步评审：</w:t>
      </w:r>
    </w:p>
    <w:p>
      <w:pPr>
        <w:spacing w:line="360" w:lineRule="auto"/>
        <w:ind w:firstLine="480" w:firstLineChars="200"/>
        <w:rPr>
          <w:color w:val="000000"/>
          <w:sz w:val="24"/>
          <w:szCs w:val="24"/>
        </w:rPr>
      </w:pPr>
      <w:r>
        <w:rPr>
          <w:rFonts w:hint="eastAsia"/>
          <w:color w:val="000000"/>
          <w:sz w:val="24"/>
          <w:szCs w:val="24"/>
        </w:rPr>
        <w:t>（3）  详细评审；</w:t>
      </w:r>
    </w:p>
    <w:p>
      <w:pPr>
        <w:spacing w:line="360" w:lineRule="auto"/>
        <w:ind w:firstLine="480" w:firstLineChars="200"/>
        <w:rPr>
          <w:color w:val="000000"/>
          <w:sz w:val="24"/>
          <w:szCs w:val="24"/>
        </w:rPr>
      </w:pPr>
      <w:r>
        <w:rPr>
          <w:rFonts w:hint="eastAsia"/>
          <w:color w:val="000000"/>
          <w:sz w:val="24"/>
          <w:szCs w:val="24"/>
        </w:rPr>
        <w:t>（4）  澄清、说明或补正；</w:t>
      </w:r>
    </w:p>
    <w:p>
      <w:pPr>
        <w:spacing w:line="360" w:lineRule="auto"/>
        <w:ind w:firstLine="480" w:firstLineChars="200"/>
        <w:rPr>
          <w:color w:val="000000"/>
          <w:sz w:val="24"/>
          <w:szCs w:val="24"/>
        </w:rPr>
      </w:pPr>
      <w:r>
        <w:rPr>
          <w:rFonts w:hint="eastAsia"/>
          <w:color w:val="000000"/>
          <w:sz w:val="24"/>
          <w:szCs w:val="24"/>
        </w:rPr>
        <w:t>（5）  推荐中标候选人或者直接确定中标人及提交评标报告。</w:t>
      </w:r>
    </w:p>
    <w:p>
      <w:pPr>
        <w:spacing w:line="360" w:lineRule="auto"/>
        <w:rPr>
          <w:color w:val="000000"/>
          <w:sz w:val="24"/>
          <w:szCs w:val="24"/>
        </w:rPr>
      </w:pPr>
      <w:r>
        <w:rPr>
          <w:rFonts w:hint="eastAsia"/>
          <w:b/>
          <w:color w:val="000000"/>
          <w:sz w:val="24"/>
          <w:szCs w:val="24"/>
        </w:rPr>
        <w:t>A2.</w:t>
      </w:r>
      <w:r>
        <w:rPr>
          <w:rFonts w:hint="eastAsia"/>
          <w:color w:val="000000"/>
          <w:sz w:val="24"/>
          <w:szCs w:val="24"/>
        </w:rPr>
        <w:t>评标准备</w:t>
      </w:r>
    </w:p>
    <w:p>
      <w:pPr>
        <w:spacing w:line="360" w:lineRule="auto"/>
        <w:rPr>
          <w:color w:val="000000"/>
          <w:sz w:val="24"/>
          <w:szCs w:val="24"/>
        </w:rPr>
      </w:pPr>
      <w:r>
        <w:rPr>
          <w:rFonts w:hint="eastAsia"/>
          <w:color w:val="000000"/>
          <w:sz w:val="24"/>
          <w:szCs w:val="24"/>
        </w:rPr>
        <w:t>A2.1评标委员会成员签到</w:t>
      </w:r>
    </w:p>
    <w:p>
      <w:pPr>
        <w:spacing w:line="360" w:lineRule="auto"/>
        <w:ind w:firstLine="480" w:firstLineChars="200"/>
        <w:rPr>
          <w:color w:val="000000"/>
          <w:sz w:val="24"/>
          <w:szCs w:val="24"/>
        </w:rPr>
      </w:pPr>
      <w:r>
        <w:rPr>
          <w:rFonts w:hint="eastAsia"/>
          <w:color w:val="000000"/>
          <w:sz w:val="24"/>
          <w:szCs w:val="24"/>
        </w:rPr>
        <w:t>评标委员会成员到达评标现场时应在签到表上签到以证明其出席。评标委员会签到表见附表A-1。</w:t>
      </w:r>
    </w:p>
    <w:p>
      <w:pPr>
        <w:spacing w:line="360" w:lineRule="auto"/>
        <w:rPr>
          <w:color w:val="000000"/>
          <w:sz w:val="24"/>
          <w:szCs w:val="24"/>
        </w:rPr>
      </w:pPr>
      <w:r>
        <w:rPr>
          <w:rFonts w:hint="eastAsia"/>
          <w:color w:val="000000"/>
          <w:sz w:val="24"/>
          <w:szCs w:val="24"/>
        </w:rPr>
        <w:t>A2.2评标委员会的分工</w:t>
      </w:r>
    </w:p>
    <w:p>
      <w:pPr>
        <w:spacing w:line="360" w:lineRule="auto"/>
        <w:ind w:firstLine="480" w:firstLineChars="200"/>
        <w:rPr>
          <w:color w:val="000000"/>
          <w:sz w:val="24"/>
          <w:szCs w:val="24"/>
        </w:rPr>
      </w:pPr>
      <w:r>
        <w:rPr>
          <w:rFonts w:hint="eastAsia"/>
          <w:color w:val="000000"/>
          <w:sz w:val="24"/>
          <w:szCs w:val="24"/>
        </w:rPr>
        <w:t>评标委员会首先推选一名评标委员会主任。招标人也可以直接指定评标委员会主任。评标委员会主任负责评标活动的组织领导工作。评标委员会主任在与其他评标委员会成员协商的基础上，可以将评标委员会划分为技术组和商务组。</w:t>
      </w:r>
    </w:p>
    <w:p>
      <w:pPr>
        <w:spacing w:line="360" w:lineRule="auto"/>
        <w:rPr>
          <w:color w:val="000000"/>
          <w:sz w:val="24"/>
          <w:szCs w:val="24"/>
        </w:rPr>
      </w:pPr>
      <w:r>
        <w:rPr>
          <w:rFonts w:hint="eastAsia"/>
          <w:color w:val="000000"/>
          <w:sz w:val="24"/>
          <w:szCs w:val="24"/>
        </w:rPr>
        <w:t>A2.3熟悉文件资料</w:t>
      </w:r>
    </w:p>
    <w:p>
      <w:pPr>
        <w:spacing w:line="360" w:lineRule="auto"/>
        <w:ind w:firstLine="480" w:firstLineChars="200"/>
        <w:rPr>
          <w:color w:val="000000"/>
          <w:sz w:val="24"/>
          <w:szCs w:val="24"/>
        </w:rPr>
      </w:pPr>
      <w:r>
        <w:rPr>
          <w:rFonts w:hint="eastAsia"/>
          <w:color w:val="000000"/>
          <w:sz w:val="24"/>
          <w:szCs w:val="24"/>
        </w:rPr>
        <w:t>A2.3.1  评标委员会主任应组织评标委员会成员认真研究招标文件，了解和熟悉招标目的、招标范围、主要合同条件、技术标准和要求、质量标准和工期要求等，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spacing w:line="360" w:lineRule="auto"/>
        <w:ind w:firstLine="480" w:firstLineChars="200"/>
        <w:rPr>
          <w:color w:val="000000"/>
          <w:sz w:val="24"/>
          <w:szCs w:val="24"/>
        </w:rPr>
      </w:pPr>
      <w:r>
        <w:rPr>
          <w:rFonts w:hint="eastAsia" w:ascii="黑体" w:eastAsia="黑体"/>
          <w:color w:val="000000"/>
          <w:sz w:val="24"/>
          <w:szCs w:val="24"/>
        </w:rPr>
        <w:t>A2.3.2</w:t>
      </w:r>
      <w:r>
        <w:rPr>
          <w:rFonts w:hint="eastAsia"/>
          <w:color w:val="000000"/>
          <w:sz w:val="24"/>
          <w:szCs w:val="24"/>
        </w:rPr>
        <w:t xml:space="preserve">  招标人或招标代理机构应向评标委员会提供评标所需的信息和数据，包括招标文件、未在开标会上当场拒绝的各投标文件、开标会记录、资格预审文件及各投标人在资格预审阶段递交的资格预审申请文件（适用于已进行资格预审的）、招标控制价或标底（如果有）、工程所在地工程造价管理部门颁布的工程造价信息、定额（如作为计价依据时）、有关的法律、法规、规章、国家标准以及招标人或评标委员会认为必要的其他信息和数据。</w:t>
      </w:r>
    </w:p>
    <w:p>
      <w:pPr>
        <w:spacing w:line="360" w:lineRule="auto"/>
        <w:rPr>
          <w:rFonts w:ascii="黑体" w:eastAsia="黑体"/>
          <w:color w:val="000000"/>
          <w:sz w:val="24"/>
          <w:szCs w:val="24"/>
        </w:rPr>
      </w:pPr>
      <w:r>
        <w:rPr>
          <w:rFonts w:hint="eastAsia" w:ascii="黑体" w:eastAsia="黑体"/>
          <w:color w:val="000000"/>
          <w:sz w:val="24"/>
          <w:szCs w:val="24"/>
        </w:rPr>
        <w:t>A2.4 对投标文件进行基础性数据分析和整理工作（清标）</w:t>
      </w:r>
    </w:p>
    <w:p>
      <w:pPr>
        <w:spacing w:line="360" w:lineRule="auto"/>
        <w:ind w:firstLine="480" w:firstLineChars="200"/>
        <w:rPr>
          <w:color w:val="000000"/>
          <w:sz w:val="24"/>
          <w:szCs w:val="24"/>
        </w:rPr>
      </w:pPr>
      <w:r>
        <w:rPr>
          <w:rFonts w:hint="eastAsia" w:ascii="黑体" w:eastAsia="黑体"/>
          <w:color w:val="000000"/>
          <w:sz w:val="24"/>
          <w:szCs w:val="24"/>
        </w:rPr>
        <w:t>A2.4.1</w:t>
      </w:r>
      <w:r>
        <w:rPr>
          <w:rFonts w:hint="eastAsia"/>
          <w:color w:val="000000"/>
          <w:sz w:val="24"/>
          <w:szCs w:val="24"/>
        </w:rPr>
        <w:t>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w:t>
      </w:r>
    </w:p>
    <w:p>
      <w:pPr>
        <w:spacing w:line="360" w:lineRule="auto"/>
        <w:ind w:firstLine="480" w:firstLineChars="200"/>
        <w:rPr>
          <w:color w:val="000000"/>
          <w:sz w:val="24"/>
          <w:szCs w:val="24"/>
        </w:rPr>
      </w:pPr>
      <w:r>
        <w:rPr>
          <w:rFonts w:hint="eastAsia" w:ascii="黑体" w:eastAsia="黑体"/>
          <w:color w:val="000000"/>
          <w:sz w:val="24"/>
          <w:szCs w:val="24"/>
        </w:rPr>
        <w:t>A2.4.2</w:t>
      </w:r>
      <w:r>
        <w:rPr>
          <w:rFonts w:hint="eastAsia"/>
          <w:color w:val="000000"/>
          <w:sz w:val="24"/>
          <w:szCs w:val="24"/>
        </w:rPr>
        <w:t>在不影响评标委员会成员的法定权利的前提下，评标委员会可委托由招标人专门成立的清标工作小组完成清标工作。在这种情况下，清标工作可以在评标工作开始之前完成，也可以与评标工作平行进行。清标工作小组成员应为具备相应执业资格的专业人员，且应当符合有关法律法规对评标专家的回避规定和要求，不得与任何投标人有利益、上下级等关系，不得代行依法应当由评标委员会及其成员行使的权利。清标成果应当经过评标委员会的审核确认，经过评标委员会审核确认的清标成果视同是评标委员会的工作成果，并由评标委员会以书面方式追加对清标工作小组的授权，书面授权委托书必须由评标委员会全体成员签名。</w:t>
      </w:r>
    </w:p>
    <w:p>
      <w:pPr>
        <w:spacing w:line="360" w:lineRule="auto"/>
        <w:ind w:firstLine="480" w:firstLineChars="200"/>
        <w:rPr>
          <w:color w:val="000000"/>
          <w:sz w:val="24"/>
          <w:szCs w:val="24"/>
        </w:rPr>
      </w:pPr>
      <w:r>
        <w:rPr>
          <w:rFonts w:hint="eastAsia" w:ascii="黑体" w:eastAsia="黑体"/>
          <w:color w:val="000000"/>
          <w:sz w:val="24"/>
          <w:szCs w:val="24"/>
        </w:rPr>
        <w:t>A2.4.3</w:t>
      </w:r>
      <w:r>
        <w:rPr>
          <w:rFonts w:hint="eastAsia"/>
          <w:color w:val="000000"/>
          <w:sz w:val="24"/>
          <w:szCs w:val="24"/>
        </w:rPr>
        <w:t>投标人接到评标委员会发出的问题澄清通知后，应按评标委员会的要求提供书面澄清资料并按要求进行密封，在规定的时间递交到指定地点。投标人递交的书面澄清资料由评标委员会开启。</w:t>
      </w:r>
    </w:p>
    <w:p>
      <w:pPr>
        <w:spacing w:line="360" w:lineRule="auto"/>
        <w:rPr>
          <w:color w:val="000000"/>
          <w:sz w:val="24"/>
          <w:szCs w:val="24"/>
        </w:rPr>
      </w:pPr>
      <w:r>
        <w:rPr>
          <w:rFonts w:hint="eastAsia"/>
          <w:b/>
          <w:color w:val="000000"/>
          <w:sz w:val="24"/>
          <w:szCs w:val="24"/>
        </w:rPr>
        <w:t>A3</w:t>
      </w:r>
      <w:r>
        <w:rPr>
          <w:rFonts w:hint="eastAsia"/>
          <w:color w:val="000000"/>
          <w:sz w:val="24"/>
          <w:szCs w:val="24"/>
        </w:rPr>
        <w:t>.</w:t>
      </w:r>
      <w:r>
        <w:rPr>
          <w:rFonts w:hint="eastAsia"/>
          <w:b/>
          <w:color w:val="000000"/>
          <w:sz w:val="24"/>
          <w:szCs w:val="24"/>
        </w:rPr>
        <w:t>初步评审</w:t>
      </w:r>
    </w:p>
    <w:p>
      <w:pPr>
        <w:spacing w:line="360" w:lineRule="auto"/>
        <w:rPr>
          <w:color w:val="000000"/>
          <w:sz w:val="24"/>
          <w:szCs w:val="24"/>
        </w:rPr>
      </w:pPr>
      <w:r>
        <w:rPr>
          <w:rFonts w:hint="eastAsia"/>
          <w:b/>
          <w:color w:val="000000"/>
          <w:sz w:val="24"/>
          <w:szCs w:val="24"/>
        </w:rPr>
        <w:t>A3.1形式评审</w:t>
      </w:r>
    </w:p>
    <w:p>
      <w:pPr>
        <w:spacing w:line="360" w:lineRule="auto"/>
        <w:ind w:firstLine="480" w:firstLineChars="200"/>
        <w:rPr>
          <w:color w:val="000000"/>
          <w:sz w:val="24"/>
          <w:szCs w:val="24"/>
        </w:rPr>
      </w:pPr>
      <w:r>
        <w:rPr>
          <w:rFonts w:hint="eastAsia"/>
          <w:color w:val="000000"/>
          <w:sz w:val="24"/>
          <w:szCs w:val="24"/>
        </w:rPr>
        <w:t>评标委员会根据评标办法前附表中规定的评审因素和评审标准，对投标人的投标文件进行形式评审，并使用附表A-2记录评审结果。</w:t>
      </w:r>
    </w:p>
    <w:p>
      <w:pPr>
        <w:spacing w:line="360" w:lineRule="auto"/>
        <w:rPr>
          <w:b/>
          <w:color w:val="000000"/>
          <w:sz w:val="24"/>
          <w:szCs w:val="24"/>
        </w:rPr>
      </w:pPr>
      <w:r>
        <w:rPr>
          <w:rFonts w:hint="eastAsia" w:ascii="黑体" w:eastAsia="黑体"/>
          <w:b/>
          <w:color w:val="000000"/>
          <w:sz w:val="24"/>
          <w:szCs w:val="24"/>
        </w:rPr>
        <w:t>A3.2</w:t>
      </w:r>
      <w:r>
        <w:rPr>
          <w:rFonts w:hint="eastAsia"/>
          <w:b/>
          <w:color w:val="000000"/>
          <w:sz w:val="24"/>
          <w:szCs w:val="24"/>
        </w:rPr>
        <w:t>资格评审</w:t>
      </w:r>
    </w:p>
    <w:p>
      <w:pPr>
        <w:spacing w:line="360" w:lineRule="auto"/>
        <w:ind w:firstLine="480" w:firstLineChars="200"/>
        <w:rPr>
          <w:color w:val="000000"/>
          <w:sz w:val="24"/>
          <w:szCs w:val="24"/>
        </w:rPr>
      </w:pPr>
      <w:r>
        <w:rPr>
          <w:rFonts w:hint="eastAsia" w:ascii="黑体" w:eastAsia="黑体"/>
          <w:color w:val="000000"/>
          <w:sz w:val="24"/>
          <w:szCs w:val="24"/>
        </w:rPr>
        <w:t>A3.2.1</w:t>
      </w:r>
      <w:r>
        <w:rPr>
          <w:rFonts w:hint="eastAsia"/>
          <w:color w:val="000000"/>
          <w:sz w:val="24"/>
          <w:szCs w:val="24"/>
        </w:rPr>
        <w:t xml:space="preserve">  评标委员会根据评标办法前附表中规定的评审因素和评审标准，对投标人的投标文件进行资格评审，并使用附表A-3记录评审结果。（适用于未进行资格预审的）</w:t>
      </w:r>
    </w:p>
    <w:p>
      <w:pPr>
        <w:spacing w:line="360" w:lineRule="auto"/>
        <w:ind w:firstLine="480" w:firstLineChars="200"/>
        <w:rPr>
          <w:color w:val="000000"/>
          <w:sz w:val="24"/>
          <w:szCs w:val="24"/>
        </w:rPr>
      </w:pPr>
      <w:r>
        <w:rPr>
          <w:rFonts w:hint="eastAsia" w:ascii="黑体" w:eastAsia="黑体"/>
          <w:color w:val="000000"/>
          <w:sz w:val="24"/>
          <w:szCs w:val="24"/>
        </w:rPr>
        <w:t>A3.2.1</w:t>
      </w:r>
      <w:r>
        <w:rPr>
          <w:rFonts w:hint="eastAsia"/>
          <w:color w:val="000000"/>
          <w:sz w:val="24"/>
          <w:szCs w:val="24"/>
        </w:rPr>
        <w:t xml:space="preserve">  当投标人资格预审申请文件的内容发生重大变化时，评标委员会依据资格预审文件中规定的标准和方法，对照投标人在资格预审阶段递交的资格预审文件中的资料以及在投标文件中更新的资料，对其更新的资料进行评审（适用于已进行资格预审的）。其中：</w:t>
      </w:r>
    </w:p>
    <w:p>
      <w:pPr>
        <w:spacing w:line="360" w:lineRule="auto"/>
        <w:ind w:firstLine="480" w:firstLineChars="200"/>
        <w:rPr>
          <w:color w:val="000000"/>
          <w:sz w:val="24"/>
          <w:szCs w:val="24"/>
        </w:rPr>
      </w:pPr>
      <w:r>
        <w:rPr>
          <w:rFonts w:hint="eastAsia"/>
          <w:color w:val="000000"/>
          <w:sz w:val="24"/>
          <w:szCs w:val="24"/>
        </w:rPr>
        <w:t>（1）资格预审采用“合格制”的，投标文件中更新的资料应当符合资格预审文件中规定的审查标准，否则其投标作废标处理；</w:t>
      </w:r>
    </w:p>
    <w:p>
      <w:pPr>
        <w:spacing w:line="360" w:lineRule="auto"/>
        <w:ind w:firstLine="480" w:firstLineChars="200"/>
        <w:rPr>
          <w:color w:val="000000"/>
          <w:sz w:val="24"/>
          <w:szCs w:val="24"/>
        </w:rPr>
      </w:pPr>
      <w:r>
        <w:rPr>
          <w:rFonts w:hint="eastAsia"/>
          <w:color w:val="000000"/>
          <w:sz w:val="24"/>
          <w:szCs w:val="24"/>
        </w:rPr>
        <w:t>（2）资格预审采用“有限数量制”的，投标文件中更新的资料应当符合资格预审文件中规定的审查标准，其中以评分方式进行审查的，其更新的资料按照资格预审文件中规定的评分标准评分后，其得分应当保证即便在资格预审阶段仍然能够获得投标资格且没有对未通过资格预审的其他资格预审申请人构成不公平，否则其投标作废标处理。</w:t>
      </w:r>
    </w:p>
    <w:p>
      <w:pPr>
        <w:spacing w:line="360" w:lineRule="auto"/>
        <w:rPr>
          <w:b/>
          <w:color w:val="000000"/>
          <w:sz w:val="24"/>
          <w:szCs w:val="24"/>
        </w:rPr>
      </w:pPr>
      <w:r>
        <w:rPr>
          <w:rFonts w:hint="eastAsia" w:ascii="黑体" w:eastAsia="黑体"/>
          <w:b/>
          <w:color w:val="000000"/>
          <w:sz w:val="24"/>
          <w:szCs w:val="24"/>
        </w:rPr>
        <w:t xml:space="preserve">A3.3  </w:t>
      </w:r>
      <w:r>
        <w:rPr>
          <w:rFonts w:hint="eastAsia"/>
          <w:b/>
          <w:color w:val="000000"/>
          <w:sz w:val="24"/>
          <w:szCs w:val="24"/>
        </w:rPr>
        <w:t>响应性评审</w:t>
      </w:r>
    </w:p>
    <w:p>
      <w:pPr>
        <w:spacing w:line="360" w:lineRule="auto"/>
        <w:ind w:firstLine="480" w:firstLineChars="200"/>
        <w:rPr>
          <w:color w:val="000000"/>
          <w:sz w:val="24"/>
          <w:szCs w:val="24"/>
        </w:rPr>
      </w:pPr>
      <w:r>
        <w:rPr>
          <w:rFonts w:hint="eastAsia"/>
          <w:color w:val="000000"/>
          <w:sz w:val="24"/>
          <w:szCs w:val="24"/>
        </w:rPr>
        <w:t>A3.3.1评标委员会根据评标办法前附表中规定的评审因素和评审标准，对投标人的投标文件进行响应性评审，并使用附表A-4记录评审结果。</w:t>
      </w:r>
    </w:p>
    <w:p>
      <w:pPr>
        <w:spacing w:line="360" w:lineRule="auto"/>
        <w:ind w:firstLine="480" w:firstLineChars="200"/>
        <w:rPr>
          <w:color w:val="000000"/>
          <w:sz w:val="24"/>
          <w:szCs w:val="24"/>
        </w:rPr>
      </w:pPr>
      <w:r>
        <w:rPr>
          <w:rFonts w:hint="eastAsia"/>
          <w:color w:val="000000"/>
          <w:sz w:val="24"/>
          <w:szCs w:val="24"/>
        </w:rPr>
        <w:t>A3.3.2投标人投标价格不得超出（不含等于）按照本章前附表的规定计算的“拦标价”，凡投标人的投标价格超出“拦标价”的，该投标人的投标文件不能通过响应性评审。（适用于设立拦标价的情形）</w:t>
      </w:r>
    </w:p>
    <w:p>
      <w:pPr>
        <w:spacing w:line="360" w:lineRule="auto"/>
        <w:ind w:firstLine="480" w:firstLineChars="200"/>
        <w:rPr>
          <w:color w:val="000000"/>
          <w:sz w:val="24"/>
          <w:szCs w:val="24"/>
        </w:rPr>
      </w:pPr>
      <w:r>
        <w:rPr>
          <w:rFonts w:hint="eastAsia"/>
          <w:color w:val="000000"/>
          <w:sz w:val="24"/>
          <w:szCs w:val="24"/>
        </w:rPr>
        <w:t>A3.3.2投标人投标价格不得超出（不含等于）按照第二章“投标人须知”前附表第10.2款载明的招标控制价，凡投标人的投标价格超出招标控制价的，该投标人的投标文件不能通过响应性评审。（适用于设立招标控制价的情形）</w:t>
      </w:r>
    </w:p>
    <w:p>
      <w:pPr>
        <w:spacing w:line="360" w:lineRule="auto"/>
        <w:rPr>
          <w:b/>
          <w:color w:val="000000"/>
          <w:sz w:val="24"/>
          <w:szCs w:val="24"/>
        </w:rPr>
      </w:pPr>
      <w:r>
        <w:rPr>
          <w:rFonts w:hint="eastAsia" w:ascii="黑体" w:eastAsia="黑体"/>
          <w:b/>
          <w:color w:val="000000"/>
          <w:sz w:val="24"/>
          <w:szCs w:val="24"/>
        </w:rPr>
        <w:t xml:space="preserve">A3.4  </w:t>
      </w:r>
      <w:r>
        <w:rPr>
          <w:rFonts w:hint="eastAsia"/>
          <w:b/>
          <w:color w:val="000000"/>
          <w:sz w:val="24"/>
          <w:szCs w:val="24"/>
        </w:rPr>
        <w:t>施工组织设计和项目管理机构评审</w:t>
      </w:r>
    </w:p>
    <w:p>
      <w:pPr>
        <w:spacing w:line="360" w:lineRule="auto"/>
        <w:ind w:firstLine="480" w:firstLineChars="200"/>
        <w:rPr>
          <w:color w:val="000000"/>
          <w:sz w:val="24"/>
          <w:szCs w:val="24"/>
        </w:rPr>
      </w:pPr>
      <w:r>
        <w:rPr>
          <w:rFonts w:hint="eastAsia"/>
          <w:color w:val="000000"/>
          <w:sz w:val="24"/>
          <w:szCs w:val="24"/>
        </w:rPr>
        <w:t>评标委员会根据评标办法前附表中规定的评审因素和评审标准，对投标人的施工组织设计和项目管理机构进行评审，并使用附表A-5记录评审结果。</w:t>
      </w:r>
    </w:p>
    <w:p>
      <w:pPr>
        <w:spacing w:line="360" w:lineRule="auto"/>
        <w:rPr>
          <w:b/>
          <w:color w:val="000000"/>
          <w:sz w:val="24"/>
          <w:szCs w:val="24"/>
        </w:rPr>
      </w:pPr>
      <w:r>
        <w:rPr>
          <w:rFonts w:hint="eastAsia" w:ascii="黑体" w:eastAsia="黑体"/>
          <w:b/>
          <w:color w:val="000000"/>
          <w:sz w:val="24"/>
          <w:szCs w:val="24"/>
        </w:rPr>
        <w:t xml:space="preserve">A3.5 </w:t>
      </w:r>
      <w:r>
        <w:rPr>
          <w:rFonts w:hint="eastAsia"/>
          <w:b/>
          <w:color w:val="000000"/>
          <w:sz w:val="24"/>
          <w:szCs w:val="24"/>
        </w:rPr>
        <w:t xml:space="preserve"> 判断投标是否为废标</w:t>
      </w:r>
    </w:p>
    <w:p>
      <w:pPr>
        <w:spacing w:line="360" w:lineRule="auto"/>
        <w:ind w:firstLine="480" w:firstLineChars="200"/>
        <w:rPr>
          <w:color w:val="000000"/>
          <w:sz w:val="24"/>
          <w:szCs w:val="24"/>
        </w:rPr>
      </w:pPr>
      <w:r>
        <w:rPr>
          <w:rFonts w:hint="eastAsia"/>
          <w:color w:val="000000"/>
          <w:sz w:val="24"/>
          <w:szCs w:val="24"/>
        </w:rPr>
        <w:t>A3.5.1判断投标人的投标是否为废标的全部条件（包括本章第3.1.2项中规定的条件），在本章附件B中集中列示。</w:t>
      </w:r>
    </w:p>
    <w:p>
      <w:pPr>
        <w:spacing w:line="360" w:lineRule="auto"/>
        <w:ind w:firstLine="480" w:firstLineChars="200"/>
        <w:rPr>
          <w:color w:val="000000"/>
          <w:sz w:val="24"/>
          <w:szCs w:val="24"/>
        </w:rPr>
      </w:pPr>
      <w:r>
        <w:rPr>
          <w:rFonts w:hint="eastAsia"/>
          <w:color w:val="000000"/>
          <w:sz w:val="24"/>
          <w:szCs w:val="24"/>
        </w:rPr>
        <w:t>A3.5.2本章附件B集中列示的废标条件不应与第二章“投标人须知”和本章正文部分包括的废标条件抵触，如果出现相互矛盾的情况，以第二章“投标人须知”和本章正文部分的规定为准。</w:t>
      </w:r>
    </w:p>
    <w:p>
      <w:pPr>
        <w:spacing w:line="360" w:lineRule="auto"/>
        <w:ind w:firstLine="480" w:firstLineChars="200"/>
        <w:rPr>
          <w:color w:val="000000"/>
          <w:sz w:val="24"/>
          <w:szCs w:val="24"/>
        </w:rPr>
      </w:pPr>
      <w:r>
        <w:rPr>
          <w:rFonts w:hint="eastAsia"/>
          <w:color w:val="000000"/>
          <w:sz w:val="24"/>
          <w:szCs w:val="24"/>
        </w:rPr>
        <w:t>A3.5.3评标委员会在评标（包括初步评审和详细评审）过程中，依据本章附件B中规定的废标条件判断投标人的投标是否为废标。</w:t>
      </w:r>
    </w:p>
    <w:p>
      <w:pPr>
        <w:spacing w:line="360" w:lineRule="auto"/>
        <w:rPr>
          <w:b/>
          <w:color w:val="000000"/>
          <w:sz w:val="24"/>
          <w:szCs w:val="24"/>
        </w:rPr>
      </w:pPr>
      <w:r>
        <w:rPr>
          <w:rFonts w:hint="eastAsia" w:ascii="黑体" w:eastAsia="黑体"/>
          <w:b/>
          <w:color w:val="000000"/>
          <w:sz w:val="24"/>
          <w:szCs w:val="24"/>
        </w:rPr>
        <w:t>A3.6</w:t>
      </w:r>
      <w:r>
        <w:rPr>
          <w:rFonts w:hint="eastAsia"/>
          <w:b/>
          <w:color w:val="000000"/>
          <w:sz w:val="24"/>
          <w:szCs w:val="24"/>
        </w:rPr>
        <w:t>算术错误修正</w:t>
      </w:r>
    </w:p>
    <w:p>
      <w:pPr>
        <w:spacing w:line="360" w:lineRule="auto"/>
        <w:ind w:firstLine="480" w:firstLineChars="200"/>
        <w:rPr>
          <w:color w:val="000000"/>
          <w:sz w:val="24"/>
          <w:szCs w:val="24"/>
        </w:rPr>
      </w:pPr>
      <w:r>
        <w:rPr>
          <w:rFonts w:hint="eastAsia"/>
          <w:color w:val="000000"/>
          <w:sz w:val="24"/>
          <w:szCs w:val="24"/>
        </w:rPr>
        <w:t>评标委员会依据本章中规定的相关原则对投标报价中存在的算术错误进行修正，并根据算术错误修正结果计算评标价。</w:t>
      </w:r>
    </w:p>
    <w:p>
      <w:pPr>
        <w:spacing w:line="360" w:lineRule="auto"/>
        <w:rPr>
          <w:b/>
          <w:color w:val="000000"/>
          <w:sz w:val="24"/>
          <w:szCs w:val="24"/>
        </w:rPr>
      </w:pPr>
      <w:r>
        <w:rPr>
          <w:rFonts w:hint="eastAsia" w:ascii="黑体" w:eastAsia="黑体"/>
          <w:b/>
          <w:color w:val="000000"/>
          <w:sz w:val="24"/>
          <w:szCs w:val="24"/>
        </w:rPr>
        <w:t>A3.7</w:t>
      </w:r>
      <w:r>
        <w:rPr>
          <w:rFonts w:hint="eastAsia"/>
          <w:b/>
          <w:color w:val="000000"/>
          <w:sz w:val="24"/>
          <w:szCs w:val="24"/>
        </w:rPr>
        <w:t>澄清、说明或补正</w:t>
      </w:r>
    </w:p>
    <w:p>
      <w:pPr>
        <w:spacing w:line="360" w:lineRule="auto"/>
        <w:ind w:firstLine="480" w:firstLineChars="200"/>
        <w:rPr>
          <w:color w:val="000000"/>
          <w:sz w:val="24"/>
          <w:szCs w:val="24"/>
        </w:rPr>
      </w:pPr>
      <w:r>
        <w:rPr>
          <w:rFonts w:hint="eastAsia"/>
          <w:color w:val="000000"/>
          <w:sz w:val="24"/>
          <w:szCs w:val="24"/>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spacing w:line="360" w:lineRule="auto"/>
        <w:rPr>
          <w:b/>
          <w:color w:val="000000"/>
          <w:sz w:val="24"/>
          <w:szCs w:val="24"/>
        </w:rPr>
      </w:pPr>
      <w:r>
        <w:rPr>
          <w:rFonts w:hint="eastAsia" w:ascii="黑体" w:eastAsia="黑体"/>
          <w:b/>
          <w:color w:val="000000"/>
          <w:sz w:val="24"/>
          <w:szCs w:val="24"/>
        </w:rPr>
        <w:t>A4</w:t>
      </w:r>
      <w:r>
        <w:rPr>
          <w:rFonts w:hint="eastAsia"/>
          <w:b/>
          <w:color w:val="000000"/>
          <w:sz w:val="24"/>
          <w:szCs w:val="24"/>
        </w:rPr>
        <w:t>.详细评审</w:t>
      </w:r>
    </w:p>
    <w:p>
      <w:pPr>
        <w:spacing w:line="360" w:lineRule="auto"/>
        <w:ind w:firstLine="480" w:firstLineChars="200"/>
        <w:rPr>
          <w:color w:val="000000"/>
          <w:sz w:val="24"/>
          <w:szCs w:val="24"/>
        </w:rPr>
      </w:pPr>
      <w:r>
        <w:rPr>
          <w:rFonts w:hint="eastAsia"/>
          <w:color w:val="000000"/>
          <w:sz w:val="24"/>
          <w:szCs w:val="24"/>
        </w:rPr>
        <w:t>只有通过了初步评审、被判定为合格的投标方可进入详细评审。</w:t>
      </w:r>
    </w:p>
    <w:p>
      <w:pPr>
        <w:spacing w:line="360" w:lineRule="auto"/>
        <w:rPr>
          <w:b/>
          <w:color w:val="000000"/>
          <w:sz w:val="24"/>
          <w:szCs w:val="24"/>
        </w:rPr>
      </w:pPr>
      <w:r>
        <w:rPr>
          <w:rFonts w:hint="eastAsia" w:ascii="黑体" w:eastAsia="黑体"/>
          <w:b/>
          <w:color w:val="000000"/>
          <w:sz w:val="24"/>
          <w:szCs w:val="24"/>
        </w:rPr>
        <w:t>A4.1</w:t>
      </w:r>
      <w:r>
        <w:rPr>
          <w:rFonts w:hint="eastAsia"/>
          <w:b/>
          <w:color w:val="000000"/>
          <w:sz w:val="24"/>
          <w:szCs w:val="24"/>
        </w:rPr>
        <w:t>价格折算</w:t>
      </w:r>
    </w:p>
    <w:p>
      <w:pPr>
        <w:spacing w:line="360" w:lineRule="auto"/>
        <w:ind w:firstLine="480" w:firstLineChars="200"/>
        <w:rPr>
          <w:color w:val="000000"/>
          <w:sz w:val="24"/>
          <w:szCs w:val="24"/>
        </w:rPr>
      </w:pPr>
      <w:r>
        <w:rPr>
          <w:rFonts w:hint="eastAsia" w:ascii="黑体" w:eastAsia="黑体"/>
          <w:color w:val="000000"/>
          <w:sz w:val="24"/>
          <w:szCs w:val="24"/>
        </w:rPr>
        <w:t>A4.1.1</w:t>
      </w:r>
      <w:r>
        <w:rPr>
          <w:rFonts w:hint="eastAsia"/>
          <w:color w:val="000000"/>
          <w:sz w:val="24"/>
          <w:szCs w:val="24"/>
        </w:rPr>
        <w:t xml:space="preserve">  评标委员会根据评标办法前附表、本章附件C中规定的程序、标准和方法，以及算术错误修正结果，对投标报价进行价格折算，计算出评标价，并使用附表A-6记录评标价折算结果。</w:t>
      </w:r>
    </w:p>
    <w:p>
      <w:pPr>
        <w:spacing w:line="360" w:lineRule="auto"/>
        <w:rPr>
          <w:b/>
          <w:color w:val="000000"/>
          <w:sz w:val="24"/>
          <w:szCs w:val="24"/>
        </w:rPr>
      </w:pPr>
      <w:r>
        <w:rPr>
          <w:rFonts w:hint="eastAsia" w:ascii="黑体" w:eastAsia="黑体"/>
          <w:b/>
          <w:color w:val="000000"/>
          <w:sz w:val="24"/>
          <w:szCs w:val="24"/>
        </w:rPr>
        <w:t>A4.2</w:t>
      </w:r>
      <w:r>
        <w:rPr>
          <w:rFonts w:hint="eastAsia"/>
          <w:b/>
          <w:color w:val="000000"/>
          <w:sz w:val="24"/>
          <w:szCs w:val="24"/>
        </w:rPr>
        <w:t xml:space="preserve">  判断投标报价是否低于成本</w:t>
      </w:r>
    </w:p>
    <w:p>
      <w:pPr>
        <w:spacing w:line="360" w:lineRule="auto"/>
        <w:ind w:firstLine="480" w:firstLineChars="200"/>
        <w:rPr>
          <w:color w:val="000000"/>
          <w:sz w:val="24"/>
          <w:szCs w:val="24"/>
        </w:rPr>
      </w:pPr>
      <w:r>
        <w:rPr>
          <w:rFonts w:hint="eastAsia"/>
          <w:color w:val="000000"/>
          <w:sz w:val="24"/>
          <w:szCs w:val="24"/>
        </w:rPr>
        <w:t>根据本章第3.2.2项的规定，评标委员会根据本章附件D中规定的程序、标准和方法，判断投标报价是否低于其成本。由评标委员会认定投标人以低于成本竞标的，其投标作废标处理。</w:t>
      </w:r>
    </w:p>
    <w:p>
      <w:pPr>
        <w:spacing w:line="360" w:lineRule="auto"/>
        <w:rPr>
          <w:rFonts w:ascii="黑体" w:eastAsia="黑体"/>
          <w:b/>
          <w:color w:val="000000"/>
          <w:sz w:val="24"/>
          <w:szCs w:val="24"/>
        </w:rPr>
      </w:pPr>
      <w:r>
        <w:rPr>
          <w:rFonts w:hint="eastAsia" w:ascii="黑体" w:eastAsia="黑体"/>
          <w:b/>
          <w:color w:val="000000"/>
          <w:sz w:val="24"/>
          <w:szCs w:val="24"/>
        </w:rPr>
        <w:t>A4.3澄清、说明或补正</w:t>
      </w:r>
    </w:p>
    <w:p>
      <w:pPr>
        <w:spacing w:line="360" w:lineRule="auto"/>
        <w:ind w:firstLine="480" w:firstLineChars="200"/>
        <w:rPr>
          <w:color w:val="000000"/>
          <w:sz w:val="24"/>
          <w:szCs w:val="24"/>
        </w:rPr>
      </w:pPr>
      <w:r>
        <w:rPr>
          <w:rFonts w:hint="eastAsia"/>
          <w:color w:val="000000"/>
          <w:sz w:val="24"/>
          <w:szCs w:val="24"/>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spacing w:line="360" w:lineRule="auto"/>
        <w:rPr>
          <w:rFonts w:ascii="黑体" w:eastAsia="黑体"/>
          <w:b/>
          <w:color w:val="000000"/>
          <w:sz w:val="24"/>
          <w:szCs w:val="24"/>
        </w:rPr>
      </w:pPr>
      <w:r>
        <w:rPr>
          <w:rFonts w:hint="eastAsia" w:ascii="黑体" w:eastAsia="黑体"/>
          <w:b/>
          <w:color w:val="000000"/>
          <w:sz w:val="24"/>
          <w:szCs w:val="24"/>
        </w:rPr>
        <w:t>A5  推荐中标候选人或者直接确定中标人</w:t>
      </w:r>
    </w:p>
    <w:p>
      <w:pPr>
        <w:spacing w:line="360" w:lineRule="auto"/>
        <w:rPr>
          <w:rFonts w:ascii="黑体" w:eastAsia="黑体"/>
          <w:b/>
          <w:color w:val="000000"/>
          <w:sz w:val="24"/>
          <w:szCs w:val="24"/>
        </w:rPr>
      </w:pPr>
      <w:r>
        <w:rPr>
          <w:rFonts w:hint="eastAsia" w:ascii="黑体" w:eastAsia="黑体"/>
          <w:b/>
          <w:color w:val="000000"/>
          <w:sz w:val="24"/>
          <w:szCs w:val="24"/>
        </w:rPr>
        <w:t>A5.1汇总评标结果</w:t>
      </w:r>
    </w:p>
    <w:p>
      <w:pPr>
        <w:spacing w:line="360" w:lineRule="auto"/>
        <w:ind w:firstLine="480" w:firstLineChars="200"/>
        <w:rPr>
          <w:rFonts w:ascii="黑体" w:eastAsia="黑体"/>
          <w:b/>
          <w:color w:val="000000"/>
          <w:sz w:val="24"/>
          <w:szCs w:val="24"/>
        </w:rPr>
      </w:pPr>
      <w:r>
        <w:rPr>
          <w:rFonts w:hint="eastAsia"/>
          <w:color w:val="000000"/>
          <w:sz w:val="24"/>
          <w:szCs w:val="24"/>
        </w:rPr>
        <w:t>投标报价评审工作全部结束后，评标委员会应按照附表A-7的格式填写评标结果汇总表。</w:t>
      </w:r>
      <w:r>
        <w:rPr>
          <w:rFonts w:hint="eastAsia" w:ascii="黑体" w:eastAsia="黑体"/>
          <w:b/>
          <w:color w:val="000000"/>
          <w:sz w:val="24"/>
          <w:szCs w:val="24"/>
        </w:rPr>
        <w:t>A5.2 推荐中标候选人</w:t>
      </w:r>
    </w:p>
    <w:p>
      <w:pPr>
        <w:spacing w:line="360" w:lineRule="auto"/>
        <w:ind w:firstLine="480" w:firstLineChars="200"/>
        <w:rPr>
          <w:color w:val="000000"/>
          <w:sz w:val="24"/>
          <w:szCs w:val="24"/>
        </w:rPr>
      </w:pPr>
      <w:r>
        <w:rPr>
          <w:rFonts w:hint="eastAsia"/>
          <w:color w:val="000000"/>
          <w:sz w:val="24"/>
          <w:szCs w:val="24"/>
        </w:rPr>
        <w:t>A5.2.1  除第二章“投标人须知”前附表授权直接确定中标人外，评标委员会在推荐中标候选人时，应遵照以下原则：</w:t>
      </w:r>
    </w:p>
    <w:p>
      <w:pPr>
        <w:spacing w:line="360" w:lineRule="auto"/>
        <w:ind w:firstLine="480" w:firstLineChars="200"/>
        <w:rPr>
          <w:color w:val="000000"/>
          <w:sz w:val="24"/>
          <w:szCs w:val="24"/>
        </w:rPr>
      </w:pPr>
      <w:r>
        <w:rPr>
          <w:rFonts w:hint="eastAsia"/>
          <w:color w:val="000000"/>
          <w:sz w:val="24"/>
          <w:szCs w:val="24"/>
        </w:rPr>
        <w:t>（1）  评标委员会对有效的投标按照评标价由低至高的次序排列，根据第二章“投标人须知”前附表第7.1款的规定推荐中标候选人。</w:t>
      </w:r>
    </w:p>
    <w:p>
      <w:pPr>
        <w:spacing w:line="360" w:lineRule="auto"/>
        <w:ind w:firstLine="480" w:firstLineChars="200"/>
        <w:rPr>
          <w:color w:val="000000"/>
          <w:sz w:val="24"/>
          <w:szCs w:val="24"/>
        </w:rPr>
      </w:pPr>
      <w:r>
        <w:rPr>
          <w:rFonts w:hint="eastAsia"/>
          <w:color w:val="000000"/>
          <w:sz w:val="24"/>
          <w:szCs w:val="24"/>
        </w:rPr>
        <w:t>（2）  如果评标委员会根据本章的规定作废标处理后，有效投标不足三个，且少于第二章“投标人须知”前附表第7.1款规定的中标候选人数量的，则评标委员会可以将所有有效投标按评标价由低至高的次序作为中标候选人向招标人推荐。如果因有效投标不足三个使得投标明显缺乏竞争的，评标委员会可以建议招标人重新招标。</w:t>
      </w:r>
    </w:p>
    <w:p>
      <w:pPr>
        <w:spacing w:line="360" w:lineRule="auto"/>
        <w:ind w:firstLine="480" w:firstLineChars="200"/>
        <w:rPr>
          <w:color w:val="000000"/>
          <w:sz w:val="24"/>
          <w:szCs w:val="24"/>
        </w:rPr>
      </w:pPr>
      <w:r>
        <w:rPr>
          <w:rFonts w:hint="eastAsia"/>
          <w:color w:val="000000"/>
          <w:sz w:val="24"/>
          <w:szCs w:val="24"/>
        </w:rPr>
        <w:t>A5.2.2  投标截止时间前递交投标文件的投标人数量少于三个或者所有投标被否决的，招标人应当依法重新招标。</w:t>
      </w:r>
    </w:p>
    <w:p>
      <w:pPr>
        <w:spacing w:line="360" w:lineRule="auto"/>
        <w:rPr>
          <w:rFonts w:ascii="黑体" w:eastAsia="黑体"/>
          <w:b/>
          <w:color w:val="000000"/>
          <w:sz w:val="24"/>
          <w:szCs w:val="24"/>
        </w:rPr>
      </w:pPr>
      <w:r>
        <w:rPr>
          <w:rFonts w:hint="eastAsia" w:ascii="黑体" w:eastAsia="黑体"/>
          <w:b/>
          <w:color w:val="000000"/>
          <w:sz w:val="24"/>
          <w:szCs w:val="24"/>
        </w:rPr>
        <w:t>A5.3直接确定中标人</w:t>
      </w:r>
    </w:p>
    <w:p>
      <w:pPr>
        <w:spacing w:line="360" w:lineRule="auto"/>
        <w:ind w:firstLine="480" w:firstLineChars="200"/>
        <w:rPr>
          <w:color w:val="000000"/>
          <w:sz w:val="24"/>
          <w:szCs w:val="24"/>
        </w:rPr>
      </w:pPr>
      <w:r>
        <w:rPr>
          <w:rFonts w:hint="eastAsia"/>
          <w:color w:val="000000"/>
          <w:sz w:val="24"/>
          <w:szCs w:val="24"/>
        </w:rPr>
        <w:t>第二章“投标人须知”前附表授权评标委员会直接确定中标人的，评标委员会对有效的投标按照评标价由低至高的次序排列，并确定排名第一的投标人为中标人。</w:t>
      </w:r>
    </w:p>
    <w:p>
      <w:pPr>
        <w:spacing w:line="360" w:lineRule="auto"/>
        <w:rPr>
          <w:rFonts w:ascii="黑体" w:eastAsia="黑体"/>
          <w:b/>
          <w:color w:val="000000"/>
          <w:sz w:val="24"/>
          <w:szCs w:val="24"/>
        </w:rPr>
      </w:pPr>
      <w:r>
        <w:rPr>
          <w:rFonts w:hint="eastAsia" w:ascii="黑体" w:eastAsia="黑体"/>
          <w:b/>
          <w:color w:val="000000"/>
          <w:sz w:val="24"/>
          <w:szCs w:val="24"/>
        </w:rPr>
        <w:t>A5.4编制及提交评标报告</w:t>
      </w:r>
    </w:p>
    <w:p>
      <w:pPr>
        <w:spacing w:line="360" w:lineRule="auto"/>
        <w:ind w:firstLine="480" w:firstLineChars="200"/>
        <w:rPr>
          <w:color w:val="000000"/>
          <w:sz w:val="24"/>
          <w:szCs w:val="24"/>
        </w:rPr>
      </w:pPr>
      <w:r>
        <w:rPr>
          <w:rFonts w:hint="eastAsia"/>
          <w:color w:val="000000"/>
          <w:sz w:val="24"/>
          <w:szCs w:val="24"/>
        </w:rPr>
        <w:t>评标委员会根据本章第3.4.2项的规定向招标人提交评标报告。评标报告应当由全体评标委员会成员签字，并于评标结束时抄送有关行政监督部门。评标报告应当包括以下内容：</w:t>
      </w:r>
    </w:p>
    <w:p>
      <w:pPr>
        <w:spacing w:line="360" w:lineRule="auto"/>
        <w:ind w:firstLine="480" w:firstLineChars="200"/>
        <w:rPr>
          <w:color w:val="000000"/>
          <w:sz w:val="24"/>
          <w:szCs w:val="24"/>
        </w:rPr>
      </w:pPr>
      <w:r>
        <w:rPr>
          <w:rFonts w:hint="eastAsia"/>
          <w:color w:val="000000"/>
          <w:sz w:val="24"/>
          <w:szCs w:val="24"/>
        </w:rPr>
        <w:t>（1）基本情况和数据表；</w:t>
      </w:r>
    </w:p>
    <w:p>
      <w:pPr>
        <w:spacing w:line="360" w:lineRule="auto"/>
        <w:ind w:firstLine="480" w:firstLineChars="200"/>
        <w:rPr>
          <w:color w:val="000000"/>
          <w:sz w:val="24"/>
          <w:szCs w:val="24"/>
        </w:rPr>
      </w:pPr>
      <w:r>
        <w:rPr>
          <w:rFonts w:hint="eastAsia"/>
          <w:color w:val="000000"/>
          <w:sz w:val="24"/>
          <w:szCs w:val="24"/>
        </w:rPr>
        <w:t>（2）评标委员会成员名单；</w:t>
      </w:r>
    </w:p>
    <w:p>
      <w:pPr>
        <w:spacing w:line="360" w:lineRule="auto"/>
        <w:ind w:firstLine="480" w:firstLineChars="200"/>
        <w:rPr>
          <w:color w:val="000000"/>
          <w:sz w:val="24"/>
          <w:szCs w:val="24"/>
        </w:rPr>
      </w:pPr>
      <w:r>
        <w:rPr>
          <w:rFonts w:hint="eastAsia"/>
          <w:color w:val="000000"/>
          <w:sz w:val="24"/>
          <w:szCs w:val="24"/>
        </w:rPr>
        <w:t>（3）开标记录；</w:t>
      </w:r>
    </w:p>
    <w:p>
      <w:pPr>
        <w:spacing w:line="360" w:lineRule="auto"/>
        <w:ind w:firstLine="480" w:firstLineChars="200"/>
        <w:rPr>
          <w:color w:val="000000"/>
          <w:sz w:val="24"/>
          <w:szCs w:val="24"/>
        </w:rPr>
      </w:pPr>
      <w:r>
        <w:rPr>
          <w:rFonts w:hint="eastAsia"/>
          <w:color w:val="000000"/>
          <w:sz w:val="24"/>
          <w:szCs w:val="24"/>
        </w:rPr>
        <w:t>（4）符合要求的投标一览表；</w:t>
      </w:r>
    </w:p>
    <w:p>
      <w:pPr>
        <w:spacing w:line="360" w:lineRule="auto"/>
        <w:ind w:firstLine="480" w:firstLineChars="200"/>
        <w:rPr>
          <w:color w:val="000000"/>
          <w:sz w:val="24"/>
          <w:szCs w:val="24"/>
        </w:rPr>
      </w:pPr>
      <w:r>
        <w:rPr>
          <w:rFonts w:hint="eastAsia"/>
          <w:color w:val="000000"/>
          <w:sz w:val="24"/>
          <w:szCs w:val="24"/>
        </w:rPr>
        <w:t>（5）废标情况说明；</w:t>
      </w:r>
    </w:p>
    <w:p>
      <w:pPr>
        <w:spacing w:line="360" w:lineRule="auto"/>
        <w:ind w:firstLine="480" w:firstLineChars="200"/>
        <w:rPr>
          <w:color w:val="000000"/>
          <w:sz w:val="24"/>
          <w:szCs w:val="24"/>
        </w:rPr>
      </w:pPr>
      <w:r>
        <w:rPr>
          <w:rFonts w:hint="eastAsia"/>
          <w:color w:val="000000"/>
          <w:sz w:val="24"/>
          <w:szCs w:val="24"/>
        </w:rPr>
        <w:t>（6）评标标准、评标方法或者评标因素一览表；</w:t>
      </w:r>
    </w:p>
    <w:p>
      <w:pPr>
        <w:spacing w:line="360" w:lineRule="auto"/>
        <w:ind w:firstLine="480" w:firstLineChars="200"/>
        <w:rPr>
          <w:color w:val="000000"/>
          <w:sz w:val="24"/>
          <w:szCs w:val="24"/>
        </w:rPr>
      </w:pPr>
      <w:r>
        <w:rPr>
          <w:rFonts w:hint="eastAsia"/>
          <w:color w:val="000000"/>
          <w:sz w:val="24"/>
          <w:szCs w:val="24"/>
        </w:rPr>
        <w:t>（7）经评审的价格一览表（包括评标委员会在评标过程中所形成的所有记载评标结果、结论的表格、说明、记录等文件）：</w:t>
      </w:r>
    </w:p>
    <w:p>
      <w:pPr>
        <w:spacing w:line="360" w:lineRule="auto"/>
        <w:ind w:firstLine="480" w:firstLineChars="200"/>
        <w:rPr>
          <w:color w:val="000000"/>
          <w:sz w:val="24"/>
          <w:szCs w:val="24"/>
        </w:rPr>
      </w:pPr>
      <w:r>
        <w:rPr>
          <w:rFonts w:hint="eastAsia"/>
          <w:color w:val="000000"/>
          <w:sz w:val="24"/>
          <w:szCs w:val="24"/>
        </w:rPr>
        <w:t>（8）经评审的投标人排序；</w:t>
      </w:r>
    </w:p>
    <w:p>
      <w:pPr>
        <w:spacing w:line="360" w:lineRule="auto"/>
        <w:ind w:firstLine="480" w:firstLineChars="200"/>
        <w:rPr>
          <w:color w:val="000000"/>
          <w:sz w:val="24"/>
          <w:szCs w:val="24"/>
        </w:rPr>
      </w:pPr>
      <w:r>
        <w:rPr>
          <w:rFonts w:hint="eastAsia"/>
          <w:color w:val="000000"/>
          <w:sz w:val="24"/>
          <w:szCs w:val="24"/>
        </w:rPr>
        <w:t>（9）推荐的中标候选人名单（如果第二章“投标人须知”前附表授权评标委员会直接确定中标人，则为“确定的中标人”）与签订合同前要处理的事宜；</w:t>
      </w:r>
    </w:p>
    <w:p>
      <w:pPr>
        <w:spacing w:line="360" w:lineRule="auto"/>
        <w:ind w:firstLine="480" w:firstLineChars="200"/>
        <w:rPr>
          <w:color w:val="000000"/>
          <w:sz w:val="24"/>
          <w:szCs w:val="24"/>
        </w:rPr>
      </w:pPr>
      <w:r>
        <w:rPr>
          <w:rFonts w:hint="eastAsia"/>
          <w:color w:val="000000"/>
          <w:sz w:val="24"/>
          <w:szCs w:val="24"/>
        </w:rPr>
        <w:t>（10）澄清、说明或补正事项纪要。</w:t>
      </w:r>
    </w:p>
    <w:p>
      <w:pPr>
        <w:spacing w:line="360" w:lineRule="auto"/>
        <w:rPr>
          <w:b/>
          <w:color w:val="000000"/>
          <w:sz w:val="24"/>
          <w:szCs w:val="24"/>
        </w:rPr>
      </w:pPr>
      <w:r>
        <w:rPr>
          <w:rFonts w:hint="eastAsia"/>
          <w:b/>
          <w:color w:val="000000"/>
          <w:sz w:val="24"/>
          <w:szCs w:val="24"/>
        </w:rPr>
        <w:t>A6. 特殊情况的处置程序</w:t>
      </w:r>
    </w:p>
    <w:p>
      <w:pPr>
        <w:spacing w:line="360" w:lineRule="auto"/>
        <w:rPr>
          <w:b/>
          <w:color w:val="000000"/>
          <w:sz w:val="24"/>
          <w:szCs w:val="24"/>
        </w:rPr>
      </w:pPr>
      <w:r>
        <w:rPr>
          <w:rFonts w:hint="eastAsia"/>
          <w:b/>
          <w:color w:val="000000"/>
          <w:sz w:val="24"/>
          <w:szCs w:val="24"/>
        </w:rPr>
        <w:t>A6.1关于评标活动暂停</w:t>
      </w:r>
    </w:p>
    <w:p>
      <w:pPr>
        <w:spacing w:line="360" w:lineRule="auto"/>
        <w:ind w:firstLine="480" w:firstLineChars="200"/>
        <w:rPr>
          <w:color w:val="000000"/>
          <w:sz w:val="24"/>
          <w:szCs w:val="24"/>
        </w:rPr>
      </w:pPr>
      <w:r>
        <w:rPr>
          <w:rFonts w:hint="eastAsia"/>
          <w:color w:val="000000"/>
          <w:sz w:val="24"/>
          <w:szCs w:val="24"/>
        </w:rPr>
        <w:t>A6.1.1评标委员会应当执行连续评标的原则，按评标办法中规定的程序、内容、方法、标准完成全部评标工作。只有发生不可抗力导致评标工作无法继续时，评标活动方可暂停。</w:t>
      </w:r>
    </w:p>
    <w:p>
      <w:pPr>
        <w:spacing w:line="360" w:lineRule="auto"/>
        <w:ind w:firstLine="480" w:firstLineChars="200"/>
        <w:rPr>
          <w:color w:val="000000"/>
          <w:sz w:val="24"/>
          <w:szCs w:val="24"/>
        </w:rPr>
      </w:pPr>
      <w:r>
        <w:rPr>
          <w:rFonts w:hint="eastAsia"/>
          <w:color w:val="000000"/>
          <w:sz w:val="24"/>
          <w:szCs w:val="24"/>
        </w:rPr>
        <w:t>A6.1.2发生评标暂停情况时，评标委员会应当封存全部投标文件和评标记录，待不可抗力的影响结束且具备继续评标的条件时，由原评标委员会继续评标。</w:t>
      </w:r>
    </w:p>
    <w:p>
      <w:pPr>
        <w:spacing w:line="360" w:lineRule="auto"/>
        <w:rPr>
          <w:b/>
          <w:color w:val="000000"/>
          <w:sz w:val="24"/>
          <w:szCs w:val="24"/>
        </w:rPr>
      </w:pPr>
      <w:r>
        <w:rPr>
          <w:rFonts w:hint="eastAsia"/>
          <w:b/>
          <w:color w:val="000000"/>
          <w:sz w:val="24"/>
          <w:szCs w:val="24"/>
        </w:rPr>
        <w:t>A6.2  关于评标中途更换评标委员会成员</w:t>
      </w:r>
    </w:p>
    <w:p>
      <w:pPr>
        <w:spacing w:line="360" w:lineRule="auto"/>
        <w:ind w:firstLine="480" w:firstLineChars="200"/>
        <w:rPr>
          <w:color w:val="000000"/>
          <w:sz w:val="24"/>
          <w:szCs w:val="24"/>
        </w:rPr>
      </w:pPr>
      <w:r>
        <w:rPr>
          <w:rFonts w:hint="eastAsia"/>
          <w:color w:val="000000"/>
          <w:sz w:val="24"/>
          <w:szCs w:val="24"/>
        </w:rPr>
        <w:t>A6.2.1  除非发生下列情况之一，评标委员会成员不得在评标中途更换：</w:t>
      </w:r>
    </w:p>
    <w:p>
      <w:pPr>
        <w:spacing w:line="360" w:lineRule="auto"/>
        <w:ind w:firstLine="480" w:firstLineChars="200"/>
        <w:rPr>
          <w:color w:val="000000"/>
          <w:sz w:val="24"/>
          <w:szCs w:val="24"/>
        </w:rPr>
      </w:pPr>
      <w:r>
        <w:rPr>
          <w:rFonts w:hint="eastAsia"/>
          <w:color w:val="000000"/>
          <w:sz w:val="24"/>
          <w:szCs w:val="24"/>
        </w:rPr>
        <w:t>（1）  因不可抗拒的客观原因，不能到场或需在评标中途退出评标活动。</w:t>
      </w:r>
    </w:p>
    <w:p>
      <w:pPr>
        <w:spacing w:line="360" w:lineRule="auto"/>
        <w:ind w:firstLine="480" w:firstLineChars="200"/>
        <w:rPr>
          <w:color w:val="000000"/>
          <w:sz w:val="24"/>
          <w:szCs w:val="24"/>
        </w:rPr>
      </w:pPr>
      <w:r>
        <w:rPr>
          <w:rFonts w:hint="eastAsia"/>
          <w:color w:val="000000"/>
          <w:sz w:val="24"/>
          <w:szCs w:val="24"/>
        </w:rPr>
        <w:t>（2）  根据法律法规规定，某个或某几个评标委员会成员需要回避。</w:t>
      </w:r>
    </w:p>
    <w:p>
      <w:pPr>
        <w:spacing w:line="360" w:lineRule="auto"/>
        <w:ind w:firstLine="480" w:firstLineChars="200"/>
        <w:rPr>
          <w:color w:val="000000"/>
          <w:sz w:val="24"/>
          <w:szCs w:val="24"/>
        </w:rPr>
      </w:pPr>
      <w:r>
        <w:rPr>
          <w:rFonts w:hint="eastAsia"/>
          <w:color w:val="000000"/>
          <w:sz w:val="24"/>
          <w:szCs w:val="24"/>
        </w:rPr>
        <w:t>A6.2.2  退出评标的评标委员会成员，其已完成的评标行为无效。由招标人根据本招标文件规定的评标委员会成员产生方式另行确定替代者进行评标。</w:t>
      </w:r>
    </w:p>
    <w:p>
      <w:pPr>
        <w:spacing w:line="360" w:lineRule="auto"/>
        <w:rPr>
          <w:b/>
          <w:color w:val="000000"/>
          <w:sz w:val="24"/>
          <w:szCs w:val="24"/>
        </w:rPr>
      </w:pPr>
      <w:r>
        <w:rPr>
          <w:rFonts w:hint="eastAsia"/>
          <w:b/>
          <w:color w:val="000000"/>
          <w:sz w:val="24"/>
          <w:szCs w:val="24"/>
        </w:rPr>
        <w:t>A6.3记名投票</w:t>
      </w:r>
    </w:p>
    <w:p>
      <w:pPr>
        <w:spacing w:line="360" w:lineRule="auto"/>
        <w:ind w:firstLine="480" w:firstLineChars="200"/>
        <w:rPr>
          <w:color w:val="000000"/>
          <w:sz w:val="24"/>
          <w:szCs w:val="24"/>
        </w:rPr>
      </w:pPr>
      <w:r>
        <w:rPr>
          <w:rFonts w:hint="eastAsia"/>
          <w:color w:val="000000"/>
          <w:sz w:val="24"/>
          <w:szCs w:val="24"/>
        </w:rPr>
        <w:t>在任何评标环节中，需评标委员会就某项定性的评审结论做出表决的，由评标委员会全体成员按照少数服从多数的原则，以记名投票方式表决。</w:t>
      </w:r>
    </w:p>
    <w:p>
      <w:pPr>
        <w:spacing w:line="360" w:lineRule="auto"/>
        <w:rPr>
          <w:b/>
          <w:color w:val="000000"/>
          <w:sz w:val="24"/>
          <w:szCs w:val="24"/>
        </w:rPr>
      </w:pPr>
      <w:r>
        <w:rPr>
          <w:rFonts w:hint="eastAsia"/>
          <w:b/>
          <w:color w:val="000000"/>
          <w:sz w:val="24"/>
          <w:szCs w:val="24"/>
        </w:rPr>
        <w:t>A7.补充条款</w:t>
      </w:r>
    </w:p>
    <w:p>
      <w:pPr>
        <w:spacing w:line="360" w:lineRule="auto"/>
        <w:ind w:firstLine="480" w:firstLineChars="200"/>
        <w:rPr>
          <w:color w:val="000000"/>
          <w:sz w:val="24"/>
          <w:szCs w:val="24"/>
        </w:rPr>
      </w:pPr>
      <w:r>
        <w:rPr>
          <w:rFonts w:hint="eastAsia"/>
          <w:color w:val="000000"/>
          <w:sz w:val="24"/>
          <w:szCs w:val="24"/>
        </w:rPr>
        <w:t>……</w:t>
      </w:r>
    </w:p>
    <w:p>
      <w:pPr>
        <w:spacing w:line="360" w:lineRule="auto"/>
        <w:rPr>
          <w:rFonts w:ascii="黑体" w:eastAsia="黑体"/>
          <w:color w:val="000000"/>
        </w:rPr>
      </w:pPr>
      <w:r>
        <w:rPr>
          <w:rFonts w:hint="eastAsia" w:ascii="黑体" w:eastAsia="黑体"/>
          <w:color w:val="000000"/>
        </w:rPr>
        <w:br w:type="page"/>
      </w:r>
      <w:r>
        <w:rPr>
          <w:rFonts w:hint="eastAsia" w:ascii="黑体" w:eastAsia="黑体"/>
          <w:color w:val="000000"/>
        </w:rPr>
        <w:t>附件B：废标条件</w:t>
      </w:r>
    </w:p>
    <w:p>
      <w:pPr>
        <w:spacing w:line="360" w:lineRule="auto"/>
        <w:jc w:val="center"/>
        <w:rPr>
          <w:rFonts w:ascii="黑体" w:eastAsia="黑体"/>
          <w:color w:val="000000"/>
          <w:sz w:val="28"/>
          <w:szCs w:val="28"/>
        </w:rPr>
      </w:pPr>
      <w:r>
        <w:rPr>
          <w:rFonts w:hint="eastAsia" w:ascii="黑体" w:eastAsia="黑体"/>
          <w:color w:val="000000"/>
          <w:sz w:val="28"/>
          <w:szCs w:val="28"/>
        </w:rPr>
        <w:t>废标条件</w:t>
      </w:r>
    </w:p>
    <w:p>
      <w:pPr>
        <w:spacing w:line="48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B0.总  则</w:t>
      </w:r>
    </w:p>
    <w:p>
      <w:pPr>
        <w:spacing w:line="48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spacing w:line="48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B1.废标条件</w:t>
      </w:r>
    </w:p>
    <w:p>
      <w:pPr>
        <w:spacing w:line="48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投标人或其投标文件有下列情形之一的，其投标作废标处理：</w:t>
      </w:r>
    </w:p>
    <w:p>
      <w:pPr>
        <w:spacing w:line="48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B1.1  有第二章“投标人须知”第1.4.3项规定的任何一种情形的。</w:t>
      </w:r>
    </w:p>
    <w:p>
      <w:pPr>
        <w:spacing w:line="48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B1.2  有串通投标或弄虚作假或有其他违法行为的。</w:t>
      </w:r>
    </w:p>
    <w:p>
      <w:pPr>
        <w:spacing w:line="48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B1.3  不按评标委员会要求澄清、说明或补正的。</w:t>
      </w:r>
    </w:p>
    <w:p>
      <w:pPr>
        <w:spacing w:line="48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B1.4  在形式评审、资格评审（适用于未进行资格预审的）、响应性评审中，评标委员会认定投标人的投标文件不符合评标办法前附表中规定的任何一项评审标准的。</w:t>
      </w:r>
    </w:p>
    <w:p>
      <w:pPr>
        <w:spacing w:line="48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B1.5  当投标人资格预审申请文件的内容发生重大变化时，其在投标文件中更新的资料，未能通过资格评审的（适用于已进行资格预审的）。</w:t>
      </w:r>
    </w:p>
    <w:p>
      <w:pPr>
        <w:spacing w:line="48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B1.6  投标报价文件（投标函除外）未经有资格的工程造价专业人员签字并加盖执业专用章的；</w:t>
      </w:r>
    </w:p>
    <w:p>
      <w:pPr>
        <w:spacing w:line="48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B1.7在施工组织设计和项目管理机构评审中，评标委员会认定投标人的投标未能通过此项评审的。</w:t>
      </w:r>
    </w:p>
    <w:p>
      <w:pPr>
        <w:spacing w:line="48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B1.8  评标委员会认定投标人以低于成本报价竞标的。</w:t>
      </w:r>
    </w:p>
    <w:p>
      <w:pPr>
        <w:spacing w:line="48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B1.9  投标人未按第二章“投标人须知”第10.6款规定出席开标会的。</w:t>
      </w:r>
    </w:p>
    <w:p>
      <w:pPr>
        <w:spacing w:line="48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B1.10</w:t>
      </w:r>
    </w:p>
    <w:p>
      <w:pPr>
        <w:spacing w:line="480"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w:t>
      </w:r>
    </w:p>
    <w:p>
      <w:pPr>
        <w:spacing w:line="480" w:lineRule="auto"/>
        <w:ind w:firstLine="480" w:firstLineChars="200"/>
        <w:rPr>
          <w:rFonts w:asciiTheme="minorEastAsia" w:hAnsiTheme="minorEastAsia" w:eastAsiaTheme="minorEastAsia"/>
          <w:color w:val="000000"/>
          <w:sz w:val="24"/>
          <w:szCs w:val="24"/>
        </w:rPr>
      </w:pPr>
    </w:p>
    <w:p>
      <w:pPr>
        <w:spacing w:line="480"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备注：如果工程所在地管理规定要求评标委员会对判定为废标的投标文件说明废标情况的，应增加“废标情况说明表”格式，废标情况说明应当对照招标文件规定的废标条件以及投标文件存在的具体问题。</w:t>
      </w: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p>
    <w:p>
      <w:pPr>
        <w:spacing w:line="430" w:lineRule="exact"/>
        <w:rPr>
          <w:rFonts w:ascii="黑体" w:eastAsia="黑体"/>
          <w:color w:val="000000"/>
        </w:rPr>
      </w:pPr>
      <w:r>
        <w:rPr>
          <w:rFonts w:hint="eastAsia" w:ascii="黑体" w:eastAsia="黑体"/>
          <w:color w:val="000000"/>
        </w:rPr>
        <w:t>附件C：评标价计算方法</w:t>
      </w:r>
    </w:p>
    <w:p>
      <w:pPr>
        <w:spacing w:beforeLines="100" w:afterLines="50" w:line="430" w:lineRule="exact"/>
        <w:jc w:val="center"/>
        <w:rPr>
          <w:rFonts w:ascii="黑体" w:eastAsia="黑体"/>
          <w:color w:val="000000"/>
          <w:sz w:val="28"/>
          <w:szCs w:val="28"/>
        </w:rPr>
      </w:pPr>
      <w:r>
        <w:rPr>
          <w:rFonts w:hint="eastAsia" w:ascii="黑体" w:eastAsia="黑体"/>
          <w:color w:val="000000"/>
          <w:sz w:val="28"/>
          <w:szCs w:val="28"/>
        </w:rPr>
        <w:t>评标价计算方法</w:t>
      </w:r>
    </w:p>
    <w:p>
      <w:pPr>
        <w:spacing w:line="360" w:lineRule="auto"/>
        <w:rPr>
          <w:rFonts w:ascii="黑体" w:eastAsia="黑体"/>
          <w:color w:val="000000"/>
          <w:sz w:val="24"/>
          <w:szCs w:val="24"/>
        </w:rPr>
      </w:pPr>
      <w:r>
        <w:rPr>
          <w:color w:val="000000"/>
          <w:sz w:val="24"/>
          <w:szCs w:val="24"/>
        </w:rPr>
        <w:t>C0.</w:t>
      </w:r>
      <w:r>
        <w:rPr>
          <w:rFonts w:hint="eastAsia" w:ascii="黑体" w:eastAsia="黑体"/>
          <w:color w:val="000000"/>
          <w:sz w:val="24"/>
          <w:szCs w:val="24"/>
        </w:rPr>
        <w:t>总  则</w:t>
      </w:r>
    </w:p>
    <w:p>
      <w:pPr>
        <w:spacing w:line="360" w:lineRule="auto"/>
        <w:ind w:firstLine="480" w:firstLineChars="200"/>
        <w:rPr>
          <w:rFonts w:ascii="楷体_GB2312" w:eastAsia="楷体_GB2312"/>
          <w:color w:val="000000"/>
          <w:sz w:val="24"/>
          <w:szCs w:val="24"/>
        </w:rPr>
      </w:pPr>
      <w:r>
        <w:rPr>
          <w:rFonts w:hint="eastAsia" w:ascii="楷体_GB2312" w:eastAsia="楷体_GB2312"/>
          <w:color w:val="000000"/>
          <w:sz w:val="24"/>
          <w:szCs w:val="24"/>
        </w:rPr>
        <w:t>本附件是本章“评标办法”的组成部分，评标委员会按照本章第3.2.1项的规定对投标人投标报价进行折算以计算评标价时，适用本附件所规定的方法。</w:t>
      </w:r>
    </w:p>
    <w:p>
      <w:pPr>
        <w:spacing w:line="360" w:lineRule="auto"/>
        <w:rPr>
          <w:color w:val="000000"/>
          <w:sz w:val="24"/>
          <w:szCs w:val="24"/>
        </w:rPr>
      </w:pPr>
      <w:r>
        <w:rPr>
          <w:rFonts w:eastAsia="楷体_GB2312"/>
          <w:color w:val="000000"/>
          <w:sz w:val="24"/>
          <w:szCs w:val="24"/>
        </w:rPr>
        <w:t>C1</w:t>
      </w:r>
      <w:r>
        <w:rPr>
          <w:rFonts w:hint="eastAsia" w:eastAsia="楷体_GB2312"/>
          <w:color w:val="000000"/>
          <w:sz w:val="24"/>
          <w:szCs w:val="24"/>
        </w:rPr>
        <w:t>.</w:t>
      </w:r>
      <w:r>
        <w:rPr>
          <w:rFonts w:hint="eastAsia"/>
          <w:color w:val="000000"/>
          <w:sz w:val="24"/>
          <w:szCs w:val="24"/>
        </w:rPr>
        <w:t>……</w:t>
      </w:r>
    </w:p>
    <w:p>
      <w:pPr>
        <w:spacing w:line="360" w:lineRule="auto"/>
        <w:rPr>
          <w:color w:val="000000"/>
          <w:sz w:val="24"/>
          <w:szCs w:val="24"/>
        </w:rPr>
      </w:pPr>
    </w:p>
    <w:p>
      <w:pPr>
        <w:spacing w:line="360" w:lineRule="auto"/>
        <w:rPr>
          <w:color w:val="000000"/>
          <w:sz w:val="24"/>
          <w:szCs w:val="24"/>
        </w:rPr>
      </w:pPr>
    </w:p>
    <w:p>
      <w:pPr>
        <w:spacing w:line="360" w:lineRule="auto"/>
        <w:rPr>
          <w:rFonts w:ascii="楷体_GB2312" w:eastAsia="楷体_GB2312"/>
          <w:color w:val="000000"/>
          <w:sz w:val="24"/>
          <w:szCs w:val="24"/>
        </w:rPr>
      </w:pPr>
      <w:r>
        <w:rPr>
          <w:rFonts w:hint="eastAsia" w:ascii="黑体" w:eastAsia="黑体"/>
          <w:color w:val="000000"/>
          <w:sz w:val="24"/>
          <w:szCs w:val="24"/>
        </w:rPr>
        <w:t>备注：</w:t>
      </w:r>
      <w:r>
        <w:rPr>
          <w:rFonts w:hint="eastAsia" w:ascii="楷体_GB2312" w:eastAsia="楷体_GB2312"/>
          <w:color w:val="000000"/>
          <w:sz w:val="24"/>
          <w:szCs w:val="24"/>
        </w:rPr>
        <w:t>本附件的其他具体内容由招标人根据国家有关法律法规和工程所在地适用的有关规定，结合招标项目的实际情况和拟采用的折算方法自行编写。</w:t>
      </w:r>
    </w:p>
    <w:p>
      <w:pPr>
        <w:spacing w:line="360" w:lineRule="auto"/>
        <w:rPr>
          <w:rFonts w:ascii="黑体" w:eastAsia="黑体"/>
          <w:color w:val="000000"/>
        </w:rPr>
      </w:pPr>
      <w:r>
        <w:rPr>
          <w:rFonts w:ascii="楷体_GB2312" w:eastAsia="楷体_GB2312"/>
          <w:color w:val="000000"/>
        </w:rPr>
        <w:br w:type="page"/>
      </w:r>
      <w:r>
        <w:rPr>
          <w:rFonts w:hint="eastAsia" w:ascii="黑体" w:eastAsia="黑体"/>
          <w:color w:val="000000"/>
        </w:rPr>
        <w:t>附件D：投标人成本评审办法</w:t>
      </w:r>
    </w:p>
    <w:p>
      <w:pPr>
        <w:spacing w:line="360" w:lineRule="auto"/>
        <w:jc w:val="center"/>
        <w:rPr>
          <w:rFonts w:ascii="黑体" w:eastAsia="黑体"/>
          <w:color w:val="000000"/>
          <w:sz w:val="28"/>
          <w:szCs w:val="28"/>
        </w:rPr>
      </w:pPr>
      <w:r>
        <w:rPr>
          <w:rFonts w:hint="eastAsia" w:ascii="黑体" w:eastAsia="黑体"/>
          <w:color w:val="000000"/>
          <w:sz w:val="28"/>
          <w:szCs w:val="28"/>
        </w:rPr>
        <w:t>投标人成本评审办法</w:t>
      </w:r>
    </w:p>
    <w:p>
      <w:pPr>
        <w:spacing w:line="480" w:lineRule="auto"/>
        <w:rPr>
          <w:rFonts w:eastAsia="黑体"/>
          <w:color w:val="000000"/>
          <w:sz w:val="24"/>
          <w:szCs w:val="24"/>
        </w:rPr>
      </w:pPr>
      <w:r>
        <w:rPr>
          <w:rFonts w:hint="eastAsia" w:ascii="方正书宋简体" w:eastAsia="方正书宋简体"/>
          <w:color w:val="000000"/>
          <w:sz w:val="24"/>
          <w:szCs w:val="24"/>
        </w:rPr>
        <w:t>D0.</w:t>
      </w:r>
      <w:r>
        <w:rPr>
          <w:rFonts w:eastAsia="黑体"/>
          <w:color w:val="000000"/>
          <w:sz w:val="24"/>
          <w:szCs w:val="24"/>
        </w:rPr>
        <w:t>总  则</w:t>
      </w:r>
    </w:p>
    <w:p>
      <w:pPr>
        <w:spacing w:line="480" w:lineRule="auto"/>
        <w:ind w:firstLine="480" w:firstLineChars="200"/>
        <w:rPr>
          <w:color w:val="000000"/>
          <w:sz w:val="24"/>
          <w:szCs w:val="24"/>
        </w:rPr>
      </w:pPr>
      <w:r>
        <w:rPr>
          <w:rFonts w:hint="eastAsia"/>
          <w:color w:val="000000"/>
          <w:sz w:val="24"/>
          <w:szCs w:val="24"/>
        </w:rPr>
        <w:t>本附件是本章“评标办法”的组成部分，评标委员会按照本章第</w:t>
      </w:r>
      <w:r>
        <w:rPr>
          <w:color w:val="000000"/>
          <w:sz w:val="24"/>
          <w:szCs w:val="24"/>
        </w:rPr>
        <w:t>3.2.2（采用综合评估法的第3</w:t>
      </w:r>
      <w:r>
        <w:rPr>
          <w:rFonts w:hint="eastAsia"/>
          <w:color w:val="000000"/>
          <w:sz w:val="24"/>
          <w:szCs w:val="24"/>
        </w:rPr>
        <w:t>.</w:t>
      </w:r>
      <w:r>
        <w:rPr>
          <w:color w:val="000000"/>
          <w:sz w:val="24"/>
          <w:szCs w:val="24"/>
        </w:rPr>
        <w:t>2</w:t>
      </w:r>
      <w:r>
        <w:rPr>
          <w:rFonts w:hint="eastAsia"/>
          <w:color w:val="000000"/>
          <w:sz w:val="24"/>
          <w:szCs w:val="24"/>
        </w:rPr>
        <w:t>.</w:t>
      </w:r>
      <w:r>
        <w:rPr>
          <w:color w:val="000000"/>
          <w:sz w:val="24"/>
          <w:szCs w:val="24"/>
        </w:rPr>
        <w:t>4）项的规定，对投标人投标报价是否低于其成本进行评审和判断时，适用本</w:t>
      </w:r>
      <w:r>
        <w:rPr>
          <w:rFonts w:hint="eastAsia"/>
          <w:color w:val="000000"/>
          <w:sz w:val="24"/>
          <w:szCs w:val="24"/>
        </w:rPr>
        <w:t>附件所规定的办法。</w:t>
      </w:r>
    </w:p>
    <w:p>
      <w:pPr>
        <w:spacing w:line="480" w:lineRule="auto"/>
        <w:rPr>
          <w:b/>
          <w:color w:val="000000"/>
          <w:sz w:val="24"/>
          <w:szCs w:val="24"/>
        </w:rPr>
      </w:pPr>
      <w:r>
        <w:rPr>
          <w:rFonts w:hint="eastAsia"/>
          <w:b/>
          <w:color w:val="000000"/>
          <w:sz w:val="24"/>
          <w:szCs w:val="24"/>
        </w:rPr>
        <w:t>D1.评审程序</w:t>
      </w:r>
    </w:p>
    <w:p>
      <w:pPr>
        <w:spacing w:line="480" w:lineRule="auto"/>
        <w:rPr>
          <w:b/>
          <w:color w:val="000000"/>
          <w:sz w:val="24"/>
          <w:szCs w:val="24"/>
        </w:rPr>
      </w:pPr>
      <w:r>
        <w:rPr>
          <w:rFonts w:hint="eastAsia"/>
          <w:b/>
          <w:color w:val="000000"/>
          <w:sz w:val="24"/>
          <w:szCs w:val="24"/>
        </w:rPr>
        <w:t>D1.1启动成本评审工作的前提条件</w:t>
      </w:r>
    </w:p>
    <w:p>
      <w:pPr>
        <w:spacing w:line="480" w:lineRule="auto"/>
        <w:ind w:firstLine="480" w:firstLineChars="200"/>
        <w:rPr>
          <w:color w:val="000000"/>
          <w:sz w:val="24"/>
          <w:szCs w:val="24"/>
        </w:rPr>
      </w:pPr>
      <w:r>
        <w:rPr>
          <w:rFonts w:hint="eastAsia"/>
          <w:color w:val="000000"/>
          <w:sz w:val="24"/>
          <w:szCs w:val="24"/>
        </w:rPr>
        <w:t>在满足下列两项条件的前提下，评标委员会应当启动并进行本办法所规定的评审，以判别投标人的投标报价是否低于其成本：</w:t>
      </w:r>
    </w:p>
    <w:p>
      <w:pPr>
        <w:spacing w:line="480" w:lineRule="auto"/>
        <w:ind w:firstLine="480" w:firstLineChars="200"/>
        <w:rPr>
          <w:color w:val="000000"/>
          <w:sz w:val="24"/>
          <w:szCs w:val="24"/>
        </w:rPr>
      </w:pPr>
      <w:r>
        <w:rPr>
          <w:rFonts w:hint="eastAsia"/>
          <w:color w:val="000000"/>
          <w:sz w:val="24"/>
          <w:szCs w:val="24"/>
        </w:rPr>
        <w:t>D1.1.1投标人的投标文件已经通过本章“评标办法”规定的“初步评审”，不存在应当废标的情形；</w:t>
      </w:r>
    </w:p>
    <w:p>
      <w:pPr>
        <w:spacing w:line="480" w:lineRule="auto"/>
        <w:ind w:firstLine="480" w:firstLineChars="200"/>
        <w:rPr>
          <w:color w:val="000000"/>
          <w:sz w:val="24"/>
          <w:szCs w:val="24"/>
        </w:rPr>
      </w:pPr>
      <w:r>
        <w:rPr>
          <w:rFonts w:hint="eastAsia"/>
          <w:color w:val="000000"/>
          <w:sz w:val="24"/>
          <w:szCs w:val="24"/>
        </w:rPr>
        <w:t>D1.1.2投标人的投标报价低于（不含）以下限度的：</w:t>
      </w:r>
    </w:p>
    <w:p>
      <w:pPr>
        <w:spacing w:line="480" w:lineRule="auto"/>
        <w:rPr>
          <w:color w:val="000000"/>
          <w:sz w:val="24"/>
          <w:szCs w:val="24"/>
        </w:rPr>
      </w:pPr>
      <w:r>
        <w:rPr>
          <w:color w:val="000000"/>
          <w:sz w:val="24"/>
          <w:szCs w:val="24"/>
          <w:u w:val="single"/>
        </w:rPr>
        <w:t xml:space="preserve">   </w:t>
      </w:r>
      <w:r>
        <w:rPr>
          <w:rFonts w:hint="eastAsia"/>
          <w:color w:val="000000"/>
          <w:sz w:val="24"/>
          <w:szCs w:val="24"/>
          <w:u w:val="single"/>
        </w:rPr>
        <w:t xml:space="preserve">         </w:t>
      </w:r>
      <w:r>
        <w:rPr>
          <w:color w:val="000000"/>
          <w:sz w:val="24"/>
          <w:szCs w:val="24"/>
          <w:u w:val="single"/>
        </w:rPr>
        <w:t xml:space="preserve"> </w:t>
      </w:r>
      <w:r>
        <w:rPr>
          <w:rFonts w:hint="eastAsia"/>
          <w:color w:val="000000"/>
          <w:sz w:val="24"/>
          <w:szCs w:val="24"/>
          <w:u w:val="single"/>
        </w:rPr>
        <w:t xml:space="preserve">                                                                  </w:t>
      </w:r>
      <w:r>
        <w:rPr>
          <w:rFonts w:hint="eastAsia"/>
          <w:color w:val="000000"/>
          <w:sz w:val="24"/>
          <w:szCs w:val="24"/>
        </w:rPr>
        <w:t>。</w:t>
      </w:r>
    </w:p>
    <w:p>
      <w:pPr>
        <w:spacing w:line="480" w:lineRule="auto"/>
        <w:rPr>
          <w:color w:val="000000"/>
          <w:sz w:val="24"/>
          <w:szCs w:val="24"/>
        </w:rPr>
      </w:pPr>
      <w:r>
        <w:rPr>
          <w:rFonts w:hint="eastAsia"/>
          <w:color w:val="000000"/>
          <w:sz w:val="24"/>
          <w:szCs w:val="24"/>
        </w:rPr>
        <w:t>（</w:t>
      </w:r>
      <w:r>
        <w:rPr>
          <w:rFonts w:hint="eastAsia" w:ascii="黑体" w:eastAsia="黑体"/>
          <w:color w:val="000000"/>
          <w:sz w:val="24"/>
          <w:szCs w:val="24"/>
        </w:rPr>
        <w:t>说明：（1）</w:t>
      </w:r>
      <w:r>
        <w:rPr>
          <w:rFonts w:hint="eastAsia" w:ascii="楷体_GB2312" w:eastAsia="楷体_GB2312"/>
          <w:color w:val="000000"/>
          <w:sz w:val="24"/>
          <w:szCs w:val="24"/>
        </w:rPr>
        <w:t>设有标底或者招标控制价时以标底或者招标控制价为基准设立下浮限度。（2）既不设招标控制价又不设标底的，可以有效投标报价的算术平均值为基准设立下浮限度。具体限度视工程所在地和招标项目具体情况，在本附件中规定。但此处的下限仅作为启动成本评审工作的警戒线，不得直接认定废标。）</w:t>
      </w:r>
    </w:p>
    <w:p>
      <w:pPr>
        <w:spacing w:line="480" w:lineRule="auto"/>
        <w:rPr>
          <w:b/>
          <w:color w:val="000000"/>
          <w:sz w:val="24"/>
          <w:szCs w:val="24"/>
        </w:rPr>
      </w:pPr>
      <w:r>
        <w:rPr>
          <w:rFonts w:hint="eastAsia"/>
          <w:b/>
          <w:color w:val="000000"/>
          <w:sz w:val="24"/>
          <w:szCs w:val="24"/>
        </w:rPr>
        <w:t>D1.2对投标价格的合理性进行评审</w:t>
      </w:r>
    </w:p>
    <w:p>
      <w:pPr>
        <w:spacing w:line="480" w:lineRule="auto"/>
        <w:ind w:firstLine="480" w:firstLineChars="200"/>
        <w:rPr>
          <w:color w:val="000000"/>
          <w:sz w:val="24"/>
          <w:szCs w:val="24"/>
        </w:rPr>
      </w:pPr>
      <w:r>
        <w:rPr>
          <w:rFonts w:hint="eastAsia"/>
          <w:color w:val="000000"/>
          <w:sz w:val="24"/>
          <w:szCs w:val="24"/>
        </w:rPr>
        <w:t>评标委员会结合清标成果，对各个投标价格和影响投标价格合理性的以下因素逐一进行分析，并修正其中任何可能存在的错误和不合理内容：</w:t>
      </w:r>
    </w:p>
    <w:p>
      <w:pPr>
        <w:spacing w:line="480" w:lineRule="auto"/>
        <w:ind w:firstLine="480" w:firstLineChars="200"/>
        <w:rPr>
          <w:color w:val="000000"/>
          <w:sz w:val="24"/>
          <w:szCs w:val="24"/>
        </w:rPr>
      </w:pPr>
      <w:r>
        <w:rPr>
          <w:rFonts w:hint="eastAsia"/>
          <w:color w:val="000000"/>
          <w:sz w:val="24"/>
          <w:szCs w:val="24"/>
        </w:rPr>
        <w:t>（1）  算术性错误分析和修正；</w:t>
      </w:r>
    </w:p>
    <w:p>
      <w:pPr>
        <w:spacing w:line="480" w:lineRule="auto"/>
        <w:ind w:firstLine="480" w:firstLineChars="200"/>
        <w:rPr>
          <w:color w:val="000000"/>
          <w:sz w:val="24"/>
          <w:szCs w:val="24"/>
        </w:rPr>
      </w:pPr>
      <w:r>
        <w:rPr>
          <w:rFonts w:hint="eastAsia"/>
          <w:color w:val="000000"/>
          <w:sz w:val="24"/>
          <w:szCs w:val="24"/>
        </w:rPr>
        <w:t>（2）  错漏项分析和修正；</w:t>
      </w:r>
    </w:p>
    <w:p>
      <w:pPr>
        <w:spacing w:line="480" w:lineRule="auto"/>
        <w:ind w:firstLine="480" w:firstLineChars="200"/>
        <w:rPr>
          <w:color w:val="000000"/>
          <w:sz w:val="24"/>
          <w:szCs w:val="24"/>
        </w:rPr>
      </w:pPr>
      <w:r>
        <w:rPr>
          <w:rFonts w:hint="eastAsia"/>
          <w:color w:val="000000"/>
          <w:sz w:val="24"/>
          <w:szCs w:val="24"/>
        </w:rPr>
        <w:t>（3）  分部分项工程量清单部分价格合理性分析和修正：</w:t>
      </w:r>
    </w:p>
    <w:p>
      <w:pPr>
        <w:spacing w:line="480" w:lineRule="auto"/>
        <w:ind w:firstLine="480" w:firstLineChars="200"/>
        <w:rPr>
          <w:color w:val="000000"/>
          <w:sz w:val="24"/>
          <w:szCs w:val="24"/>
        </w:rPr>
      </w:pPr>
      <w:r>
        <w:rPr>
          <w:rFonts w:hint="eastAsia"/>
          <w:color w:val="000000"/>
          <w:sz w:val="24"/>
          <w:szCs w:val="24"/>
        </w:rPr>
        <w:t>（4）  措施项目清单和其他项目清单部分价格合理性分析和修正；</w:t>
      </w:r>
    </w:p>
    <w:p>
      <w:pPr>
        <w:spacing w:line="480" w:lineRule="auto"/>
        <w:ind w:firstLine="480" w:firstLineChars="200"/>
        <w:rPr>
          <w:color w:val="000000"/>
          <w:sz w:val="24"/>
          <w:szCs w:val="24"/>
        </w:rPr>
      </w:pPr>
      <w:r>
        <w:rPr>
          <w:rFonts w:hint="eastAsia"/>
          <w:color w:val="000000"/>
          <w:sz w:val="24"/>
          <w:szCs w:val="24"/>
        </w:rPr>
        <w:t>（5）  企业管理费合理性分析和修正；</w:t>
      </w:r>
    </w:p>
    <w:p>
      <w:pPr>
        <w:spacing w:line="480" w:lineRule="auto"/>
        <w:ind w:firstLine="480" w:firstLineChars="200"/>
        <w:rPr>
          <w:color w:val="000000"/>
          <w:sz w:val="24"/>
          <w:szCs w:val="24"/>
        </w:rPr>
      </w:pPr>
      <w:r>
        <w:rPr>
          <w:rFonts w:hint="eastAsia"/>
          <w:color w:val="000000"/>
          <w:sz w:val="24"/>
          <w:szCs w:val="24"/>
        </w:rPr>
        <w:t>（6）  利润水平合理性分析和修正；</w:t>
      </w:r>
    </w:p>
    <w:p>
      <w:pPr>
        <w:spacing w:line="480" w:lineRule="auto"/>
        <w:ind w:firstLine="480" w:firstLineChars="200"/>
        <w:rPr>
          <w:color w:val="000000"/>
          <w:sz w:val="24"/>
          <w:szCs w:val="24"/>
        </w:rPr>
      </w:pPr>
      <w:r>
        <w:rPr>
          <w:rFonts w:hint="eastAsia"/>
          <w:color w:val="000000"/>
          <w:sz w:val="24"/>
          <w:szCs w:val="24"/>
        </w:rPr>
        <w:t>（7）  法定税金和规费的完整性分析和修正；</w:t>
      </w:r>
    </w:p>
    <w:p>
      <w:pPr>
        <w:spacing w:line="480" w:lineRule="auto"/>
        <w:ind w:firstLine="480" w:firstLineChars="200"/>
        <w:rPr>
          <w:color w:val="000000"/>
          <w:sz w:val="24"/>
          <w:szCs w:val="24"/>
        </w:rPr>
      </w:pPr>
      <w:r>
        <w:rPr>
          <w:rFonts w:hint="eastAsia"/>
          <w:color w:val="000000"/>
          <w:sz w:val="24"/>
          <w:szCs w:val="24"/>
        </w:rPr>
        <w:t>（8）  不平衡报价分析和修正。</w:t>
      </w:r>
    </w:p>
    <w:p>
      <w:pPr>
        <w:spacing w:line="480" w:lineRule="auto"/>
        <w:rPr>
          <w:b/>
          <w:color w:val="000000"/>
          <w:sz w:val="24"/>
          <w:szCs w:val="24"/>
        </w:rPr>
      </w:pPr>
      <w:r>
        <w:rPr>
          <w:rFonts w:hint="eastAsia"/>
          <w:b/>
          <w:color w:val="000000"/>
          <w:sz w:val="24"/>
          <w:szCs w:val="24"/>
        </w:rPr>
        <w:t>D1.3澄清、说明或补正</w:t>
      </w:r>
    </w:p>
    <w:p>
      <w:pPr>
        <w:spacing w:line="480" w:lineRule="auto"/>
        <w:ind w:firstLine="480" w:firstLineChars="200"/>
        <w:rPr>
          <w:color w:val="000000"/>
          <w:sz w:val="24"/>
          <w:szCs w:val="24"/>
        </w:rPr>
      </w:pPr>
      <w:r>
        <w:rPr>
          <w:rFonts w:hint="eastAsia"/>
          <w:color w:val="000000"/>
          <w:sz w:val="24"/>
          <w:szCs w:val="24"/>
        </w:rPr>
        <w:t>评标委员会汇总对投标报价的疑问，启动“澄清、说明或补正”程序，发出问题澄清通知并附上质疑问卷，要求投标人进行澄清和说明并提交有关证明材料。</w:t>
      </w:r>
    </w:p>
    <w:p>
      <w:pPr>
        <w:spacing w:line="480" w:lineRule="auto"/>
        <w:rPr>
          <w:b/>
          <w:color w:val="000000"/>
          <w:sz w:val="24"/>
          <w:szCs w:val="24"/>
        </w:rPr>
      </w:pPr>
      <w:r>
        <w:rPr>
          <w:rFonts w:hint="eastAsia"/>
          <w:b/>
          <w:color w:val="000000"/>
          <w:sz w:val="24"/>
          <w:szCs w:val="24"/>
        </w:rPr>
        <w:t>D1.4  判断投标报价是否低于其成本</w:t>
      </w:r>
    </w:p>
    <w:p>
      <w:pPr>
        <w:spacing w:line="480" w:lineRule="auto"/>
        <w:ind w:firstLine="480" w:firstLineChars="200"/>
        <w:rPr>
          <w:color w:val="000000"/>
          <w:sz w:val="24"/>
          <w:szCs w:val="24"/>
        </w:rPr>
      </w:pPr>
      <w:r>
        <w:rPr>
          <w:rFonts w:hint="eastAsia"/>
          <w:color w:val="000000"/>
          <w:sz w:val="24"/>
          <w:szCs w:val="24"/>
        </w:rPr>
        <w:t>评标委员会根据投标人澄清和说明的结果，计算出对投标人投标报价进行合理化修正后所产生的最终差额，判断投标人的投标报价是否低于其成本。</w:t>
      </w:r>
    </w:p>
    <w:p>
      <w:pPr>
        <w:spacing w:line="480" w:lineRule="auto"/>
        <w:rPr>
          <w:b/>
          <w:color w:val="000000"/>
          <w:sz w:val="24"/>
          <w:szCs w:val="24"/>
        </w:rPr>
      </w:pPr>
      <w:r>
        <w:rPr>
          <w:rFonts w:hint="eastAsia"/>
          <w:b/>
          <w:color w:val="000000"/>
          <w:sz w:val="24"/>
          <w:szCs w:val="24"/>
        </w:rPr>
        <w:t>D2.评审的依据</w:t>
      </w:r>
    </w:p>
    <w:p>
      <w:pPr>
        <w:spacing w:line="480" w:lineRule="auto"/>
        <w:ind w:firstLine="480" w:firstLineChars="200"/>
        <w:rPr>
          <w:color w:val="000000"/>
          <w:sz w:val="24"/>
          <w:szCs w:val="24"/>
        </w:rPr>
      </w:pPr>
      <w:r>
        <w:rPr>
          <w:rFonts w:hint="eastAsia"/>
          <w:color w:val="000000"/>
          <w:sz w:val="24"/>
          <w:szCs w:val="24"/>
        </w:rPr>
        <w:t>评标委员会判断投标人的投标报价是否低于其成本，所参考的评审依据包括：</w:t>
      </w:r>
    </w:p>
    <w:p>
      <w:pPr>
        <w:spacing w:line="480" w:lineRule="auto"/>
        <w:ind w:firstLine="480" w:firstLineChars="200"/>
        <w:rPr>
          <w:color w:val="000000"/>
          <w:sz w:val="24"/>
          <w:szCs w:val="24"/>
        </w:rPr>
      </w:pPr>
      <w:r>
        <w:rPr>
          <w:rFonts w:hint="eastAsia"/>
          <w:color w:val="000000"/>
          <w:sz w:val="24"/>
          <w:szCs w:val="24"/>
        </w:rPr>
        <w:t>（1）    招标文件；</w:t>
      </w:r>
    </w:p>
    <w:p>
      <w:pPr>
        <w:spacing w:line="480" w:lineRule="auto"/>
        <w:ind w:firstLine="480" w:firstLineChars="200"/>
        <w:rPr>
          <w:color w:val="000000"/>
          <w:sz w:val="24"/>
          <w:szCs w:val="24"/>
        </w:rPr>
      </w:pPr>
      <w:r>
        <w:rPr>
          <w:rFonts w:hint="eastAsia"/>
          <w:color w:val="000000"/>
          <w:sz w:val="24"/>
          <w:szCs w:val="24"/>
        </w:rPr>
        <w:t>（2）    标底或招标控制价（如果有）；</w:t>
      </w:r>
    </w:p>
    <w:p>
      <w:pPr>
        <w:spacing w:line="480" w:lineRule="auto"/>
        <w:ind w:firstLine="480" w:firstLineChars="200"/>
        <w:rPr>
          <w:color w:val="000000"/>
          <w:sz w:val="24"/>
          <w:szCs w:val="24"/>
        </w:rPr>
      </w:pPr>
      <w:r>
        <w:rPr>
          <w:rFonts w:hint="eastAsia"/>
          <w:color w:val="000000"/>
          <w:sz w:val="24"/>
          <w:szCs w:val="24"/>
        </w:rPr>
        <w:t>（3）    施工组织设计；</w:t>
      </w:r>
    </w:p>
    <w:p>
      <w:pPr>
        <w:spacing w:line="480" w:lineRule="auto"/>
        <w:ind w:firstLine="480" w:firstLineChars="200"/>
        <w:rPr>
          <w:color w:val="000000"/>
          <w:sz w:val="24"/>
          <w:szCs w:val="24"/>
        </w:rPr>
      </w:pPr>
      <w:r>
        <w:rPr>
          <w:rFonts w:hint="eastAsia"/>
          <w:color w:val="000000"/>
          <w:sz w:val="24"/>
          <w:szCs w:val="24"/>
        </w:rPr>
        <w:t>（4）    投标人已标价的工程量清单；</w:t>
      </w:r>
    </w:p>
    <w:p>
      <w:pPr>
        <w:spacing w:line="480" w:lineRule="auto"/>
        <w:ind w:firstLine="480" w:firstLineChars="200"/>
        <w:rPr>
          <w:color w:val="000000"/>
          <w:sz w:val="24"/>
          <w:szCs w:val="24"/>
        </w:rPr>
      </w:pPr>
      <w:r>
        <w:rPr>
          <w:rFonts w:hint="eastAsia"/>
          <w:color w:val="000000"/>
          <w:sz w:val="24"/>
          <w:szCs w:val="24"/>
        </w:rPr>
        <w:t>（5）    工程所在地工程造价管理部门颁布的工程造价信息（如果有）；</w:t>
      </w:r>
    </w:p>
    <w:p>
      <w:pPr>
        <w:spacing w:line="480" w:lineRule="auto"/>
        <w:ind w:firstLine="480" w:firstLineChars="200"/>
        <w:rPr>
          <w:color w:val="000000"/>
          <w:sz w:val="24"/>
          <w:szCs w:val="24"/>
        </w:rPr>
      </w:pPr>
      <w:r>
        <w:rPr>
          <w:rFonts w:hint="eastAsia"/>
          <w:color w:val="000000"/>
          <w:sz w:val="24"/>
          <w:szCs w:val="24"/>
        </w:rPr>
        <w:t>（6）    工程所在地市场价格水平；</w:t>
      </w:r>
    </w:p>
    <w:p>
      <w:pPr>
        <w:spacing w:line="480" w:lineRule="auto"/>
        <w:ind w:firstLine="480" w:firstLineChars="200"/>
        <w:rPr>
          <w:color w:val="000000"/>
          <w:sz w:val="24"/>
          <w:szCs w:val="24"/>
        </w:rPr>
      </w:pPr>
      <w:r>
        <w:rPr>
          <w:rFonts w:hint="eastAsia"/>
          <w:color w:val="000000"/>
          <w:sz w:val="24"/>
          <w:szCs w:val="24"/>
        </w:rPr>
        <w:t>（7）    工程所在地工程造价管理部门颁布的定额或投标人企业定额；</w:t>
      </w:r>
    </w:p>
    <w:p>
      <w:pPr>
        <w:spacing w:line="480" w:lineRule="auto"/>
        <w:ind w:firstLine="480" w:firstLineChars="200"/>
        <w:rPr>
          <w:color w:val="000000"/>
          <w:sz w:val="24"/>
          <w:szCs w:val="24"/>
        </w:rPr>
      </w:pPr>
      <w:r>
        <w:rPr>
          <w:rFonts w:hint="eastAsia"/>
          <w:color w:val="000000"/>
          <w:sz w:val="24"/>
          <w:szCs w:val="24"/>
        </w:rPr>
        <w:t>（8）    经审计的企业近三年财务报表；</w:t>
      </w:r>
    </w:p>
    <w:p>
      <w:pPr>
        <w:spacing w:line="480" w:lineRule="auto"/>
        <w:ind w:firstLine="480" w:firstLineChars="200"/>
        <w:rPr>
          <w:color w:val="000000"/>
          <w:sz w:val="24"/>
          <w:szCs w:val="24"/>
        </w:rPr>
      </w:pPr>
      <w:r>
        <w:rPr>
          <w:rFonts w:hint="eastAsia"/>
          <w:color w:val="000000"/>
          <w:sz w:val="24"/>
          <w:szCs w:val="24"/>
        </w:rPr>
        <w:t>（9）    投标人所附其他证明资料；</w:t>
      </w:r>
    </w:p>
    <w:p>
      <w:pPr>
        <w:spacing w:line="480" w:lineRule="auto"/>
        <w:ind w:firstLine="480" w:firstLineChars="200"/>
        <w:rPr>
          <w:color w:val="000000"/>
          <w:sz w:val="24"/>
          <w:szCs w:val="24"/>
        </w:rPr>
      </w:pPr>
      <w:r>
        <w:rPr>
          <w:rFonts w:hint="eastAsia"/>
          <w:color w:val="000000"/>
          <w:sz w:val="24"/>
          <w:szCs w:val="24"/>
        </w:rPr>
        <w:t>（10）   法律法规允许的和招标文件规定的参考依据等。</w:t>
      </w:r>
    </w:p>
    <w:p>
      <w:pPr>
        <w:spacing w:line="480" w:lineRule="auto"/>
        <w:rPr>
          <w:b/>
          <w:color w:val="000000"/>
          <w:sz w:val="24"/>
          <w:szCs w:val="24"/>
        </w:rPr>
      </w:pPr>
      <w:r>
        <w:rPr>
          <w:rFonts w:hint="eastAsia"/>
          <w:b/>
          <w:color w:val="000000"/>
          <w:sz w:val="24"/>
          <w:szCs w:val="24"/>
        </w:rPr>
        <w:t>D3.算术性错误分析和修正</w:t>
      </w:r>
    </w:p>
    <w:p>
      <w:pPr>
        <w:spacing w:line="480" w:lineRule="auto"/>
        <w:ind w:firstLine="480" w:firstLineChars="200"/>
        <w:rPr>
          <w:color w:val="000000"/>
          <w:sz w:val="24"/>
          <w:szCs w:val="24"/>
        </w:rPr>
      </w:pPr>
      <w:r>
        <w:rPr>
          <w:rFonts w:hint="eastAsia"/>
          <w:color w:val="000000"/>
          <w:sz w:val="24"/>
          <w:szCs w:val="24"/>
        </w:rPr>
        <w:t>评标委员会对已标价工程量清单进行逐项分析，根据本章第3.1.3项规定的原则，对投标报价中的算术性错误进行修正，按附表D-1的格式记录分析和修正的结果。</w:t>
      </w:r>
    </w:p>
    <w:p>
      <w:pPr>
        <w:spacing w:line="480" w:lineRule="auto"/>
        <w:ind w:firstLine="480" w:firstLineChars="200"/>
        <w:rPr>
          <w:color w:val="000000"/>
          <w:sz w:val="24"/>
          <w:szCs w:val="24"/>
        </w:rPr>
      </w:pPr>
      <w:r>
        <w:rPr>
          <w:rFonts w:hint="eastAsia"/>
          <w:color w:val="000000"/>
          <w:sz w:val="24"/>
          <w:szCs w:val="24"/>
        </w:rPr>
        <w:t>汇总修正结果，将经修正后产生的价格差额记为A值（此值应为代数值，修正结果表明理论上应当增加投标人的投标报价（投标总价）的修正差额记为正值，反之记为负值，下同），同时整理需要投标人澄清和说明的事项。</w:t>
      </w:r>
    </w:p>
    <w:p>
      <w:pPr>
        <w:spacing w:line="480" w:lineRule="auto"/>
        <w:rPr>
          <w:b/>
          <w:color w:val="000000"/>
          <w:sz w:val="24"/>
          <w:szCs w:val="24"/>
        </w:rPr>
      </w:pPr>
      <w:r>
        <w:rPr>
          <w:rFonts w:hint="eastAsia"/>
          <w:b/>
          <w:color w:val="000000"/>
          <w:sz w:val="24"/>
          <w:szCs w:val="24"/>
        </w:rPr>
        <w:t>D4.错漏项分析和修正</w:t>
      </w:r>
    </w:p>
    <w:p>
      <w:pPr>
        <w:spacing w:line="480" w:lineRule="auto"/>
        <w:rPr>
          <w:b/>
          <w:color w:val="000000"/>
          <w:sz w:val="24"/>
          <w:szCs w:val="24"/>
        </w:rPr>
      </w:pPr>
      <w:r>
        <w:rPr>
          <w:rFonts w:hint="eastAsia"/>
          <w:b/>
          <w:color w:val="000000"/>
          <w:sz w:val="24"/>
          <w:szCs w:val="24"/>
        </w:rPr>
        <w:t>D4.1错漏项分析和修正的原则</w:t>
      </w:r>
    </w:p>
    <w:p>
      <w:pPr>
        <w:spacing w:line="480" w:lineRule="auto"/>
        <w:ind w:firstLine="480" w:firstLineChars="200"/>
        <w:rPr>
          <w:color w:val="000000"/>
          <w:sz w:val="24"/>
          <w:szCs w:val="24"/>
        </w:rPr>
      </w:pPr>
      <w:r>
        <w:rPr>
          <w:rFonts w:hint="eastAsia"/>
          <w:color w:val="000000"/>
          <w:sz w:val="24"/>
          <w:szCs w:val="24"/>
        </w:rPr>
        <w:t>评标委员会分析投标人已标价工程量清单，列出其中错报或漏报的子目，并按以下原则进行修正：</w:t>
      </w:r>
    </w:p>
    <w:p>
      <w:pPr>
        <w:spacing w:line="480" w:lineRule="auto"/>
        <w:ind w:firstLine="480" w:firstLineChars="200"/>
        <w:rPr>
          <w:color w:val="000000"/>
          <w:sz w:val="24"/>
          <w:szCs w:val="24"/>
        </w:rPr>
      </w:pPr>
      <w:r>
        <w:rPr>
          <w:rFonts w:hint="eastAsia"/>
          <w:color w:val="000000"/>
          <w:sz w:val="24"/>
          <w:szCs w:val="24"/>
        </w:rPr>
        <w:t>如果评标委员会认为投标人递交的投标文件中有相同的并且投标人已经给出合适报价的子目，则按该相同子目的价格对错漏项报价进行修正；</w:t>
      </w:r>
    </w:p>
    <w:p>
      <w:pPr>
        <w:spacing w:line="480" w:lineRule="auto"/>
        <w:ind w:firstLine="480" w:firstLineChars="200"/>
        <w:rPr>
          <w:color w:val="000000"/>
          <w:sz w:val="24"/>
          <w:szCs w:val="24"/>
        </w:rPr>
      </w:pPr>
      <w:r>
        <w:rPr>
          <w:rFonts w:hint="eastAsia"/>
          <w:color w:val="000000"/>
          <w:sz w:val="24"/>
          <w:szCs w:val="24"/>
        </w:rPr>
        <w:t>如果评标委员会认为投标人递交的投标文件中有相似的并且投标人已经给出合适报价的子目，则按该相似子目的报价为基础，考虑该相似子目与错漏项之间的差异而进行适当调整后的价格对错漏项报价进行修正；</w:t>
      </w:r>
    </w:p>
    <w:p>
      <w:pPr>
        <w:spacing w:line="480" w:lineRule="auto"/>
        <w:ind w:firstLine="504" w:firstLineChars="200"/>
        <w:rPr>
          <w:color w:val="000000"/>
          <w:sz w:val="24"/>
          <w:szCs w:val="24"/>
        </w:rPr>
      </w:pPr>
      <w:r>
        <w:rPr>
          <w:rFonts w:hint="eastAsia"/>
          <w:color w:val="000000"/>
          <w:spacing w:val="6"/>
          <w:sz w:val="24"/>
          <w:szCs w:val="24"/>
        </w:rPr>
        <w:t>如果做不到以上两点，则按标底（如果有）中的相应价格为基础对错漏项报价进行修</w:t>
      </w:r>
      <w:r>
        <w:rPr>
          <w:rFonts w:hint="eastAsia"/>
          <w:color w:val="000000"/>
          <w:sz w:val="24"/>
          <w:szCs w:val="24"/>
        </w:rPr>
        <w:t>正；</w:t>
      </w:r>
    </w:p>
    <w:p>
      <w:pPr>
        <w:spacing w:line="480" w:lineRule="auto"/>
        <w:ind w:firstLine="480" w:firstLineChars="200"/>
        <w:rPr>
          <w:color w:val="000000"/>
          <w:sz w:val="24"/>
          <w:szCs w:val="24"/>
        </w:rPr>
      </w:pPr>
      <w:r>
        <w:rPr>
          <w:rFonts w:hint="eastAsia"/>
          <w:color w:val="000000"/>
          <w:sz w:val="24"/>
          <w:szCs w:val="24"/>
        </w:rPr>
        <w:t>如果没有标底或者标底中也没有相同或相似价格作为参考，评标委员会可以要求投标人在澄清和说明时给出相应的修正价格。此时评标委员会应对此类价格的合理性进行分析，评标委员会可以在分析的基础上要求投标人进一步澄清和说明，评标委员会也可以按不利于该投标人的原则，以其他有效投标报价中该项最高报价作为修正价格；</w:t>
      </w:r>
    </w:p>
    <w:p>
      <w:pPr>
        <w:spacing w:line="480" w:lineRule="auto"/>
        <w:ind w:firstLine="480" w:firstLineChars="200"/>
        <w:rPr>
          <w:color w:val="000000"/>
          <w:sz w:val="24"/>
          <w:szCs w:val="24"/>
        </w:rPr>
      </w:pPr>
      <w:r>
        <w:rPr>
          <w:rFonts w:hint="eastAsia"/>
          <w:color w:val="000000"/>
          <w:sz w:val="24"/>
          <w:szCs w:val="24"/>
        </w:rPr>
        <w:t>对超出招标范围报价的子目，则直接删除该子目的价格。</w:t>
      </w:r>
    </w:p>
    <w:p>
      <w:pPr>
        <w:spacing w:line="480" w:lineRule="auto"/>
        <w:rPr>
          <w:b/>
          <w:color w:val="000000"/>
          <w:sz w:val="24"/>
          <w:szCs w:val="24"/>
        </w:rPr>
      </w:pPr>
      <w:r>
        <w:rPr>
          <w:rFonts w:hint="eastAsia"/>
          <w:b/>
          <w:color w:val="000000"/>
          <w:sz w:val="24"/>
          <w:szCs w:val="24"/>
        </w:rPr>
        <w:t>D4.2错漏项分析和修正的方法</w:t>
      </w:r>
    </w:p>
    <w:p>
      <w:pPr>
        <w:spacing w:line="480" w:lineRule="auto"/>
        <w:ind w:firstLine="480" w:firstLineChars="200"/>
        <w:rPr>
          <w:color w:val="000000"/>
          <w:sz w:val="24"/>
          <w:szCs w:val="24"/>
        </w:rPr>
      </w:pPr>
      <w:r>
        <w:rPr>
          <w:rFonts w:hint="eastAsia"/>
          <w:color w:val="000000"/>
          <w:sz w:val="24"/>
          <w:szCs w:val="24"/>
        </w:rPr>
        <w:t>错漏项分析和修正的方法如下：</w:t>
      </w:r>
    </w:p>
    <w:p>
      <w:pPr>
        <w:spacing w:line="480" w:lineRule="auto"/>
        <w:ind w:firstLine="480" w:firstLineChars="200"/>
        <w:rPr>
          <w:color w:val="000000"/>
          <w:sz w:val="24"/>
          <w:szCs w:val="24"/>
        </w:rPr>
      </w:pPr>
      <w:r>
        <w:rPr>
          <w:rFonts w:hint="eastAsia"/>
          <w:color w:val="000000"/>
          <w:sz w:val="24"/>
          <w:szCs w:val="24"/>
        </w:rPr>
        <w:t>根据上述原则，修正错报和补充漏报子目的价格；</w:t>
      </w:r>
    </w:p>
    <w:p>
      <w:pPr>
        <w:spacing w:line="480" w:lineRule="auto"/>
        <w:ind w:firstLine="480" w:firstLineChars="200"/>
        <w:rPr>
          <w:color w:val="000000"/>
          <w:sz w:val="24"/>
          <w:szCs w:val="24"/>
        </w:rPr>
      </w:pPr>
      <w:r>
        <w:rPr>
          <w:rFonts w:hint="eastAsia"/>
          <w:color w:val="000000"/>
          <w:sz w:val="24"/>
          <w:szCs w:val="24"/>
        </w:rPr>
        <w:t>填写附表D-2，计算经修正或补充后产生的价格差额。汇总上述结果，将经修正后产生的价格差额记为B值，并明确需要投标人澄清和说明的事项。</w:t>
      </w:r>
    </w:p>
    <w:p>
      <w:pPr>
        <w:spacing w:line="480" w:lineRule="auto"/>
        <w:rPr>
          <w:b/>
          <w:color w:val="000000"/>
          <w:sz w:val="24"/>
          <w:szCs w:val="24"/>
        </w:rPr>
      </w:pPr>
      <w:r>
        <w:rPr>
          <w:rFonts w:hint="eastAsia"/>
          <w:b/>
          <w:color w:val="000000"/>
          <w:sz w:val="24"/>
          <w:szCs w:val="24"/>
        </w:rPr>
        <w:t>D5.分部分项工程量清单部分价格合理性分析和修正</w:t>
      </w:r>
    </w:p>
    <w:p>
      <w:pPr>
        <w:spacing w:line="480" w:lineRule="auto"/>
        <w:rPr>
          <w:b/>
          <w:color w:val="000000"/>
          <w:sz w:val="24"/>
          <w:szCs w:val="24"/>
        </w:rPr>
      </w:pPr>
      <w:r>
        <w:rPr>
          <w:rFonts w:hint="eastAsia"/>
          <w:b/>
          <w:color w:val="000000"/>
          <w:sz w:val="24"/>
          <w:szCs w:val="24"/>
        </w:rPr>
        <w:t>D5.1分部分项工程量清单部分价格分析和修正的原则</w:t>
      </w:r>
    </w:p>
    <w:p>
      <w:pPr>
        <w:spacing w:line="480" w:lineRule="auto"/>
        <w:ind w:firstLine="480" w:firstLineChars="200"/>
        <w:rPr>
          <w:color w:val="000000"/>
          <w:sz w:val="24"/>
          <w:szCs w:val="24"/>
        </w:rPr>
      </w:pPr>
      <w:r>
        <w:rPr>
          <w:rFonts w:hint="eastAsia"/>
          <w:color w:val="000000"/>
          <w:sz w:val="24"/>
          <w:szCs w:val="24"/>
        </w:rPr>
        <w:t>分部分项工程量清单部分价格分析和修正的原则如下：</w:t>
      </w:r>
    </w:p>
    <w:p>
      <w:pPr>
        <w:spacing w:line="480" w:lineRule="auto"/>
        <w:ind w:firstLine="480" w:firstLineChars="200"/>
        <w:rPr>
          <w:color w:val="000000"/>
          <w:sz w:val="24"/>
          <w:szCs w:val="24"/>
        </w:rPr>
      </w:pPr>
      <w:r>
        <w:rPr>
          <w:rFonts w:hint="eastAsia"/>
          <w:color w:val="000000"/>
          <w:sz w:val="24"/>
          <w:szCs w:val="24"/>
        </w:rPr>
        <w:t>如果评标委员会认为投标人递交的投标文件中有相同的并且投标人已经给出合适报价的子目，则按该相同子目的价格对评标委员会认为不合理报价子目的报价进行修正；</w:t>
      </w:r>
    </w:p>
    <w:p>
      <w:pPr>
        <w:spacing w:line="480" w:lineRule="auto"/>
        <w:ind w:firstLine="480" w:firstLineChars="200"/>
        <w:rPr>
          <w:color w:val="000000"/>
          <w:sz w:val="24"/>
          <w:szCs w:val="24"/>
        </w:rPr>
      </w:pPr>
      <w:r>
        <w:rPr>
          <w:rFonts w:hint="eastAsia"/>
          <w:color w:val="000000"/>
          <w:sz w:val="24"/>
          <w:szCs w:val="24"/>
        </w:rPr>
        <w:t>如果评标委员会认为投标人递交的投标文件中有相似的并且投标人已经给出合适报价的子目，则按该相似子目的报价为基础，考虑该相似子目与不合理子目之间的差异而进行适当调整后的价格对评标委员会认为不合理报价子目的报价进行修正；</w:t>
      </w:r>
    </w:p>
    <w:p>
      <w:pPr>
        <w:spacing w:line="480" w:lineRule="auto"/>
        <w:ind w:firstLine="480" w:firstLineChars="200"/>
        <w:rPr>
          <w:color w:val="000000"/>
          <w:sz w:val="24"/>
          <w:szCs w:val="24"/>
        </w:rPr>
      </w:pPr>
      <w:r>
        <w:rPr>
          <w:rFonts w:hint="eastAsia"/>
          <w:color w:val="000000"/>
          <w:sz w:val="24"/>
          <w:szCs w:val="24"/>
        </w:rPr>
        <w:t>如果做不到以上两点，则按标底（如果有）中的相应价格为基础对评标委员会认为不合理报价子目的报价进行修正；</w:t>
      </w:r>
    </w:p>
    <w:p>
      <w:pPr>
        <w:spacing w:line="480" w:lineRule="auto"/>
        <w:ind w:firstLine="480" w:firstLineChars="200"/>
        <w:rPr>
          <w:color w:val="000000"/>
          <w:sz w:val="24"/>
          <w:szCs w:val="24"/>
        </w:rPr>
      </w:pPr>
      <w:r>
        <w:rPr>
          <w:rFonts w:hint="eastAsia"/>
          <w:color w:val="000000"/>
          <w:sz w:val="24"/>
          <w:szCs w:val="24"/>
        </w:rPr>
        <w:t>如果没有标底或者标底中也没有相同或相似价格作为参考，评标委员会可以要求投标人在澄清和说明时给出相应的修正价格。此时评标委员会应对此类价格的合理性进行分析，并在分析的基础上要求投标人进一步澄清和说明（如果评标委员会认为需要）。</w:t>
      </w:r>
    </w:p>
    <w:p>
      <w:pPr>
        <w:spacing w:line="480" w:lineRule="auto"/>
        <w:rPr>
          <w:b/>
          <w:color w:val="000000"/>
          <w:sz w:val="24"/>
          <w:szCs w:val="24"/>
        </w:rPr>
      </w:pPr>
      <w:r>
        <w:rPr>
          <w:rFonts w:hint="eastAsia"/>
          <w:b/>
          <w:color w:val="000000"/>
          <w:sz w:val="24"/>
          <w:szCs w:val="24"/>
        </w:rPr>
        <w:t>D5.2  分部分项工程量清单部分价格分析和修正的方法</w:t>
      </w:r>
    </w:p>
    <w:p>
      <w:pPr>
        <w:spacing w:line="480" w:lineRule="auto"/>
        <w:ind w:firstLine="480" w:firstLineChars="200"/>
        <w:rPr>
          <w:color w:val="000000"/>
          <w:sz w:val="24"/>
          <w:szCs w:val="24"/>
        </w:rPr>
      </w:pPr>
      <w:r>
        <w:rPr>
          <w:rFonts w:hint="eastAsia"/>
          <w:color w:val="000000"/>
          <w:sz w:val="24"/>
          <w:szCs w:val="24"/>
        </w:rPr>
        <w:t>分部分项工程量清单部分价格分析和修正的方法如下：</w:t>
      </w:r>
    </w:p>
    <w:p>
      <w:pPr>
        <w:spacing w:line="480" w:lineRule="auto"/>
        <w:ind w:firstLine="480" w:firstLineChars="200"/>
        <w:rPr>
          <w:color w:val="000000"/>
          <w:sz w:val="24"/>
          <w:szCs w:val="24"/>
        </w:rPr>
      </w:pPr>
      <w:r>
        <w:rPr>
          <w:rFonts w:hint="eastAsia"/>
          <w:color w:val="000000"/>
          <w:sz w:val="24"/>
          <w:szCs w:val="24"/>
        </w:rPr>
        <w:t>按附表D-3的格式对与市场价格水平存在明显差异的子目进行逐项分析、修正：</w:t>
      </w:r>
    </w:p>
    <w:p>
      <w:pPr>
        <w:spacing w:line="480" w:lineRule="auto"/>
        <w:ind w:firstLine="480" w:firstLineChars="200"/>
        <w:rPr>
          <w:color w:val="000000"/>
          <w:sz w:val="24"/>
          <w:szCs w:val="24"/>
        </w:rPr>
      </w:pPr>
      <w:r>
        <w:rPr>
          <w:rFonts w:hint="eastAsia"/>
          <w:color w:val="000000"/>
          <w:sz w:val="24"/>
          <w:szCs w:val="24"/>
        </w:rPr>
        <w:t>计算修正后的差额，汇总分析结果，将经修正后产生的价格差额记为C值，同时整理需要投标人澄清和说明的事项。</w:t>
      </w:r>
    </w:p>
    <w:p>
      <w:pPr>
        <w:spacing w:line="480" w:lineRule="auto"/>
        <w:rPr>
          <w:b/>
          <w:color w:val="000000"/>
          <w:sz w:val="24"/>
          <w:szCs w:val="24"/>
        </w:rPr>
      </w:pPr>
      <w:r>
        <w:rPr>
          <w:rFonts w:hint="eastAsia"/>
          <w:b/>
          <w:color w:val="000000"/>
          <w:sz w:val="24"/>
          <w:szCs w:val="24"/>
        </w:rPr>
        <w:t>D6.措施项目清单和其他项目清单部分价格合理性分析和修正</w:t>
      </w:r>
    </w:p>
    <w:p>
      <w:pPr>
        <w:spacing w:line="480" w:lineRule="auto"/>
        <w:rPr>
          <w:b/>
          <w:color w:val="000000"/>
          <w:sz w:val="24"/>
          <w:szCs w:val="24"/>
        </w:rPr>
      </w:pPr>
      <w:r>
        <w:rPr>
          <w:rFonts w:hint="eastAsia"/>
          <w:b/>
          <w:color w:val="000000"/>
          <w:sz w:val="24"/>
          <w:szCs w:val="24"/>
        </w:rPr>
        <w:t>D6.1措施项目清单和其他项目清单部分分析和修正的原则</w:t>
      </w:r>
    </w:p>
    <w:p>
      <w:pPr>
        <w:spacing w:line="480" w:lineRule="auto"/>
        <w:ind w:firstLine="480" w:firstLineChars="200"/>
        <w:rPr>
          <w:color w:val="000000"/>
          <w:sz w:val="24"/>
          <w:szCs w:val="24"/>
        </w:rPr>
      </w:pPr>
      <w:r>
        <w:rPr>
          <w:rFonts w:hint="eastAsia"/>
          <w:color w:val="000000"/>
          <w:sz w:val="24"/>
          <w:szCs w:val="24"/>
        </w:rPr>
        <w:t>措施项目清单和其他项目清单部分分析和修正的原则如下：</w:t>
      </w:r>
    </w:p>
    <w:p>
      <w:pPr>
        <w:spacing w:line="480" w:lineRule="auto"/>
        <w:ind w:firstLine="480" w:firstLineChars="200"/>
        <w:rPr>
          <w:color w:val="000000"/>
          <w:sz w:val="24"/>
          <w:szCs w:val="24"/>
        </w:rPr>
      </w:pPr>
      <w:r>
        <w:rPr>
          <w:rFonts w:hint="eastAsia"/>
          <w:color w:val="000000"/>
          <w:sz w:val="24"/>
          <w:szCs w:val="24"/>
        </w:rPr>
        <w:t>措施项目清单报价中的资源投入数量不正确或不合理的，按照投标人递交的施工组织设计中明确的或者可以通过施工组织设计中给出的相关数据计算出来的计划投入的资源数量（如临时设施、拟派现场管理人员流量计划、施工机械设备投入计划等）修正措施项目清单报价中不合理的资源投入数量；</w:t>
      </w:r>
    </w:p>
    <w:p>
      <w:pPr>
        <w:spacing w:line="480" w:lineRule="auto"/>
        <w:ind w:firstLine="480" w:firstLineChars="200"/>
        <w:rPr>
          <w:color w:val="000000"/>
          <w:sz w:val="24"/>
          <w:szCs w:val="24"/>
        </w:rPr>
      </w:pPr>
      <w:r>
        <w:rPr>
          <w:rFonts w:hint="eastAsia"/>
          <w:color w:val="000000"/>
          <w:sz w:val="24"/>
          <w:szCs w:val="24"/>
        </w:rPr>
        <w:t>措施项目清单报价中的资源和生产要素价格不合理的，如果评标委员会认为投标人递交的投标文件中有相似的并且投标人已经给出合适报价的子目，则按该相似子目的报价为基础，考虑该相似子目与不合理报价子目之间的差异而进行适当调整后的价格对不合理报价子目的资源或生产要素的价格进行修正；</w:t>
      </w:r>
    </w:p>
    <w:p>
      <w:pPr>
        <w:spacing w:line="480" w:lineRule="auto"/>
        <w:ind w:firstLine="480" w:firstLineChars="200"/>
        <w:rPr>
          <w:color w:val="000000"/>
          <w:sz w:val="24"/>
          <w:szCs w:val="24"/>
        </w:rPr>
      </w:pPr>
      <w:r>
        <w:rPr>
          <w:rFonts w:hint="eastAsia"/>
          <w:color w:val="000000"/>
          <w:sz w:val="24"/>
          <w:szCs w:val="24"/>
        </w:rPr>
        <w:t>其他情况下，按标底（如果有）中的相应价格为基础对措施项目和其他项目清单中的不合理报价进行修正；</w:t>
      </w:r>
    </w:p>
    <w:p>
      <w:pPr>
        <w:spacing w:line="480" w:lineRule="auto"/>
        <w:ind w:firstLine="480" w:firstLineChars="200"/>
        <w:rPr>
          <w:color w:val="000000"/>
          <w:sz w:val="24"/>
          <w:szCs w:val="24"/>
        </w:rPr>
      </w:pPr>
      <w:r>
        <w:rPr>
          <w:rFonts w:hint="eastAsia"/>
          <w:color w:val="000000"/>
          <w:sz w:val="24"/>
          <w:szCs w:val="24"/>
        </w:rPr>
        <w:t>如果没有标底或者标底中也没有相同或相似价格作为参考，评标委员会可以要求投标人在澄清和说明时给出相应的修正价格。此时评标委员会应对此类价格的合理性进行分析，并在分析的基础上要求投标人进一步澄清和说明（如果评标委员会认为需要）；</w:t>
      </w:r>
    </w:p>
    <w:p>
      <w:pPr>
        <w:spacing w:line="480" w:lineRule="auto"/>
        <w:ind w:firstLine="480" w:firstLineChars="200"/>
        <w:rPr>
          <w:color w:val="000000"/>
          <w:sz w:val="24"/>
          <w:szCs w:val="24"/>
        </w:rPr>
      </w:pPr>
      <w:r>
        <w:rPr>
          <w:rFonts w:hint="eastAsia"/>
          <w:color w:val="000000"/>
          <w:sz w:val="24"/>
          <w:szCs w:val="24"/>
        </w:rPr>
        <w:t>对于按照招标文件不应当报价的子目，则直接删除该子目的价格。</w:t>
      </w:r>
    </w:p>
    <w:p>
      <w:pPr>
        <w:spacing w:line="480" w:lineRule="auto"/>
        <w:rPr>
          <w:b/>
          <w:color w:val="000000"/>
          <w:sz w:val="24"/>
          <w:szCs w:val="24"/>
        </w:rPr>
      </w:pPr>
      <w:r>
        <w:rPr>
          <w:rFonts w:hint="eastAsia"/>
          <w:b/>
          <w:color w:val="000000"/>
          <w:sz w:val="24"/>
          <w:szCs w:val="24"/>
        </w:rPr>
        <w:t>D6.2  措施项目清单和其他项目清单部分分析和修正</w:t>
      </w:r>
    </w:p>
    <w:p>
      <w:pPr>
        <w:spacing w:line="480" w:lineRule="auto"/>
        <w:ind w:firstLine="480" w:firstLineChars="200"/>
        <w:rPr>
          <w:color w:val="000000"/>
          <w:sz w:val="24"/>
          <w:szCs w:val="24"/>
        </w:rPr>
      </w:pPr>
      <w:r>
        <w:rPr>
          <w:rFonts w:hint="eastAsia"/>
          <w:color w:val="000000"/>
          <w:sz w:val="24"/>
          <w:szCs w:val="24"/>
        </w:rPr>
        <w:t>措施项目清单和其他项目清单部分分析和修正的方法如下：</w:t>
      </w:r>
    </w:p>
    <w:p>
      <w:pPr>
        <w:spacing w:line="480" w:lineRule="auto"/>
        <w:ind w:firstLine="480" w:firstLineChars="200"/>
        <w:rPr>
          <w:color w:val="000000"/>
          <w:sz w:val="24"/>
          <w:szCs w:val="24"/>
        </w:rPr>
      </w:pPr>
      <w:r>
        <w:rPr>
          <w:rFonts w:hint="eastAsia"/>
          <w:color w:val="000000"/>
          <w:sz w:val="24"/>
          <w:szCs w:val="24"/>
        </w:rPr>
        <w:t>按附表D-4格式对措施项目清单和其他项目清单进行逐项分析、修正；</w:t>
      </w:r>
    </w:p>
    <w:p>
      <w:pPr>
        <w:spacing w:line="480" w:lineRule="auto"/>
        <w:ind w:firstLine="480" w:firstLineChars="200"/>
        <w:rPr>
          <w:color w:val="000000"/>
          <w:sz w:val="24"/>
          <w:szCs w:val="24"/>
        </w:rPr>
      </w:pPr>
      <w:r>
        <w:rPr>
          <w:rFonts w:hint="eastAsia"/>
          <w:color w:val="000000"/>
          <w:sz w:val="24"/>
          <w:szCs w:val="24"/>
        </w:rPr>
        <w:t>计算修正后的差额，汇总分析结果，将经修正后产生的价格差额记为D值，同时整理需要投标人澄清和说明的事项。</w:t>
      </w:r>
    </w:p>
    <w:p>
      <w:pPr>
        <w:spacing w:line="480" w:lineRule="auto"/>
        <w:rPr>
          <w:b/>
          <w:color w:val="000000"/>
          <w:sz w:val="24"/>
          <w:szCs w:val="24"/>
        </w:rPr>
      </w:pPr>
      <w:r>
        <w:rPr>
          <w:rFonts w:hint="eastAsia"/>
          <w:b/>
          <w:color w:val="000000"/>
          <w:sz w:val="24"/>
          <w:szCs w:val="24"/>
        </w:rPr>
        <w:t>D7.企业管理费合理性分析和修正</w:t>
      </w:r>
    </w:p>
    <w:p>
      <w:pPr>
        <w:spacing w:line="480" w:lineRule="auto"/>
        <w:rPr>
          <w:b/>
          <w:color w:val="000000"/>
          <w:sz w:val="24"/>
          <w:szCs w:val="24"/>
        </w:rPr>
      </w:pPr>
      <w:r>
        <w:rPr>
          <w:rFonts w:hint="eastAsia"/>
          <w:b/>
          <w:color w:val="000000"/>
          <w:sz w:val="24"/>
          <w:szCs w:val="24"/>
        </w:rPr>
        <w:t>D7.1企业管理费分析和修正的原则</w:t>
      </w:r>
    </w:p>
    <w:p>
      <w:pPr>
        <w:spacing w:line="480" w:lineRule="auto"/>
        <w:ind w:firstLine="480" w:firstLineChars="200"/>
        <w:rPr>
          <w:color w:val="000000"/>
          <w:sz w:val="24"/>
          <w:szCs w:val="24"/>
        </w:rPr>
      </w:pPr>
      <w:r>
        <w:rPr>
          <w:rFonts w:hint="eastAsia"/>
          <w:color w:val="000000"/>
          <w:sz w:val="24"/>
          <w:szCs w:val="24"/>
        </w:rPr>
        <w:t>企业管理费分析和修正的原则如下：</w:t>
      </w:r>
    </w:p>
    <w:p>
      <w:pPr>
        <w:spacing w:line="480" w:lineRule="auto"/>
        <w:ind w:firstLine="480" w:firstLineChars="200"/>
        <w:rPr>
          <w:color w:val="000000"/>
          <w:sz w:val="24"/>
          <w:szCs w:val="24"/>
        </w:rPr>
      </w:pPr>
      <w:r>
        <w:rPr>
          <w:rFonts w:hint="eastAsia"/>
          <w:color w:val="000000"/>
          <w:sz w:val="24"/>
          <w:szCs w:val="24"/>
        </w:rPr>
        <w:t>按投标人经审计的企业近三年财务报表中的相关数据计算出投标人企业实际的管理费率（近三年企业管理费总额的平均值与近三年完成产值的平均值之间的比例）并以此对投标价格中明显不合理的企业管理费率进行修正；</w:t>
      </w:r>
    </w:p>
    <w:p>
      <w:pPr>
        <w:spacing w:line="480" w:lineRule="auto"/>
        <w:ind w:firstLine="480" w:firstLineChars="200"/>
        <w:rPr>
          <w:color w:val="000000"/>
          <w:sz w:val="24"/>
          <w:szCs w:val="24"/>
        </w:rPr>
      </w:pPr>
      <w:r>
        <w:rPr>
          <w:rFonts w:hint="eastAsia"/>
          <w:color w:val="000000"/>
          <w:sz w:val="24"/>
          <w:szCs w:val="24"/>
        </w:rPr>
        <w:t>企业管理费率明显不合理并且做不到前项时，按其他通过初步评审的各家投标人的企业管理费率以及标底（如果有）中的企业管理费率的平均费率为准进行修正；</w:t>
      </w:r>
    </w:p>
    <w:p>
      <w:pPr>
        <w:spacing w:line="480" w:lineRule="auto"/>
        <w:ind w:firstLine="480" w:firstLineChars="200"/>
        <w:rPr>
          <w:color w:val="000000"/>
          <w:sz w:val="24"/>
          <w:szCs w:val="24"/>
        </w:rPr>
      </w:pPr>
      <w:r>
        <w:rPr>
          <w:rFonts w:hint="eastAsia"/>
          <w:color w:val="000000"/>
          <w:sz w:val="24"/>
          <w:szCs w:val="24"/>
        </w:rPr>
        <w:t>分部分项工程量清单和措施项目清单综合单价分析表中的企业管理费率与费率报价表（如果有）报出的企业管理费率不一致的，以费率报价表（如果有）报出的企业管理费率为准进行修正（但如果费率报价表中的费率明显不合理时，应执行根据上述原则修正后的管理费率）。</w:t>
      </w:r>
    </w:p>
    <w:p>
      <w:pPr>
        <w:spacing w:line="480" w:lineRule="auto"/>
        <w:rPr>
          <w:b/>
          <w:color w:val="000000"/>
          <w:sz w:val="24"/>
          <w:szCs w:val="24"/>
        </w:rPr>
      </w:pPr>
      <w:r>
        <w:rPr>
          <w:rFonts w:hint="eastAsia"/>
          <w:b/>
          <w:color w:val="000000"/>
          <w:sz w:val="24"/>
          <w:szCs w:val="24"/>
        </w:rPr>
        <w:t>D7.2  企业管理费分析和修正的方法</w:t>
      </w:r>
    </w:p>
    <w:p>
      <w:pPr>
        <w:spacing w:line="480" w:lineRule="auto"/>
        <w:ind w:firstLine="480" w:firstLineChars="200"/>
        <w:rPr>
          <w:color w:val="000000"/>
          <w:sz w:val="24"/>
          <w:szCs w:val="24"/>
        </w:rPr>
      </w:pPr>
      <w:r>
        <w:rPr>
          <w:rFonts w:hint="eastAsia"/>
          <w:color w:val="000000"/>
          <w:sz w:val="24"/>
          <w:szCs w:val="24"/>
        </w:rPr>
        <w:t>企业管理费分析和修正的方法如下：</w:t>
      </w:r>
    </w:p>
    <w:p>
      <w:pPr>
        <w:spacing w:line="480" w:lineRule="auto"/>
        <w:ind w:firstLine="480" w:firstLineChars="200"/>
        <w:rPr>
          <w:color w:val="000000"/>
          <w:sz w:val="24"/>
          <w:szCs w:val="24"/>
        </w:rPr>
      </w:pPr>
      <w:r>
        <w:rPr>
          <w:rFonts w:hint="eastAsia"/>
          <w:color w:val="000000"/>
          <w:sz w:val="24"/>
          <w:szCs w:val="24"/>
        </w:rPr>
        <w:t>按附表D-5的格式进行分析和修正；</w:t>
      </w:r>
    </w:p>
    <w:p>
      <w:pPr>
        <w:spacing w:line="480" w:lineRule="auto"/>
        <w:ind w:firstLine="480" w:firstLineChars="200"/>
        <w:rPr>
          <w:color w:val="000000"/>
          <w:sz w:val="24"/>
          <w:szCs w:val="24"/>
        </w:rPr>
      </w:pPr>
      <w:r>
        <w:rPr>
          <w:rFonts w:hint="eastAsia"/>
          <w:color w:val="000000"/>
          <w:sz w:val="24"/>
          <w:szCs w:val="24"/>
        </w:rPr>
        <w:t>汇总分析结果，将经修正后产生的价格差额记为E值，同时整理需要投标人澄清和说明的事项。</w:t>
      </w:r>
    </w:p>
    <w:p>
      <w:pPr>
        <w:spacing w:line="480" w:lineRule="auto"/>
        <w:rPr>
          <w:b/>
          <w:color w:val="000000"/>
          <w:sz w:val="24"/>
          <w:szCs w:val="24"/>
        </w:rPr>
      </w:pPr>
      <w:r>
        <w:rPr>
          <w:rFonts w:hint="eastAsia"/>
          <w:b/>
          <w:color w:val="000000"/>
          <w:sz w:val="24"/>
          <w:szCs w:val="24"/>
        </w:rPr>
        <w:t>D8.利润水平合理性分析和修正</w:t>
      </w:r>
    </w:p>
    <w:p>
      <w:pPr>
        <w:spacing w:line="480" w:lineRule="auto"/>
        <w:rPr>
          <w:b/>
          <w:color w:val="000000"/>
          <w:sz w:val="24"/>
          <w:szCs w:val="24"/>
        </w:rPr>
      </w:pPr>
      <w:r>
        <w:rPr>
          <w:rFonts w:hint="eastAsia"/>
          <w:b/>
          <w:color w:val="000000"/>
          <w:sz w:val="24"/>
          <w:szCs w:val="24"/>
        </w:rPr>
        <w:t>D8.1  利润水平分析和修正的原则</w:t>
      </w:r>
    </w:p>
    <w:p>
      <w:pPr>
        <w:spacing w:line="480" w:lineRule="auto"/>
        <w:ind w:firstLine="480" w:firstLineChars="200"/>
        <w:rPr>
          <w:color w:val="000000"/>
          <w:sz w:val="24"/>
          <w:szCs w:val="24"/>
        </w:rPr>
      </w:pPr>
      <w:r>
        <w:rPr>
          <w:rFonts w:hint="eastAsia"/>
          <w:color w:val="000000"/>
          <w:sz w:val="24"/>
          <w:szCs w:val="24"/>
        </w:rPr>
        <w:t>利润水平分析和修正的原则如下：</w:t>
      </w:r>
    </w:p>
    <w:p>
      <w:pPr>
        <w:spacing w:line="480" w:lineRule="auto"/>
        <w:ind w:firstLine="480" w:firstLineChars="200"/>
        <w:rPr>
          <w:color w:val="000000"/>
          <w:sz w:val="24"/>
          <w:szCs w:val="24"/>
        </w:rPr>
      </w:pPr>
      <w:r>
        <w:rPr>
          <w:rFonts w:hint="eastAsia"/>
          <w:color w:val="000000"/>
          <w:sz w:val="24"/>
          <w:szCs w:val="24"/>
        </w:rPr>
        <w:t>按国有资产管理部门对投标人下达的国有资产增值保值率或投标人公司董事会或股东会要求的企业净资产收益率或股本收益率对投标价格中明显不合理的利润率进行修正；</w:t>
      </w:r>
    </w:p>
    <w:p>
      <w:pPr>
        <w:spacing w:line="480" w:lineRule="auto"/>
        <w:ind w:firstLine="480" w:firstLineChars="200"/>
        <w:rPr>
          <w:color w:val="000000"/>
          <w:sz w:val="24"/>
          <w:szCs w:val="24"/>
        </w:rPr>
      </w:pPr>
      <w:r>
        <w:rPr>
          <w:rFonts w:hint="eastAsia"/>
          <w:color w:val="000000"/>
          <w:sz w:val="24"/>
          <w:szCs w:val="24"/>
        </w:rPr>
        <w:t>利润率明显不合理并且做不到前项时，按其他通过初步评审的各家投标人的利润率以及标底（如果有）中的利润率的平均费率为准进行修正；</w:t>
      </w:r>
    </w:p>
    <w:p>
      <w:pPr>
        <w:spacing w:line="480" w:lineRule="auto"/>
        <w:ind w:firstLine="480" w:firstLineChars="200"/>
        <w:rPr>
          <w:color w:val="000000"/>
          <w:sz w:val="24"/>
          <w:szCs w:val="24"/>
        </w:rPr>
      </w:pPr>
      <w:r>
        <w:rPr>
          <w:rFonts w:hint="eastAsia"/>
          <w:color w:val="000000"/>
          <w:sz w:val="24"/>
          <w:szCs w:val="24"/>
        </w:rPr>
        <w:t>分部分项工程量清单和措施项目清单综合单价分析表中的利润率与费率报价表（如果有）报出的利润率不一致的，以费率报价表（如果有）报出的利润率为准进行修正（但如果费率报价表中的费率明显不合理时，应执行根据上述原则修正后的利润率）。</w:t>
      </w:r>
    </w:p>
    <w:p>
      <w:pPr>
        <w:spacing w:line="480" w:lineRule="auto"/>
        <w:rPr>
          <w:b/>
          <w:color w:val="000000"/>
          <w:sz w:val="24"/>
          <w:szCs w:val="24"/>
        </w:rPr>
      </w:pPr>
      <w:r>
        <w:rPr>
          <w:rFonts w:hint="eastAsia"/>
          <w:b/>
          <w:color w:val="000000"/>
          <w:sz w:val="24"/>
          <w:szCs w:val="24"/>
        </w:rPr>
        <w:t>D8.2  利润水平分析和修正的方法</w:t>
      </w:r>
    </w:p>
    <w:p>
      <w:pPr>
        <w:spacing w:line="480" w:lineRule="auto"/>
        <w:ind w:firstLine="480" w:firstLineChars="200"/>
        <w:rPr>
          <w:color w:val="000000"/>
          <w:sz w:val="24"/>
          <w:szCs w:val="24"/>
        </w:rPr>
      </w:pPr>
      <w:r>
        <w:rPr>
          <w:rFonts w:hint="eastAsia"/>
          <w:color w:val="000000"/>
          <w:sz w:val="24"/>
          <w:szCs w:val="24"/>
        </w:rPr>
        <w:t>利润水平分析和修正的方法如下：</w:t>
      </w:r>
    </w:p>
    <w:p>
      <w:pPr>
        <w:spacing w:line="480" w:lineRule="auto"/>
        <w:ind w:firstLine="480" w:firstLineChars="200"/>
        <w:rPr>
          <w:color w:val="000000"/>
          <w:sz w:val="24"/>
          <w:szCs w:val="24"/>
        </w:rPr>
      </w:pPr>
      <w:r>
        <w:rPr>
          <w:rFonts w:hint="eastAsia"/>
          <w:color w:val="000000"/>
          <w:sz w:val="24"/>
          <w:szCs w:val="24"/>
        </w:rPr>
        <w:t>按附表D-5的格式进行分析和修正；</w:t>
      </w:r>
    </w:p>
    <w:p>
      <w:pPr>
        <w:spacing w:line="480" w:lineRule="auto"/>
        <w:ind w:firstLine="480" w:firstLineChars="200"/>
        <w:rPr>
          <w:color w:val="000000"/>
          <w:sz w:val="24"/>
          <w:szCs w:val="24"/>
        </w:rPr>
      </w:pPr>
      <w:r>
        <w:rPr>
          <w:rFonts w:hint="eastAsia"/>
          <w:color w:val="000000"/>
          <w:sz w:val="24"/>
          <w:szCs w:val="24"/>
        </w:rPr>
        <w:t>汇总分析结果，将经修正后产生的价格差额记为F值，同时整理需要投标人澄清和说明的事项。</w:t>
      </w:r>
    </w:p>
    <w:p>
      <w:pPr>
        <w:spacing w:line="480" w:lineRule="auto"/>
        <w:rPr>
          <w:b/>
          <w:color w:val="000000"/>
          <w:sz w:val="24"/>
          <w:szCs w:val="24"/>
        </w:rPr>
      </w:pPr>
      <w:r>
        <w:rPr>
          <w:rFonts w:hint="eastAsia"/>
          <w:b/>
          <w:color w:val="000000"/>
          <w:sz w:val="24"/>
          <w:szCs w:val="24"/>
        </w:rPr>
        <w:t>D9.法定税金和规费的完整性分析和修正</w:t>
      </w:r>
    </w:p>
    <w:p>
      <w:pPr>
        <w:spacing w:line="480" w:lineRule="auto"/>
        <w:ind w:firstLine="480" w:firstLineChars="200"/>
        <w:rPr>
          <w:color w:val="000000"/>
          <w:sz w:val="24"/>
          <w:szCs w:val="24"/>
        </w:rPr>
      </w:pPr>
      <w:r>
        <w:rPr>
          <w:rFonts w:hint="eastAsia"/>
          <w:color w:val="000000"/>
          <w:sz w:val="24"/>
          <w:szCs w:val="24"/>
        </w:rPr>
        <w:t>根据投标价格分析出其中法定税金和规费的百分比，对照现行有关法律、法规规定的额度或比率，对投标报价进行分析和修正。</w:t>
      </w:r>
    </w:p>
    <w:p>
      <w:pPr>
        <w:spacing w:line="480" w:lineRule="auto"/>
        <w:ind w:firstLine="480" w:firstLineChars="200"/>
        <w:rPr>
          <w:color w:val="000000"/>
          <w:sz w:val="24"/>
          <w:szCs w:val="24"/>
        </w:rPr>
      </w:pPr>
      <w:r>
        <w:rPr>
          <w:rFonts w:hint="eastAsia"/>
          <w:color w:val="000000"/>
          <w:sz w:val="24"/>
          <w:szCs w:val="24"/>
        </w:rPr>
        <w:t>按附表D-5的格式进行分析和修正；将经修正后产生的价格差额记为G值，整理需要投标人澄清和说明的事项。</w:t>
      </w:r>
    </w:p>
    <w:p>
      <w:pPr>
        <w:spacing w:line="480" w:lineRule="auto"/>
        <w:rPr>
          <w:b/>
          <w:color w:val="000000"/>
          <w:sz w:val="24"/>
          <w:szCs w:val="24"/>
        </w:rPr>
      </w:pPr>
      <w:r>
        <w:rPr>
          <w:rFonts w:hint="eastAsia"/>
          <w:b/>
          <w:color w:val="000000"/>
          <w:sz w:val="24"/>
          <w:szCs w:val="24"/>
        </w:rPr>
        <w:t>D10.不平衡报价分析和修正</w:t>
      </w:r>
    </w:p>
    <w:p>
      <w:pPr>
        <w:spacing w:line="480" w:lineRule="auto"/>
        <w:ind w:firstLine="480" w:firstLineChars="200"/>
        <w:rPr>
          <w:color w:val="000000"/>
          <w:sz w:val="24"/>
          <w:szCs w:val="24"/>
        </w:rPr>
      </w:pPr>
      <w:r>
        <w:rPr>
          <w:rFonts w:hint="eastAsia"/>
          <w:color w:val="000000"/>
          <w:sz w:val="24"/>
          <w:szCs w:val="24"/>
        </w:rPr>
        <w:t>评审各项单价的合理性以及是否存在不平衡报价的情况，对明显过高或过低的价格进行分析。</w:t>
      </w:r>
    </w:p>
    <w:p>
      <w:pPr>
        <w:spacing w:line="480" w:lineRule="auto"/>
        <w:ind w:firstLine="480" w:firstLineChars="200"/>
        <w:rPr>
          <w:color w:val="000000"/>
          <w:sz w:val="24"/>
          <w:szCs w:val="24"/>
        </w:rPr>
      </w:pPr>
      <w:r>
        <w:rPr>
          <w:rFonts w:hint="eastAsia"/>
          <w:color w:val="000000"/>
          <w:sz w:val="24"/>
          <w:szCs w:val="24"/>
        </w:rPr>
        <w:t>按附表D-6汇总分析结果，修正明显过高的价格产生的差额，首先用于填补修正过低的价格产生的差额，两者的余额记为H值，整理需要投标人澄清和说明的事项。</w:t>
      </w:r>
    </w:p>
    <w:p>
      <w:pPr>
        <w:spacing w:line="480" w:lineRule="auto"/>
        <w:rPr>
          <w:color w:val="000000"/>
          <w:sz w:val="24"/>
          <w:szCs w:val="24"/>
        </w:rPr>
      </w:pPr>
      <w:r>
        <w:rPr>
          <w:rFonts w:hint="eastAsia"/>
          <w:color w:val="000000"/>
          <w:sz w:val="24"/>
          <w:szCs w:val="24"/>
        </w:rPr>
        <w:t>D11.对投标报价的澄清和说明</w:t>
      </w:r>
    </w:p>
    <w:p>
      <w:pPr>
        <w:spacing w:line="480" w:lineRule="auto"/>
        <w:ind w:firstLine="480" w:firstLineChars="200"/>
        <w:rPr>
          <w:color w:val="000000"/>
          <w:sz w:val="24"/>
          <w:szCs w:val="24"/>
        </w:rPr>
      </w:pPr>
      <w:r>
        <w:rPr>
          <w:rFonts w:hint="eastAsia"/>
          <w:color w:val="000000"/>
          <w:sz w:val="24"/>
          <w:szCs w:val="24"/>
        </w:rPr>
        <w:t>评标委员会对上述D3至D10条的评审结果进行汇总和整理。以其各自的代数值汇总A值至H值，得出合计差额Δ1（附表D-7），并整理出需要投标人澄清和说明的全部事项。如果投标人存在需要补正的问题，评标委员会可以同时要求投标人进行补正。</w:t>
      </w:r>
    </w:p>
    <w:p>
      <w:pPr>
        <w:spacing w:line="480" w:lineRule="auto"/>
        <w:ind w:firstLine="480" w:firstLineChars="200"/>
        <w:rPr>
          <w:color w:val="000000"/>
          <w:sz w:val="24"/>
          <w:szCs w:val="24"/>
        </w:rPr>
      </w:pPr>
      <w:r>
        <w:rPr>
          <w:rFonts w:hint="eastAsia"/>
          <w:color w:val="000000"/>
          <w:sz w:val="24"/>
          <w:szCs w:val="24"/>
        </w:rPr>
        <w:t>评标委员会应当根据本章第3.3款的规定，对需要投标人澄清、说明和提供进一步证明的事项向投标人发出书面问题澄清通知，并附上质疑问卷，问题澄清通知和质疑问卷应当包括：质疑问题、有关澄清要求、需要书面回复的内容、回复时间（应给投标人留出足够的回复时间）、递交方式等。投标人的澄清、说明、补正和提供进一步证明应当采取书面形式。如果评标委员会对投标人提交的质疑问题的澄清和说明依然存在疑问，评标委员会可以进一步要求澄清、说明或补正，投标人应相应地进一步澄清、说明和提交相关证明材料，直至评标委员会认为全部疑问都得到澄清和说明。</w:t>
      </w:r>
    </w:p>
    <w:p>
      <w:pPr>
        <w:spacing w:line="480" w:lineRule="auto"/>
        <w:ind w:firstLine="480" w:firstLineChars="200"/>
        <w:rPr>
          <w:color w:val="000000"/>
          <w:sz w:val="24"/>
          <w:szCs w:val="24"/>
        </w:rPr>
      </w:pPr>
      <w:r>
        <w:rPr>
          <w:rFonts w:hint="eastAsia"/>
          <w:color w:val="000000"/>
          <w:sz w:val="24"/>
          <w:szCs w:val="24"/>
        </w:rPr>
        <w:t>根据澄清和说明结果，对于投标人已经有效澄清和说明的问题和子目应从上述A值至H值的计算中剔除或修正，按附表D-7格式修正A值至H值并计算最终差额Δ2。本款中所谓的“有效澄清”是指投标人做出的澄清和说明已经合理地解释或说明了评标委员会提出的问题并且澄清结果令评标委员会信服。</w:t>
      </w:r>
    </w:p>
    <w:p>
      <w:pPr>
        <w:spacing w:line="480" w:lineRule="auto"/>
        <w:rPr>
          <w:b/>
          <w:color w:val="000000"/>
          <w:sz w:val="24"/>
          <w:szCs w:val="24"/>
        </w:rPr>
      </w:pPr>
      <w:r>
        <w:rPr>
          <w:rFonts w:hint="eastAsia"/>
          <w:b/>
          <w:color w:val="000000"/>
          <w:sz w:val="24"/>
          <w:szCs w:val="24"/>
        </w:rPr>
        <w:t>D12.判断投标报价是否低于成本</w:t>
      </w:r>
    </w:p>
    <w:p>
      <w:pPr>
        <w:spacing w:line="480" w:lineRule="auto"/>
        <w:ind w:firstLine="480" w:firstLineChars="200"/>
        <w:rPr>
          <w:color w:val="000000"/>
          <w:sz w:val="24"/>
          <w:szCs w:val="24"/>
        </w:rPr>
      </w:pPr>
      <w:r>
        <w:rPr>
          <w:rFonts w:hint="eastAsia"/>
          <w:color w:val="000000"/>
          <w:sz w:val="24"/>
          <w:szCs w:val="24"/>
        </w:rPr>
        <w:t>评标委员会应按照附表D-8的格式填写评审结论记录表，以最终差额Δ2与投标人投标价格中标明的利润额（如标明的是利润率，以利润率乘以其计取基数，下同）进行比较并得出如下结论：</w:t>
      </w:r>
    </w:p>
    <w:p>
      <w:pPr>
        <w:spacing w:line="480" w:lineRule="auto"/>
        <w:ind w:firstLine="480" w:firstLineChars="200"/>
        <w:rPr>
          <w:color w:val="000000"/>
          <w:sz w:val="24"/>
          <w:szCs w:val="24"/>
        </w:rPr>
      </w:pPr>
      <w:r>
        <w:rPr>
          <w:rFonts w:hint="eastAsia"/>
          <w:color w:val="000000"/>
          <w:sz w:val="24"/>
          <w:szCs w:val="24"/>
        </w:rPr>
        <w:t>如果最终差额Δ2（代数值）小于或等于投标人的利润额，则表明该投标人的投标报价不低于成本。</w:t>
      </w:r>
    </w:p>
    <w:p>
      <w:pPr>
        <w:spacing w:line="480" w:lineRule="auto"/>
        <w:ind w:firstLine="480" w:firstLineChars="200"/>
        <w:rPr>
          <w:color w:val="000000"/>
          <w:sz w:val="24"/>
          <w:szCs w:val="24"/>
        </w:rPr>
      </w:pPr>
      <w:r>
        <w:rPr>
          <w:rFonts w:hint="eastAsia"/>
          <w:color w:val="000000"/>
          <w:sz w:val="24"/>
          <w:szCs w:val="24"/>
        </w:rPr>
        <w:t>如果最终差额Δ2是正值且大于（不含等于）投标人报价中的利润额，则评标委员会将根据本章第3.2.2（综合评估法为3.2.4）项的规定认定该投标人以低于其成本报价竞标，其投标作废标处理。</w:t>
      </w:r>
    </w:p>
    <w:p>
      <w:pPr>
        <w:spacing w:line="360" w:lineRule="auto"/>
        <w:ind w:firstLine="440" w:firstLineChars="200"/>
        <w:rPr>
          <w:color w:val="000000"/>
        </w:rPr>
      </w:pPr>
      <w:r>
        <w:rPr>
          <w:rFonts w:hint="eastAsia"/>
          <w:color w:val="000000"/>
        </w:rPr>
        <w:t>备注:各地可根据本地区实际情况，不断丰富完善投标人成本评审办法。</w:t>
      </w:r>
    </w:p>
    <w:p>
      <w:pPr>
        <w:spacing w:line="440" w:lineRule="exact"/>
        <w:rPr>
          <w:rFonts w:ascii="黑体" w:eastAsia="黑体"/>
          <w:color w:val="000000"/>
        </w:rPr>
      </w:pPr>
      <w:r>
        <w:rPr>
          <w:color w:val="000000"/>
        </w:rPr>
        <w:br w:type="page"/>
      </w:r>
      <w:r>
        <w:rPr>
          <w:rFonts w:hint="eastAsia" w:ascii="黑体" w:eastAsia="黑体"/>
          <w:color w:val="000000"/>
        </w:rPr>
        <w:t>附件E：备选投标方案的评审和比较办法</w:t>
      </w:r>
    </w:p>
    <w:p>
      <w:pPr>
        <w:spacing w:beforeLines="100" w:afterLines="100" w:line="440" w:lineRule="exact"/>
        <w:jc w:val="center"/>
        <w:rPr>
          <w:rFonts w:ascii="黑体" w:eastAsia="黑体"/>
          <w:color w:val="000000"/>
          <w:sz w:val="28"/>
          <w:szCs w:val="28"/>
        </w:rPr>
      </w:pPr>
      <w:r>
        <w:rPr>
          <w:rFonts w:hint="eastAsia" w:ascii="黑体" w:eastAsia="黑体"/>
          <w:color w:val="000000"/>
          <w:sz w:val="28"/>
          <w:szCs w:val="28"/>
        </w:rPr>
        <w:t>备选投标方案的评审和比较办法</w:t>
      </w:r>
    </w:p>
    <w:p>
      <w:pPr>
        <w:spacing w:line="480" w:lineRule="auto"/>
        <w:rPr>
          <w:rFonts w:ascii="黑体" w:eastAsia="黑体"/>
          <w:color w:val="000000"/>
          <w:sz w:val="24"/>
          <w:szCs w:val="24"/>
        </w:rPr>
      </w:pPr>
      <w:r>
        <w:rPr>
          <w:rFonts w:hint="eastAsia" w:ascii="黑体" w:eastAsia="黑体"/>
          <w:color w:val="000000"/>
          <w:sz w:val="24"/>
          <w:szCs w:val="24"/>
        </w:rPr>
        <w:t>E0.总  则</w:t>
      </w:r>
    </w:p>
    <w:p>
      <w:pPr>
        <w:spacing w:line="480" w:lineRule="auto"/>
        <w:ind w:firstLine="480" w:firstLineChars="200"/>
        <w:rPr>
          <w:color w:val="000000"/>
          <w:sz w:val="24"/>
          <w:szCs w:val="24"/>
        </w:rPr>
      </w:pPr>
      <w:r>
        <w:rPr>
          <w:rFonts w:hint="eastAsia"/>
          <w:color w:val="000000"/>
          <w:sz w:val="24"/>
          <w:szCs w:val="24"/>
        </w:rPr>
        <w:t>本附件是本章“评标办法”的组成部分。当第二章“投标人须知”第3.6款中规定允许投标人递交备选投标方案时，评标委员会应当按照本附件所规定的办法对排名第一的中标候选人或者根据招标人授权直接确定的中标人所递交的备选投标方案进行评审和比较。</w:t>
      </w:r>
    </w:p>
    <w:p>
      <w:pPr>
        <w:spacing w:line="480" w:lineRule="auto"/>
        <w:rPr>
          <w:b/>
          <w:color w:val="000000"/>
          <w:sz w:val="24"/>
          <w:szCs w:val="24"/>
        </w:rPr>
      </w:pPr>
      <w:r>
        <w:rPr>
          <w:rFonts w:hint="eastAsia"/>
          <w:b/>
          <w:color w:val="000000"/>
          <w:sz w:val="24"/>
          <w:szCs w:val="24"/>
        </w:rPr>
        <w:t>E1.备选投标方案的评审规定</w:t>
      </w:r>
    </w:p>
    <w:p>
      <w:pPr>
        <w:spacing w:line="480" w:lineRule="auto"/>
        <w:rPr>
          <w:b/>
          <w:color w:val="000000"/>
          <w:sz w:val="24"/>
          <w:szCs w:val="24"/>
        </w:rPr>
      </w:pPr>
      <w:r>
        <w:rPr>
          <w:rFonts w:hint="eastAsia"/>
          <w:b/>
          <w:color w:val="000000"/>
          <w:sz w:val="24"/>
          <w:szCs w:val="24"/>
        </w:rPr>
        <w:t>E.1.1　必须投递了正选投标方案</w:t>
      </w:r>
    </w:p>
    <w:p>
      <w:pPr>
        <w:spacing w:line="480" w:lineRule="auto"/>
        <w:ind w:firstLine="470" w:firstLineChars="196"/>
        <w:rPr>
          <w:color w:val="000000"/>
          <w:sz w:val="24"/>
          <w:szCs w:val="24"/>
        </w:rPr>
      </w:pPr>
      <w:r>
        <w:rPr>
          <w:rFonts w:hint="eastAsia"/>
          <w:color w:val="000000"/>
          <w:sz w:val="24"/>
          <w:szCs w:val="24"/>
        </w:rPr>
        <w:t>按照第二章“投标人须知”第3.6款中规定投递备选投标方案的投标人，必须按照招标文件中规定的要求和条件编制并投递了正选投标方案，否则其投标作废标处理。</w:t>
      </w:r>
    </w:p>
    <w:p>
      <w:pPr>
        <w:spacing w:line="480" w:lineRule="auto"/>
        <w:rPr>
          <w:b/>
          <w:color w:val="000000"/>
          <w:sz w:val="24"/>
          <w:szCs w:val="24"/>
        </w:rPr>
      </w:pPr>
      <w:r>
        <w:rPr>
          <w:rFonts w:hint="eastAsia"/>
          <w:b/>
          <w:color w:val="000000"/>
          <w:sz w:val="24"/>
          <w:szCs w:val="24"/>
        </w:rPr>
        <w:t>E1.2  只对中标人或中标候选人的备选投标方案进行评审</w:t>
      </w:r>
    </w:p>
    <w:p>
      <w:pPr>
        <w:spacing w:line="480" w:lineRule="auto"/>
        <w:ind w:firstLine="480" w:firstLineChars="200"/>
        <w:rPr>
          <w:color w:val="000000"/>
          <w:sz w:val="24"/>
          <w:szCs w:val="24"/>
        </w:rPr>
      </w:pPr>
      <w:r>
        <w:rPr>
          <w:rFonts w:hint="eastAsia"/>
          <w:color w:val="000000"/>
          <w:sz w:val="24"/>
          <w:szCs w:val="24"/>
        </w:rPr>
        <w:t>只有中标人或中标候选人的备选投标方案才会被评标委员会评审。</w:t>
      </w:r>
    </w:p>
    <w:p>
      <w:pPr>
        <w:spacing w:line="480" w:lineRule="auto"/>
        <w:rPr>
          <w:b/>
          <w:color w:val="000000"/>
          <w:sz w:val="24"/>
          <w:szCs w:val="24"/>
        </w:rPr>
      </w:pPr>
      <w:r>
        <w:rPr>
          <w:rFonts w:hint="eastAsia"/>
          <w:b/>
          <w:color w:val="000000"/>
          <w:sz w:val="24"/>
          <w:szCs w:val="24"/>
        </w:rPr>
        <w:t>E2.  备选投标方案的评审程序、方法和标准</w:t>
      </w:r>
    </w:p>
    <w:p>
      <w:pPr>
        <w:spacing w:line="480" w:lineRule="auto"/>
        <w:rPr>
          <w:b/>
          <w:color w:val="000000"/>
          <w:sz w:val="24"/>
          <w:szCs w:val="24"/>
        </w:rPr>
      </w:pPr>
      <w:r>
        <w:rPr>
          <w:rFonts w:hint="eastAsia"/>
          <w:b/>
          <w:color w:val="000000"/>
          <w:sz w:val="24"/>
          <w:szCs w:val="24"/>
        </w:rPr>
        <w:t>E2.1  适用的评审程序、方法和标准</w:t>
      </w:r>
    </w:p>
    <w:p>
      <w:pPr>
        <w:spacing w:line="480" w:lineRule="auto"/>
        <w:ind w:firstLine="480" w:firstLineChars="200"/>
        <w:rPr>
          <w:color w:val="000000"/>
          <w:sz w:val="24"/>
          <w:szCs w:val="24"/>
        </w:rPr>
      </w:pPr>
      <w:r>
        <w:rPr>
          <w:rFonts w:hint="eastAsia"/>
          <w:color w:val="000000"/>
          <w:sz w:val="24"/>
          <w:szCs w:val="24"/>
        </w:rPr>
        <w:t>评标委员会应当根据备选投标方案的内容，找出本章（包括本章附件）中适用的程序、方法、标准对备选投标方案进行综合定性评审。如果没有适用的程序、方法、标准，则由评标委员会成员分别独立对备选投标方案进行综合定性评审。评审结论通过表决方式做出。只有超过半数的评标委员会成员所做出的结论，方可以作为评标委员会的结论。</w:t>
      </w:r>
    </w:p>
    <w:p>
      <w:pPr>
        <w:spacing w:line="480" w:lineRule="auto"/>
        <w:rPr>
          <w:b/>
          <w:color w:val="000000"/>
          <w:sz w:val="24"/>
          <w:szCs w:val="24"/>
        </w:rPr>
      </w:pPr>
      <w:r>
        <w:rPr>
          <w:rFonts w:hint="eastAsia"/>
          <w:b/>
          <w:color w:val="000000"/>
          <w:sz w:val="24"/>
          <w:szCs w:val="24"/>
        </w:rPr>
        <w:t>E2.2  基本的评审程序和方法</w:t>
      </w:r>
    </w:p>
    <w:p>
      <w:pPr>
        <w:spacing w:line="480" w:lineRule="auto"/>
        <w:ind w:firstLine="480" w:firstLineChars="200"/>
        <w:rPr>
          <w:color w:val="000000"/>
          <w:sz w:val="24"/>
          <w:szCs w:val="24"/>
        </w:rPr>
      </w:pPr>
      <w:r>
        <w:rPr>
          <w:rFonts w:hint="eastAsia"/>
          <w:color w:val="000000"/>
          <w:sz w:val="24"/>
          <w:szCs w:val="24"/>
        </w:rPr>
        <w:t>对备选投标方案的评审，按以下程序和方法进行：</w:t>
      </w:r>
    </w:p>
    <w:p>
      <w:pPr>
        <w:spacing w:line="480" w:lineRule="auto"/>
        <w:ind w:firstLine="480" w:firstLineChars="200"/>
        <w:rPr>
          <w:color w:val="000000"/>
          <w:sz w:val="24"/>
          <w:szCs w:val="24"/>
        </w:rPr>
      </w:pPr>
      <w:r>
        <w:rPr>
          <w:rFonts w:hint="eastAsia"/>
          <w:color w:val="000000"/>
          <w:sz w:val="24"/>
          <w:szCs w:val="24"/>
        </w:rPr>
        <w:t>（1）找出备选投标方案改变了招标文件中规定的哪些要求或条件，判断这种改变是否可能被招标人所接受。如果评标委员会认为备选投标方案所改变的招标要求和条件是不能被招标人所接受的，则应当宣布备选投标方案不被接受。</w:t>
      </w:r>
    </w:p>
    <w:p>
      <w:pPr>
        <w:spacing w:line="480" w:lineRule="auto"/>
        <w:ind w:firstLine="480" w:firstLineChars="200"/>
        <w:rPr>
          <w:color w:val="000000"/>
          <w:sz w:val="24"/>
          <w:szCs w:val="24"/>
        </w:rPr>
      </w:pPr>
      <w:r>
        <w:rPr>
          <w:rFonts w:hint="eastAsia"/>
          <w:color w:val="000000"/>
          <w:sz w:val="24"/>
          <w:szCs w:val="24"/>
        </w:rPr>
        <w:t>（2）判断备选投标方案的可行性，不可行的备选投标方案应当被宣布为不被接受。</w:t>
      </w:r>
    </w:p>
    <w:p>
      <w:pPr>
        <w:spacing w:line="480" w:lineRule="auto"/>
        <w:ind w:firstLine="480" w:firstLineChars="200"/>
        <w:rPr>
          <w:color w:val="000000"/>
          <w:sz w:val="24"/>
          <w:szCs w:val="24"/>
        </w:rPr>
      </w:pPr>
      <w:r>
        <w:rPr>
          <w:rFonts w:hint="eastAsia"/>
          <w:color w:val="000000"/>
          <w:sz w:val="24"/>
          <w:szCs w:val="24"/>
        </w:rPr>
        <w:t>（3）对比中标人或中标候选人的正选投标方案和备选投标方案，找出两者之间的偏差，并对偏差对招标人的有利和不利程度做出评估。只有备选投标方案与正选投标方案的偏差对招标人的有利程度明显大于不利程度时，备选投标方案方可以被接受。</w:t>
      </w:r>
    </w:p>
    <w:p>
      <w:pPr>
        <w:spacing w:line="480" w:lineRule="auto"/>
        <w:rPr>
          <w:b/>
          <w:color w:val="000000"/>
          <w:sz w:val="24"/>
          <w:szCs w:val="24"/>
        </w:rPr>
      </w:pPr>
      <w:r>
        <w:rPr>
          <w:rFonts w:hint="eastAsia"/>
          <w:b/>
          <w:color w:val="000000"/>
          <w:sz w:val="24"/>
          <w:szCs w:val="24"/>
        </w:rPr>
        <w:t>E3.备选投标方案的评审结果</w:t>
      </w:r>
    </w:p>
    <w:p>
      <w:pPr>
        <w:spacing w:line="480" w:lineRule="auto"/>
        <w:rPr>
          <w:b/>
          <w:color w:val="000000"/>
          <w:sz w:val="24"/>
          <w:szCs w:val="24"/>
        </w:rPr>
      </w:pPr>
      <w:r>
        <w:rPr>
          <w:rFonts w:hint="eastAsia"/>
          <w:b/>
          <w:color w:val="000000"/>
          <w:sz w:val="24"/>
          <w:szCs w:val="24"/>
        </w:rPr>
        <w:t>E3.1备选投标方案的评审报告</w:t>
      </w:r>
    </w:p>
    <w:p>
      <w:pPr>
        <w:spacing w:line="480" w:lineRule="auto"/>
        <w:ind w:firstLine="480" w:firstLineChars="200"/>
        <w:rPr>
          <w:color w:val="000000"/>
          <w:sz w:val="24"/>
          <w:szCs w:val="24"/>
        </w:rPr>
      </w:pPr>
      <w:r>
        <w:rPr>
          <w:rFonts w:hint="eastAsia"/>
          <w:color w:val="000000"/>
          <w:sz w:val="24"/>
          <w:szCs w:val="24"/>
        </w:rPr>
        <w:t>评标委员会应当出具备选投标方案评审报告，备选投标方案评审报告中应当包括：</w:t>
      </w:r>
    </w:p>
    <w:p>
      <w:pPr>
        <w:spacing w:line="480" w:lineRule="auto"/>
        <w:ind w:firstLine="480" w:firstLineChars="200"/>
        <w:rPr>
          <w:color w:val="000000"/>
          <w:sz w:val="24"/>
          <w:szCs w:val="24"/>
        </w:rPr>
      </w:pPr>
      <w:r>
        <w:rPr>
          <w:rFonts w:hint="eastAsia"/>
          <w:color w:val="000000"/>
          <w:sz w:val="24"/>
          <w:szCs w:val="24"/>
        </w:rPr>
        <w:t>（1）备选投标方案与正选投标方案的主要偏差；</w:t>
      </w:r>
    </w:p>
    <w:p>
      <w:pPr>
        <w:spacing w:line="480" w:lineRule="auto"/>
        <w:ind w:firstLine="480" w:firstLineChars="200"/>
        <w:rPr>
          <w:color w:val="000000"/>
          <w:sz w:val="24"/>
          <w:szCs w:val="24"/>
        </w:rPr>
      </w:pPr>
      <w:r>
        <w:rPr>
          <w:rFonts w:hint="eastAsia"/>
          <w:color w:val="000000"/>
          <w:sz w:val="24"/>
          <w:szCs w:val="24"/>
        </w:rPr>
        <w:t>（2）备选投标方案的科学性与合理性分析；</w:t>
      </w:r>
    </w:p>
    <w:p>
      <w:pPr>
        <w:spacing w:line="480" w:lineRule="auto"/>
        <w:ind w:firstLine="480" w:firstLineChars="200"/>
        <w:rPr>
          <w:color w:val="000000"/>
          <w:sz w:val="24"/>
          <w:szCs w:val="24"/>
        </w:rPr>
      </w:pPr>
      <w:r>
        <w:rPr>
          <w:rFonts w:hint="eastAsia"/>
          <w:color w:val="000000"/>
          <w:sz w:val="24"/>
          <w:szCs w:val="24"/>
        </w:rPr>
        <w:t>（3）备选投标方案对招标人的有利性分析；</w:t>
      </w:r>
    </w:p>
    <w:p>
      <w:pPr>
        <w:spacing w:line="480" w:lineRule="auto"/>
        <w:ind w:firstLine="480" w:firstLineChars="200"/>
        <w:rPr>
          <w:color w:val="000000"/>
          <w:sz w:val="24"/>
          <w:szCs w:val="24"/>
        </w:rPr>
      </w:pPr>
      <w:r>
        <w:rPr>
          <w:rFonts w:hint="eastAsia"/>
          <w:color w:val="000000"/>
          <w:sz w:val="24"/>
          <w:szCs w:val="24"/>
        </w:rPr>
        <w:t>（4）备选投标方案是否可以被采纳。</w:t>
      </w:r>
    </w:p>
    <w:p>
      <w:pPr>
        <w:spacing w:line="480" w:lineRule="auto"/>
        <w:rPr>
          <w:b/>
          <w:color w:val="000000"/>
          <w:sz w:val="24"/>
          <w:szCs w:val="24"/>
        </w:rPr>
      </w:pPr>
      <w:r>
        <w:rPr>
          <w:rFonts w:hint="eastAsia"/>
          <w:b/>
          <w:color w:val="000000"/>
          <w:sz w:val="24"/>
          <w:szCs w:val="24"/>
        </w:rPr>
        <w:t>E3.2  评审结论</w:t>
      </w:r>
    </w:p>
    <w:p>
      <w:pPr>
        <w:spacing w:line="480" w:lineRule="auto"/>
        <w:ind w:firstLine="470" w:firstLineChars="196"/>
        <w:rPr>
          <w:color w:val="000000"/>
          <w:sz w:val="24"/>
          <w:szCs w:val="24"/>
        </w:rPr>
      </w:pPr>
      <w:r>
        <w:rPr>
          <w:rFonts w:hint="eastAsia"/>
          <w:color w:val="000000"/>
          <w:sz w:val="24"/>
          <w:szCs w:val="24"/>
        </w:rPr>
        <w:t>通过评审，评标委员会只做出备选投标方案是否可以被采纳的决定，但不做出中标人应当按正选投标方案或备选投标方案中标的决定。中标人是否按备选投标方案中标的决定，由招标人依据评标委员会的评审报告做出。</w:t>
      </w:r>
    </w:p>
    <w:p>
      <w:pPr>
        <w:spacing w:line="480" w:lineRule="auto"/>
        <w:rPr>
          <w:b/>
          <w:color w:val="000000"/>
          <w:sz w:val="24"/>
          <w:szCs w:val="24"/>
        </w:rPr>
      </w:pPr>
      <w:r>
        <w:rPr>
          <w:rFonts w:hint="eastAsia"/>
          <w:b/>
          <w:color w:val="000000"/>
          <w:sz w:val="24"/>
          <w:szCs w:val="24"/>
        </w:rPr>
        <w:t>E4.补充条款</w:t>
      </w:r>
    </w:p>
    <w:p>
      <w:pPr>
        <w:spacing w:line="480" w:lineRule="auto"/>
        <w:rPr>
          <w:rFonts w:ascii="黑体" w:eastAsia="黑体"/>
          <w:color w:val="000000"/>
        </w:rPr>
      </w:pPr>
      <w:r>
        <w:rPr>
          <w:b/>
          <w:color w:val="000000"/>
          <w:sz w:val="24"/>
          <w:szCs w:val="24"/>
        </w:rPr>
        <w:br w:type="page"/>
      </w:r>
      <w:r>
        <w:rPr>
          <w:rFonts w:hint="eastAsia" w:ascii="黑体" w:eastAsia="黑体"/>
          <w:color w:val="000000"/>
        </w:rPr>
        <w:t>附件F：计算机辅助评标方法</w:t>
      </w:r>
    </w:p>
    <w:p>
      <w:pPr>
        <w:spacing w:beforeLines="100" w:afterLines="150" w:line="440" w:lineRule="exact"/>
        <w:jc w:val="center"/>
        <w:rPr>
          <w:rFonts w:ascii="黑体" w:eastAsia="黑体"/>
          <w:color w:val="000000"/>
          <w:sz w:val="28"/>
          <w:szCs w:val="28"/>
        </w:rPr>
      </w:pPr>
      <w:r>
        <w:rPr>
          <w:rFonts w:hint="eastAsia" w:ascii="黑体" w:eastAsia="黑体"/>
          <w:color w:val="000000"/>
          <w:sz w:val="28"/>
          <w:szCs w:val="28"/>
        </w:rPr>
        <w:t>计算机辅助评标方法</w:t>
      </w:r>
    </w:p>
    <w:p>
      <w:pPr>
        <w:spacing w:line="440" w:lineRule="exact"/>
        <w:ind w:firstLine="480" w:firstLineChars="200"/>
        <w:rPr>
          <w:rFonts w:ascii="楷体_GB2312" w:eastAsia="楷体_GB2312"/>
          <w:color w:val="000000"/>
          <w:sz w:val="24"/>
          <w:szCs w:val="24"/>
        </w:rPr>
        <w:sectPr>
          <w:footerReference r:id="rId11" w:type="default"/>
          <w:footerReference r:id="rId12" w:type="even"/>
          <w:pgSz w:w="11906" w:h="16838"/>
          <w:pgMar w:top="1588" w:right="1701" w:bottom="1418" w:left="1701" w:header="851" w:footer="851" w:gutter="0"/>
          <w:pgNumType w:start="1"/>
          <w:cols w:space="425" w:num="1"/>
          <w:docGrid w:type="lines" w:linePitch="312" w:charSpace="0"/>
        </w:sectPr>
      </w:pPr>
      <w:r>
        <w:rPr>
          <w:rFonts w:hint="eastAsia" w:ascii="黑体" w:eastAsia="黑体"/>
          <w:color w:val="000000"/>
          <w:sz w:val="24"/>
          <w:szCs w:val="24"/>
        </w:rPr>
        <w:t>备注：</w:t>
      </w:r>
      <w:r>
        <w:rPr>
          <w:rFonts w:hint="eastAsia" w:ascii="楷体_GB2312" w:eastAsia="楷体_GB2312"/>
          <w:color w:val="000000"/>
          <w:sz w:val="24"/>
          <w:szCs w:val="24"/>
        </w:rPr>
        <w:t>本附件的具体内容由招标人根据各地和招标项目的具体情况自行编写。</w:t>
      </w:r>
    </w:p>
    <w:p>
      <w:pPr>
        <w:spacing w:line="440" w:lineRule="exact"/>
        <w:rPr>
          <w:rFonts w:ascii="黑体" w:eastAsia="黑体"/>
          <w:color w:val="000000"/>
        </w:rPr>
      </w:pPr>
      <w:r>
        <w:rPr>
          <w:rFonts w:hint="eastAsia" w:ascii="黑体" w:eastAsia="黑体"/>
          <w:color w:val="000000"/>
        </w:rPr>
        <w:t>附表A－1：评标委员会签到表</w:t>
      </w:r>
    </w:p>
    <w:p>
      <w:pPr>
        <w:spacing w:beforeLines="50" w:afterLines="50" w:line="440" w:lineRule="exact"/>
        <w:jc w:val="center"/>
        <w:rPr>
          <w:rFonts w:ascii="黑体" w:eastAsia="黑体"/>
          <w:color w:val="000000"/>
          <w:sz w:val="28"/>
          <w:szCs w:val="28"/>
        </w:rPr>
      </w:pPr>
      <w:r>
        <w:rPr>
          <w:rFonts w:hint="eastAsia" w:ascii="黑体" w:eastAsia="黑体"/>
          <w:color w:val="000000"/>
          <w:sz w:val="28"/>
          <w:szCs w:val="28"/>
        </w:rPr>
        <w:t>评标委员会签到表</w:t>
      </w:r>
    </w:p>
    <w:p>
      <w:pPr>
        <w:spacing w:afterLines="30" w:line="440" w:lineRule="exact"/>
        <w:rPr>
          <w:color w:val="000000"/>
        </w:rPr>
      </w:pPr>
      <w:r>
        <w:rPr>
          <w:rFonts w:hint="eastAsia"/>
          <w:color w:val="000000"/>
        </w:rPr>
        <w:t>工程名称：</w:t>
      </w:r>
      <w:r>
        <w:rPr>
          <w:rFonts w:hint="eastAsia"/>
          <w:color w:val="000000"/>
          <w:u w:val="single"/>
        </w:rPr>
        <w:t xml:space="preserve">             </w:t>
      </w:r>
      <w:r>
        <w:rPr>
          <w:rFonts w:hint="eastAsia"/>
          <w:color w:val="000000"/>
        </w:rPr>
        <w:t>(项目名称)                                                                评标时间：      年      月      日</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624"/>
        <w:gridCol w:w="1624"/>
        <w:gridCol w:w="5179"/>
        <w:gridCol w:w="2645"/>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color w:val="000000"/>
              </w:rPr>
            </w:pPr>
            <w:r>
              <w:rPr>
                <w:rFonts w:hint="eastAsia"/>
                <w:color w:val="000000"/>
              </w:rPr>
              <w:t>序号</w:t>
            </w:r>
          </w:p>
        </w:tc>
        <w:tc>
          <w:tcPr>
            <w:tcW w:w="1624" w:type="dxa"/>
            <w:vAlign w:val="center"/>
          </w:tcPr>
          <w:p>
            <w:pPr>
              <w:spacing w:line="440" w:lineRule="exact"/>
              <w:jc w:val="center"/>
              <w:rPr>
                <w:color w:val="000000"/>
              </w:rPr>
            </w:pPr>
            <w:r>
              <w:rPr>
                <w:rFonts w:hint="eastAsia"/>
                <w:color w:val="000000"/>
              </w:rPr>
              <w:t>姓名</w:t>
            </w:r>
          </w:p>
        </w:tc>
        <w:tc>
          <w:tcPr>
            <w:tcW w:w="1624" w:type="dxa"/>
            <w:vAlign w:val="center"/>
          </w:tcPr>
          <w:p>
            <w:pPr>
              <w:spacing w:line="440" w:lineRule="exact"/>
              <w:jc w:val="center"/>
              <w:rPr>
                <w:color w:val="000000"/>
              </w:rPr>
            </w:pPr>
            <w:r>
              <w:rPr>
                <w:rFonts w:hint="eastAsia"/>
                <w:color w:val="000000"/>
              </w:rPr>
              <w:t>职称</w:t>
            </w:r>
          </w:p>
        </w:tc>
        <w:tc>
          <w:tcPr>
            <w:tcW w:w="5179" w:type="dxa"/>
            <w:vAlign w:val="center"/>
          </w:tcPr>
          <w:p>
            <w:pPr>
              <w:spacing w:line="440" w:lineRule="exact"/>
              <w:jc w:val="center"/>
              <w:rPr>
                <w:color w:val="000000"/>
              </w:rPr>
            </w:pPr>
            <w:r>
              <w:rPr>
                <w:rFonts w:hint="eastAsia"/>
                <w:color w:val="000000"/>
              </w:rPr>
              <w:t>工作单位</w:t>
            </w:r>
          </w:p>
        </w:tc>
        <w:tc>
          <w:tcPr>
            <w:tcW w:w="2645" w:type="dxa"/>
            <w:vAlign w:val="center"/>
          </w:tcPr>
          <w:p>
            <w:pPr>
              <w:spacing w:line="440" w:lineRule="exact"/>
              <w:jc w:val="center"/>
              <w:rPr>
                <w:color w:val="000000"/>
              </w:rPr>
            </w:pPr>
            <w:r>
              <w:rPr>
                <w:rFonts w:hint="eastAsia"/>
                <w:color w:val="000000"/>
              </w:rPr>
              <w:t>专家证号码</w:t>
            </w:r>
          </w:p>
        </w:tc>
        <w:tc>
          <w:tcPr>
            <w:tcW w:w="1758" w:type="dxa"/>
            <w:vAlign w:val="center"/>
          </w:tcPr>
          <w:p>
            <w:pPr>
              <w:spacing w:line="440" w:lineRule="exact"/>
              <w:jc w:val="center"/>
              <w:rPr>
                <w:color w:val="000000"/>
              </w:rPr>
            </w:pPr>
            <w:r>
              <w:rPr>
                <w:rFonts w:hint="eastAsia"/>
                <w:color w:val="000000"/>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黑体" w:eastAsia="黑体"/>
                <w:color w:val="000000"/>
              </w:rPr>
            </w:pPr>
            <w:r>
              <w:rPr>
                <w:rFonts w:hint="eastAsia" w:ascii="黑体" w:eastAsia="黑体"/>
                <w:color w:val="000000"/>
              </w:rPr>
              <w:t>1</w:t>
            </w:r>
          </w:p>
        </w:tc>
        <w:tc>
          <w:tcPr>
            <w:tcW w:w="1624" w:type="dxa"/>
            <w:vAlign w:val="center"/>
          </w:tcPr>
          <w:p>
            <w:pPr>
              <w:spacing w:line="440" w:lineRule="exact"/>
              <w:jc w:val="center"/>
              <w:rPr>
                <w:color w:val="000000"/>
              </w:rPr>
            </w:pPr>
          </w:p>
        </w:tc>
        <w:tc>
          <w:tcPr>
            <w:tcW w:w="1624" w:type="dxa"/>
            <w:vAlign w:val="center"/>
          </w:tcPr>
          <w:p>
            <w:pPr>
              <w:spacing w:line="440" w:lineRule="exact"/>
              <w:jc w:val="center"/>
              <w:rPr>
                <w:color w:val="000000"/>
              </w:rPr>
            </w:pPr>
          </w:p>
        </w:tc>
        <w:tc>
          <w:tcPr>
            <w:tcW w:w="5179" w:type="dxa"/>
            <w:vAlign w:val="center"/>
          </w:tcPr>
          <w:p>
            <w:pPr>
              <w:spacing w:line="440" w:lineRule="exact"/>
              <w:jc w:val="center"/>
              <w:rPr>
                <w:color w:val="000000"/>
              </w:rPr>
            </w:pPr>
          </w:p>
        </w:tc>
        <w:tc>
          <w:tcPr>
            <w:tcW w:w="2645" w:type="dxa"/>
            <w:vAlign w:val="center"/>
          </w:tcPr>
          <w:p>
            <w:pPr>
              <w:spacing w:line="440" w:lineRule="exact"/>
              <w:jc w:val="center"/>
              <w:rPr>
                <w:color w:val="000000"/>
              </w:rPr>
            </w:pPr>
          </w:p>
        </w:tc>
        <w:tc>
          <w:tcPr>
            <w:tcW w:w="1758" w:type="dxa"/>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黑体" w:eastAsia="黑体"/>
                <w:color w:val="000000"/>
              </w:rPr>
            </w:pPr>
            <w:r>
              <w:rPr>
                <w:rFonts w:hint="eastAsia" w:ascii="黑体" w:eastAsia="黑体"/>
                <w:color w:val="000000"/>
              </w:rPr>
              <w:t>2</w:t>
            </w:r>
          </w:p>
        </w:tc>
        <w:tc>
          <w:tcPr>
            <w:tcW w:w="1624" w:type="dxa"/>
            <w:vAlign w:val="center"/>
          </w:tcPr>
          <w:p>
            <w:pPr>
              <w:spacing w:line="440" w:lineRule="exact"/>
              <w:jc w:val="center"/>
              <w:rPr>
                <w:color w:val="000000"/>
              </w:rPr>
            </w:pPr>
          </w:p>
        </w:tc>
        <w:tc>
          <w:tcPr>
            <w:tcW w:w="1624" w:type="dxa"/>
            <w:vAlign w:val="center"/>
          </w:tcPr>
          <w:p>
            <w:pPr>
              <w:spacing w:line="440" w:lineRule="exact"/>
              <w:jc w:val="center"/>
              <w:rPr>
                <w:color w:val="000000"/>
              </w:rPr>
            </w:pPr>
          </w:p>
        </w:tc>
        <w:tc>
          <w:tcPr>
            <w:tcW w:w="5179" w:type="dxa"/>
            <w:vAlign w:val="center"/>
          </w:tcPr>
          <w:p>
            <w:pPr>
              <w:spacing w:line="440" w:lineRule="exact"/>
              <w:jc w:val="center"/>
              <w:rPr>
                <w:color w:val="000000"/>
              </w:rPr>
            </w:pPr>
          </w:p>
        </w:tc>
        <w:tc>
          <w:tcPr>
            <w:tcW w:w="2645" w:type="dxa"/>
            <w:vAlign w:val="center"/>
          </w:tcPr>
          <w:p>
            <w:pPr>
              <w:spacing w:line="440" w:lineRule="exact"/>
              <w:jc w:val="center"/>
              <w:rPr>
                <w:color w:val="000000"/>
              </w:rPr>
            </w:pPr>
          </w:p>
        </w:tc>
        <w:tc>
          <w:tcPr>
            <w:tcW w:w="1758" w:type="dxa"/>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黑体" w:eastAsia="黑体"/>
                <w:color w:val="000000"/>
              </w:rPr>
            </w:pPr>
            <w:r>
              <w:rPr>
                <w:rFonts w:hint="eastAsia" w:ascii="黑体" w:eastAsia="黑体"/>
                <w:color w:val="000000"/>
              </w:rPr>
              <w:t>3</w:t>
            </w:r>
          </w:p>
        </w:tc>
        <w:tc>
          <w:tcPr>
            <w:tcW w:w="1624" w:type="dxa"/>
            <w:vAlign w:val="center"/>
          </w:tcPr>
          <w:p>
            <w:pPr>
              <w:spacing w:line="440" w:lineRule="exact"/>
              <w:jc w:val="center"/>
              <w:rPr>
                <w:color w:val="000000"/>
              </w:rPr>
            </w:pPr>
          </w:p>
        </w:tc>
        <w:tc>
          <w:tcPr>
            <w:tcW w:w="1624" w:type="dxa"/>
            <w:vAlign w:val="center"/>
          </w:tcPr>
          <w:p>
            <w:pPr>
              <w:spacing w:line="440" w:lineRule="exact"/>
              <w:jc w:val="center"/>
              <w:rPr>
                <w:color w:val="000000"/>
              </w:rPr>
            </w:pPr>
          </w:p>
        </w:tc>
        <w:tc>
          <w:tcPr>
            <w:tcW w:w="5179" w:type="dxa"/>
            <w:vAlign w:val="center"/>
          </w:tcPr>
          <w:p>
            <w:pPr>
              <w:spacing w:line="440" w:lineRule="exact"/>
              <w:jc w:val="center"/>
              <w:rPr>
                <w:color w:val="000000"/>
              </w:rPr>
            </w:pPr>
          </w:p>
        </w:tc>
        <w:tc>
          <w:tcPr>
            <w:tcW w:w="2645" w:type="dxa"/>
            <w:vAlign w:val="center"/>
          </w:tcPr>
          <w:p>
            <w:pPr>
              <w:spacing w:line="440" w:lineRule="exact"/>
              <w:jc w:val="center"/>
              <w:rPr>
                <w:color w:val="000000"/>
              </w:rPr>
            </w:pPr>
          </w:p>
        </w:tc>
        <w:tc>
          <w:tcPr>
            <w:tcW w:w="1758" w:type="dxa"/>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黑体" w:eastAsia="黑体"/>
                <w:color w:val="000000"/>
              </w:rPr>
            </w:pPr>
            <w:r>
              <w:rPr>
                <w:rFonts w:hint="eastAsia" w:ascii="黑体" w:eastAsia="黑体"/>
                <w:color w:val="000000"/>
              </w:rPr>
              <w:t>4</w:t>
            </w:r>
          </w:p>
        </w:tc>
        <w:tc>
          <w:tcPr>
            <w:tcW w:w="1624" w:type="dxa"/>
            <w:vAlign w:val="center"/>
          </w:tcPr>
          <w:p>
            <w:pPr>
              <w:spacing w:line="440" w:lineRule="exact"/>
              <w:jc w:val="center"/>
              <w:rPr>
                <w:color w:val="000000"/>
              </w:rPr>
            </w:pPr>
          </w:p>
        </w:tc>
        <w:tc>
          <w:tcPr>
            <w:tcW w:w="1624" w:type="dxa"/>
            <w:vAlign w:val="center"/>
          </w:tcPr>
          <w:p>
            <w:pPr>
              <w:spacing w:line="440" w:lineRule="exact"/>
              <w:jc w:val="center"/>
              <w:rPr>
                <w:color w:val="000000"/>
              </w:rPr>
            </w:pPr>
          </w:p>
        </w:tc>
        <w:tc>
          <w:tcPr>
            <w:tcW w:w="5179" w:type="dxa"/>
            <w:vAlign w:val="center"/>
          </w:tcPr>
          <w:p>
            <w:pPr>
              <w:spacing w:line="440" w:lineRule="exact"/>
              <w:jc w:val="center"/>
              <w:rPr>
                <w:color w:val="000000"/>
              </w:rPr>
            </w:pPr>
          </w:p>
        </w:tc>
        <w:tc>
          <w:tcPr>
            <w:tcW w:w="2645" w:type="dxa"/>
            <w:vAlign w:val="center"/>
          </w:tcPr>
          <w:p>
            <w:pPr>
              <w:spacing w:line="440" w:lineRule="exact"/>
              <w:jc w:val="center"/>
              <w:rPr>
                <w:color w:val="000000"/>
              </w:rPr>
            </w:pPr>
          </w:p>
        </w:tc>
        <w:tc>
          <w:tcPr>
            <w:tcW w:w="1758" w:type="dxa"/>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黑体" w:eastAsia="黑体"/>
                <w:color w:val="000000"/>
              </w:rPr>
            </w:pPr>
            <w:r>
              <w:rPr>
                <w:rFonts w:hint="eastAsia" w:ascii="黑体" w:eastAsia="黑体"/>
                <w:color w:val="000000"/>
              </w:rPr>
              <w:t>5</w:t>
            </w:r>
          </w:p>
        </w:tc>
        <w:tc>
          <w:tcPr>
            <w:tcW w:w="1624" w:type="dxa"/>
            <w:vAlign w:val="center"/>
          </w:tcPr>
          <w:p>
            <w:pPr>
              <w:spacing w:line="440" w:lineRule="exact"/>
              <w:jc w:val="center"/>
              <w:rPr>
                <w:color w:val="000000"/>
              </w:rPr>
            </w:pPr>
          </w:p>
        </w:tc>
        <w:tc>
          <w:tcPr>
            <w:tcW w:w="1624" w:type="dxa"/>
            <w:vAlign w:val="center"/>
          </w:tcPr>
          <w:p>
            <w:pPr>
              <w:spacing w:line="440" w:lineRule="exact"/>
              <w:jc w:val="center"/>
              <w:rPr>
                <w:color w:val="000000"/>
              </w:rPr>
            </w:pPr>
          </w:p>
        </w:tc>
        <w:tc>
          <w:tcPr>
            <w:tcW w:w="5179" w:type="dxa"/>
            <w:vAlign w:val="center"/>
          </w:tcPr>
          <w:p>
            <w:pPr>
              <w:spacing w:line="440" w:lineRule="exact"/>
              <w:jc w:val="center"/>
              <w:rPr>
                <w:color w:val="000000"/>
              </w:rPr>
            </w:pPr>
          </w:p>
        </w:tc>
        <w:tc>
          <w:tcPr>
            <w:tcW w:w="2645" w:type="dxa"/>
            <w:vAlign w:val="center"/>
          </w:tcPr>
          <w:p>
            <w:pPr>
              <w:spacing w:line="440" w:lineRule="exact"/>
              <w:jc w:val="center"/>
              <w:rPr>
                <w:color w:val="000000"/>
              </w:rPr>
            </w:pPr>
          </w:p>
        </w:tc>
        <w:tc>
          <w:tcPr>
            <w:tcW w:w="1758" w:type="dxa"/>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黑体" w:eastAsia="黑体"/>
                <w:color w:val="000000"/>
              </w:rPr>
            </w:pPr>
            <w:r>
              <w:rPr>
                <w:rFonts w:hint="eastAsia" w:ascii="黑体" w:eastAsia="黑体"/>
                <w:color w:val="000000"/>
              </w:rPr>
              <w:t>6</w:t>
            </w:r>
          </w:p>
        </w:tc>
        <w:tc>
          <w:tcPr>
            <w:tcW w:w="1624" w:type="dxa"/>
            <w:vAlign w:val="center"/>
          </w:tcPr>
          <w:p>
            <w:pPr>
              <w:spacing w:line="440" w:lineRule="exact"/>
              <w:jc w:val="center"/>
              <w:rPr>
                <w:color w:val="000000"/>
              </w:rPr>
            </w:pPr>
          </w:p>
        </w:tc>
        <w:tc>
          <w:tcPr>
            <w:tcW w:w="1624" w:type="dxa"/>
            <w:vAlign w:val="center"/>
          </w:tcPr>
          <w:p>
            <w:pPr>
              <w:spacing w:line="440" w:lineRule="exact"/>
              <w:jc w:val="center"/>
              <w:rPr>
                <w:color w:val="000000"/>
              </w:rPr>
            </w:pPr>
          </w:p>
        </w:tc>
        <w:tc>
          <w:tcPr>
            <w:tcW w:w="5179" w:type="dxa"/>
            <w:vAlign w:val="center"/>
          </w:tcPr>
          <w:p>
            <w:pPr>
              <w:spacing w:line="440" w:lineRule="exact"/>
              <w:jc w:val="center"/>
              <w:rPr>
                <w:color w:val="000000"/>
              </w:rPr>
            </w:pPr>
          </w:p>
        </w:tc>
        <w:tc>
          <w:tcPr>
            <w:tcW w:w="2645" w:type="dxa"/>
            <w:vAlign w:val="center"/>
          </w:tcPr>
          <w:p>
            <w:pPr>
              <w:spacing w:line="440" w:lineRule="exact"/>
              <w:jc w:val="center"/>
              <w:rPr>
                <w:color w:val="000000"/>
              </w:rPr>
            </w:pPr>
          </w:p>
        </w:tc>
        <w:tc>
          <w:tcPr>
            <w:tcW w:w="1758" w:type="dxa"/>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014" w:type="dxa"/>
            <w:vAlign w:val="center"/>
          </w:tcPr>
          <w:p>
            <w:pPr>
              <w:spacing w:line="440" w:lineRule="exact"/>
              <w:jc w:val="center"/>
              <w:rPr>
                <w:rFonts w:ascii="黑体" w:eastAsia="黑体"/>
                <w:color w:val="000000"/>
              </w:rPr>
            </w:pPr>
            <w:r>
              <w:rPr>
                <w:rFonts w:hint="eastAsia" w:ascii="黑体" w:eastAsia="黑体"/>
                <w:color w:val="000000"/>
              </w:rPr>
              <w:t>7</w:t>
            </w:r>
          </w:p>
        </w:tc>
        <w:tc>
          <w:tcPr>
            <w:tcW w:w="1624" w:type="dxa"/>
            <w:vAlign w:val="center"/>
          </w:tcPr>
          <w:p>
            <w:pPr>
              <w:spacing w:line="440" w:lineRule="exact"/>
              <w:jc w:val="center"/>
              <w:rPr>
                <w:color w:val="000000"/>
              </w:rPr>
            </w:pPr>
          </w:p>
        </w:tc>
        <w:tc>
          <w:tcPr>
            <w:tcW w:w="1624" w:type="dxa"/>
            <w:vAlign w:val="center"/>
          </w:tcPr>
          <w:p>
            <w:pPr>
              <w:spacing w:line="440" w:lineRule="exact"/>
              <w:jc w:val="center"/>
              <w:rPr>
                <w:color w:val="000000"/>
              </w:rPr>
            </w:pPr>
          </w:p>
        </w:tc>
        <w:tc>
          <w:tcPr>
            <w:tcW w:w="5179" w:type="dxa"/>
            <w:vAlign w:val="center"/>
          </w:tcPr>
          <w:p>
            <w:pPr>
              <w:spacing w:line="440" w:lineRule="exact"/>
              <w:jc w:val="center"/>
              <w:rPr>
                <w:color w:val="000000"/>
              </w:rPr>
            </w:pPr>
          </w:p>
        </w:tc>
        <w:tc>
          <w:tcPr>
            <w:tcW w:w="2645" w:type="dxa"/>
            <w:vAlign w:val="center"/>
          </w:tcPr>
          <w:p>
            <w:pPr>
              <w:spacing w:line="440" w:lineRule="exact"/>
              <w:jc w:val="center"/>
              <w:rPr>
                <w:color w:val="000000"/>
              </w:rPr>
            </w:pPr>
          </w:p>
        </w:tc>
        <w:tc>
          <w:tcPr>
            <w:tcW w:w="1758" w:type="dxa"/>
            <w:vAlign w:val="center"/>
          </w:tcPr>
          <w:p>
            <w:pPr>
              <w:spacing w:line="440" w:lineRule="exact"/>
              <w:jc w:val="center"/>
              <w:rPr>
                <w:color w:val="000000"/>
              </w:rPr>
            </w:pPr>
          </w:p>
        </w:tc>
      </w:tr>
    </w:tbl>
    <w:p>
      <w:pPr>
        <w:spacing w:line="440" w:lineRule="exact"/>
        <w:rPr>
          <w:rFonts w:ascii="黑体" w:eastAsia="黑体"/>
        </w:rPr>
      </w:pPr>
      <w:r>
        <w:rPr>
          <w:rFonts w:hint="eastAsia" w:ascii="黑体" w:eastAsia="黑体"/>
        </w:rPr>
        <w:t>附表A-2：形式评审记录表</w:t>
      </w:r>
    </w:p>
    <w:p>
      <w:pPr>
        <w:spacing w:beforeLines="50" w:afterLines="50" w:line="440" w:lineRule="exact"/>
        <w:jc w:val="center"/>
        <w:rPr>
          <w:rFonts w:ascii="黑体" w:eastAsia="黑体"/>
          <w:sz w:val="28"/>
          <w:szCs w:val="28"/>
        </w:rPr>
      </w:pPr>
      <w:r>
        <w:rPr>
          <w:rFonts w:hint="eastAsia" w:ascii="黑体" w:eastAsia="黑体"/>
          <w:sz w:val="28"/>
          <w:szCs w:val="28"/>
        </w:rPr>
        <w:t>形式评审记录表</w:t>
      </w:r>
    </w:p>
    <w:p>
      <w:pPr>
        <w:spacing w:afterLines="30" w:line="440" w:lineRule="exact"/>
      </w:pPr>
      <w:r>
        <w:rPr>
          <w:rFonts w:hint="eastAsia"/>
          <w:color w:val="000000"/>
        </w:rPr>
        <w:t>工程名称：</w:t>
      </w:r>
      <w:r>
        <w:rPr>
          <w:rFonts w:hint="eastAsia"/>
          <w:color w:val="000000"/>
          <w:u w:val="single"/>
        </w:rPr>
        <w:t xml:space="preserve">             </w:t>
      </w:r>
      <w:r>
        <w:rPr>
          <w:rFonts w:hint="eastAsia"/>
          <w:color w:val="000000"/>
        </w:rPr>
        <w:t>(项目名称)</w:t>
      </w:r>
      <w:r>
        <w:rPr>
          <w:rFonts w:hint="eastAsia"/>
        </w:rPr>
        <w:t xml:space="preserve">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Merge w:val="restart"/>
            <w:vAlign w:val="center"/>
          </w:tcPr>
          <w:p>
            <w:pPr>
              <w:spacing w:line="440" w:lineRule="exact"/>
              <w:jc w:val="center"/>
              <w:rPr>
                <w:color w:val="000000"/>
              </w:rPr>
            </w:pPr>
            <w:r>
              <w:rPr>
                <w:rFonts w:hint="eastAsia"/>
                <w:color w:val="000000"/>
              </w:rPr>
              <w:t>序号</w:t>
            </w:r>
          </w:p>
        </w:tc>
        <w:tc>
          <w:tcPr>
            <w:tcW w:w="2156" w:type="dxa"/>
            <w:vMerge w:val="restart"/>
            <w:vAlign w:val="center"/>
          </w:tcPr>
          <w:p>
            <w:pPr>
              <w:spacing w:line="440" w:lineRule="exact"/>
              <w:jc w:val="center"/>
              <w:rPr>
                <w:color w:val="000000"/>
              </w:rPr>
            </w:pPr>
            <w:r>
              <w:rPr>
                <w:rFonts w:hint="eastAsia"/>
                <w:color w:val="000000"/>
              </w:rPr>
              <w:t>评审因素</w:t>
            </w:r>
          </w:p>
        </w:tc>
        <w:tc>
          <w:tcPr>
            <w:tcW w:w="10776" w:type="dxa"/>
            <w:gridSpan w:val="9"/>
            <w:shd w:val="clear" w:color="auto" w:fill="auto"/>
            <w:vAlign w:val="center"/>
          </w:tcPr>
          <w:p>
            <w:pPr>
              <w:spacing w:line="440" w:lineRule="exact"/>
              <w:jc w:val="center"/>
              <w:rPr>
                <w:color w:val="000000"/>
              </w:rPr>
            </w:pPr>
            <w:r>
              <w:rPr>
                <w:rFonts w:hint="eastAsia"/>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Merge w:val="continue"/>
            <w:vAlign w:val="center"/>
          </w:tcPr>
          <w:p>
            <w:pPr>
              <w:spacing w:line="440" w:lineRule="exact"/>
              <w:jc w:val="center"/>
              <w:rPr>
                <w:rFonts w:ascii="黑体" w:eastAsia="黑体"/>
                <w:color w:val="000000"/>
              </w:rPr>
            </w:pPr>
          </w:p>
        </w:tc>
        <w:tc>
          <w:tcPr>
            <w:tcW w:w="2156" w:type="dxa"/>
            <w:vMerge w:val="continue"/>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黑体" w:eastAsia="黑体"/>
                <w:color w:val="000000"/>
              </w:rPr>
            </w:pPr>
            <w:r>
              <w:rPr>
                <w:rFonts w:hint="eastAsia" w:ascii="黑体" w:eastAsia="黑体"/>
                <w:color w:val="000000"/>
              </w:rPr>
              <w:t>1</w:t>
            </w:r>
          </w:p>
        </w:tc>
        <w:tc>
          <w:tcPr>
            <w:tcW w:w="2156" w:type="dxa"/>
            <w:vAlign w:val="center"/>
          </w:tcPr>
          <w:p>
            <w:pPr>
              <w:spacing w:line="440" w:lineRule="exact"/>
              <w:jc w:val="center"/>
              <w:rPr>
                <w:color w:val="000000"/>
              </w:rPr>
            </w:pPr>
            <w:r>
              <w:rPr>
                <w:rFonts w:hint="eastAsia"/>
              </w:rPr>
              <w:t>投标人名称</w:t>
            </w: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黑体" w:eastAsia="黑体"/>
                <w:color w:val="000000"/>
              </w:rPr>
            </w:pPr>
            <w:r>
              <w:rPr>
                <w:rFonts w:hint="eastAsia" w:ascii="黑体" w:eastAsia="黑体"/>
                <w:color w:val="000000"/>
              </w:rPr>
              <w:t>2</w:t>
            </w:r>
          </w:p>
        </w:tc>
        <w:tc>
          <w:tcPr>
            <w:tcW w:w="2156" w:type="dxa"/>
            <w:vAlign w:val="center"/>
          </w:tcPr>
          <w:p>
            <w:pPr>
              <w:spacing w:line="440" w:lineRule="exact"/>
              <w:jc w:val="center"/>
              <w:rPr>
                <w:color w:val="000000"/>
              </w:rPr>
            </w:pPr>
            <w:r>
              <w:rPr>
                <w:rFonts w:hint="eastAsia"/>
              </w:rPr>
              <w:t>投标函签字盖章</w:t>
            </w: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黑体" w:eastAsia="黑体"/>
                <w:color w:val="000000"/>
              </w:rPr>
            </w:pPr>
            <w:r>
              <w:rPr>
                <w:rFonts w:hint="eastAsia" w:ascii="黑体" w:eastAsia="黑体"/>
                <w:color w:val="000000"/>
              </w:rPr>
              <w:t>3</w:t>
            </w:r>
          </w:p>
        </w:tc>
        <w:tc>
          <w:tcPr>
            <w:tcW w:w="2156" w:type="dxa"/>
            <w:vAlign w:val="center"/>
          </w:tcPr>
          <w:p>
            <w:pPr>
              <w:spacing w:line="440" w:lineRule="exact"/>
              <w:jc w:val="center"/>
              <w:rPr>
                <w:color w:val="000000"/>
              </w:rPr>
            </w:pPr>
            <w:r>
              <w:rPr>
                <w:rFonts w:hint="eastAsia"/>
              </w:rPr>
              <w:t>投标文件格式</w:t>
            </w: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黑体" w:eastAsia="黑体"/>
                <w:color w:val="000000"/>
              </w:rPr>
            </w:pPr>
            <w:r>
              <w:rPr>
                <w:rFonts w:hint="eastAsia" w:ascii="黑体" w:eastAsia="黑体"/>
                <w:color w:val="000000"/>
              </w:rPr>
              <w:t>4</w:t>
            </w:r>
          </w:p>
        </w:tc>
        <w:tc>
          <w:tcPr>
            <w:tcW w:w="2156" w:type="dxa"/>
            <w:vAlign w:val="center"/>
          </w:tcPr>
          <w:p>
            <w:pPr>
              <w:spacing w:line="440" w:lineRule="exact"/>
              <w:jc w:val="center"/>
              <w:rPr>
                <w:color w:val="000000"/>
              </w:rPr>
            </w:pPr>
            <w:r>
              <w:rPr>
                <w:rFonts w:hint="eastAsia"/>
              </w:rPr>
              <w:t>联合体投标人</w:t>
            </w: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黑体" w:eastAsia="黑体"/>
                <w:color w:val="000000"/>
              </w:rPr>
            </w:pPr>
            <w:r>
              <w:rPr>
                <w:rFonts w:hint="eastAsia" w:ascii="黑体" w:eastAsia="黑体"/>
                <w:color w:val="000000"/>
              </w:rPr>
              <w:t>5</w:t>
            </w:r>
          </w:p>
        </w:tc>
        <w:tc>
          <w:tcPr>
            <w:tcW w:w="2156" w:type="dxa"/>
            <w:vAlign w:val="center"/>
          </w:tcPr>
          <w:p>
            <w:pPr>
              <w:spacing w:line="440" w:lineRule="exact"/>
              <w:jc w:val="center"/>
              <w:rPr>
                <w:color w:val="000000"/>
              </w:rPr>
            </w:pPr>
            <w:r>
              <w:rPr>
                <w:rFonts w:hint="eastAsia"/>
              </w:rPr>
              <w:t>报价唯一</w:t>
            </w: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黑体" w:eastAsia="黑体"/>
                <w:color w:val="000000"/>
              </w:rPr>
            </w:pPr>
            <w:r>
              <w:rPr>
                <w:rFonts w:hint="eastAsia" w:ascii="黑体" w:eastAsia="黑体"/>
                <w:color w:val="000000"/>
              </w:rPr>
              <w:t>6</w:t>
            </w:r>
          </w:p>
        </w:tc>
        <w:tc>
          <w:tcPr>
            <w:tcW w:w="2156" w:type="dxa"/>
            <w:vAlign w:val="center"/>
          </w:tcPr>
          <w:p>
            <w:pPr>
              <w:spacing w:line="440" w:lineRule="exact"/>
              <w:jc w:val="center"/>
              <w:rPr>
                <w:color w:val="000000"/>
              </w:rPr>
            </w:pPr>
            <w:r>
              <w:rPr>
                <w:rFonts w:hint="eastAsia"/>
                <w:color w:val="000000"/>
              </w:rPr>
              <w:t>……</w:t>
            </w: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jc w:val="center"/>
              <w:rPr>
                <w:rFonts w:ascii="黑体" w:eastAsia="黑体"/>
                <w:color w:val="000000"/>
              </w:rPr>
            </w:pPr>
          </w:p>
        </w:tc>
        <w:tc>
          <w:tcPr>
            <w:tcW w:w="2156" w:type="dxa"/>
            <w:vAlign w:val="center"/>
          </w:tcPr>
          <w:p>
            <w:pPr>
              <w:spacing w:line="440" w:lineRule="exact"/>
              <w:jc w:val="center"/>
              <w:rPr>
                <w:color w:val="000000"/>
              </w:rPr>
            </w:pPr>
            <w:r>
              <w:rPr>
                <w:rFonts w:hint="eastAsia"/>
              </w:rPr>
              <w:t>是否通过评审</w:t>
            </w: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bl>
    <w:p>
      <w:pPr>
        <w:spacing w:line="440" w:lineRule="exact"/>
      </w:pPr>
      <w:r>
        <w:rPr>
          <w:rFonts w:hint="eastAsia"/>
        </w:rPr>
        <w:t>评标委员会全体成员签名：                                                                        日期：        年     月     日</w:t>
      </w:r>
    </w:p>
    <w:p>
      <w:pPr>
        <w:spacing w:line="440" w:lineRule="exact"/>
        <w:rPr>
          <w:rFonts w:ascii="黑体" w:eastAsia="黑体"/>
        </w:rPr>
      </w:pPr>
      <w:r>
        <w:br w:type="page"/>
      </w:r>
      <w:r>
        <w:rPr>
          <w:rFonts w:hint="eastAsia" w:ascii="黑体" w:eastAsia="黑体"/>
        </w:rPr>
        <w:t>附表A-3：资格评审记录表(适用于未进行资格预审的)</w:t>
      </w:r>
    </w:p>
    <w:p>
      <w:pPr>
        <w:spacing w:beforeLines="50" w:afterLines="50" w:line="440" w:lineRule="exact"/>
        <w:jc w:val="center"/>
        <w:rPr>
          <w:rFonts w:ascii="黑体" w:eastAsia="黑体"/>
          <w:sz w:val="28"/>
          <w:szCs w:val="28"/>
        </w:rPr>
      </w:pPr>
      <w:r>
        <w:rPr>
          <w:rFonts w:hint="eastAsia" w:ascii="黑体" w:eastAsia="黑体"/>
          <w:sz w:val="28"/>
          <w:szCs w:val="28"/>
        </w:rPr>
        <w:t>资格评审记录表(适用于未进行资格预审的)</w:t>
      </w:r>
    </w:p>
    <w:p>
      <w:pPr>
        <w:spacing w:afterLines="30" w:line="440" w:lineRule="exact"/>
        <w:rPr>
          <w:color w:val="000000"/>
        </w:rPr>
      </w:pPr>
      <w:r>
        <w:rPr>
          <w:rFonts w:hint="eastAsia"/>
          <w:color w:val="000000"/>
        </w:rPr>
        <w:t>工程名称：</w:t>
      </w:r>
      <w:r>
        <w:rPr>
          <w:rFonts w:hint="eastAsia"/>
          <w:color w:val="000000"/>
          <w:u w:val="single"/>
        </w:rPr>
        <w:t xml:space="preserve">             </w:t>
      </w:r>
      <w:r>
        <w:rPr>
          <w:rFonts w:hint="eastAsia"/>
          <w:color w:val="000000"/>
        </w:rPr>
        <w:t xml:space="preserve">(项目名称)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spacing w:line="440" w:lineRule="exact"/>
              <w:jc w:val="center"/>
              <w:rPr>
                <w:color w:val="000000"/>
              </w:rPr>
            </w:pPr>
            <w:r>
              <w:rPr>
                <w:rFonts w:hint="eastAsia"/>
                <w:color w:val="000000"/>
              </w:rPr>
              <w:t>序号</w:t>
            </w:r>
          </w:p>
        </w:tc>
        <w:tc>
          <w:tcPr>
            <w:tcW w:w="2156" w:type="dxa"/>
            <w:vMerge w:val="restart"/>
            <w:vAlign w:val="center"/>
          </w:tcPr>
          <w:p>
            <w:pPr>
              <w:spacing w:line="440" w:lineRule="exact"/>
              <w:jc w:val="center"/>
              <w:rPr>
                <w:color w:val="000000"/>
              </w:rPr>
            </w:pPr>
            <w:r>
              <w:rPr>
                <w:rFonts w:hint="eastAsia"/>
                <w:color w:val="000000"/>
              </w:rPr>
              <w:t>评审因素</w:t>
            </w:r>
          </w:p>
        </w:tc>
        <w:tc>
          <w:tcPr>
            <w:tcW w:w="10776" w:type="dxa"/>
            <w:gridSpan w:val="9"/>
            <w:shd w:val="clear" w:color="auto" w:fill="auto"/>
            <w:vAlign w:val="center"/>
          </w:tcPr>
          <w:p>
            <w:pPr>
              <w:spacing w:line="440" w:lineRule="exact"/>
              <w:jc w:val="center"/>
              <w:rPr>
                <w:color w:val="000000"/>
              </w:rPr>
            </w:pPr>
            <w:r>
              <w:rPr>
                <w:rFonts w:hint="eastAsia"/>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spacing w:line="440" w:lineRule="exact"/>
              <w:jc w:val="center"/>
              <w:rPr>
                <w:rFonts w:ascii="黑体" w:eastAsia="黑体"/>
                <w:color w:val="000000"/>
              </w:rPr>
            </w:pPr>
          </w:p>
        </w:tc>
        <w:tc>
          <w:tcPr>
            <w:tcW w:w="2156" w:type="dxa"/>
            <w:vMerge w:val="continue"/>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eastAsia="黑体"/>
                <w:color w:val="000000"/>
              </w:rPr>
            </w:pPr>
            <w:r>
              <w:rPr>
                <w:rFonts w:hint="eastAsia" w:ascii="黑体" w:eastAsia="黑体"/>
                <w:color w:val="000000"/>
              </w:rPr>
              <w:t>1</w:t>
            </w:r>
          </w:p>
        </w:tc>
        <w:tc>
          <w:tcPr>
            <w:tcW w:w="2156" w:type="dxa"/>
            <w:vAlign w:val="center"/>
          </w:tcPr>
          <w:p>
            <w:pPr>
              <w:spacing w:line="440" w:lineRule="exact"/>
              <w:jc w:val="center"/>
              <w:rPr>
                <w:color w:val="000000"/>
              </w:rPr>
            </w:pPr>
            <w:r>
              <w:rPr>
                <w:rFonts w:hint="eastAsia"/>
              </w:rPr>
              <w:t>营业执照</w:t>
            </w: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eastAsia="黑体"/>
                <w:color w:val="000000"/>
              </w:rPr>
            </w:pPr>
            <w:r>
              <w:rPr>
                <w:rFonts w:hint="eastAsia" w:ascii="黑体" w:eastAsia="黑体"/>
                <w:color w:val="000000"/>
              </w:rPr>
              <w:t>2</w:t>
            </w:r>
          </w:p>
        </w:tc>
        <w:tc>
          <w:tcPr>
            <w:tcW w:w="2156" w:type="dxa"/>
            <w:vAlign w:val="center"/>
          </w:tcPr>
          <w:p>
            <w:pPr>
              <w:spacing w:line="440" w:lineRule="exact"/>
              <w:jc w:val="center"/>
            </w:pPr>
            <w:r>
              <w:rPr>
                <w:rFonts w:hint="eastAsia"/>
              </w:rPr>
              <w:t>安全生产许可证</w:t>
            </w: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eastAsia="黑体"/>
                <w:color w:val="000000"/>
              </w:rPr>
            </w:pPr>
            <w:r>
              <w:rPr>
                <w:rFonts w:hint="eastAsia" w:ascii="黑体" w:eastAsia="黑体"/>
                <w:color w:val="000000"/>
              </w:rPr>
              <w:t>3</w:t>
            </w:r>
          </w:p>
        </w:tc>
        <w:tc>
          <w:tcPr>
            <w:tcW w:w="2156" w:type="dxa"/>
            <w:vAlign w:val="center"/>
          </w:tcPr>
          <w:p>
            <w:pPr>
              <w:spacing w:line="440" w:lineRule="exact"/>
              <w:jc w:val="center"/>
            </w:pPr>
            <w:r>
              <w:rPr>
                <w:rFonts w:hint="eastAsia"/>
              </w:rPr>
              <w:t>资质等级</w:t>
            </w: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eastAsia="黑体"/>
                <w:color w:val="000000"/>
              </w:rPr>
            </w:pPr>
            <w:r>
              <w:rPr>
                <w:rFonts w:hint="eastAsia" w:ascii="黑体" w:eastAsia="黑体"/>
                <w:color w:val="000000"/>
              </w:rPr>
              <w:t>4</w:t>
            </w:r>
          </w:p>
        </w:tc>
        <w:tc>
          <w:tcPr>
            <w:tcW w:w="2156" w:type="dxa"/>
            <w:vAlign w:val="center"/>
          </w:tcPr>
          <w:p>
            <w:pPr>
              <w:spacing w:line="440" w:lineRule="exact"/>
              <w:jc w:val="center"/>
            </w:pPr>
            <w:r>
              <w:rPr>
                <w:rFonts w:hint="eastAsia"/>
              </w:rPr>
              <w:t>财务状况</w:t>
            </w: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eastAsia="黑体"/>
                <w:color w:val="000000"/>
              </w:rPr>
            </w:pPr>
            <w:r>
              <w:rPr>
                <w:rFonts w:hint="eastAsia" w:ascii="黑体" w:eastAsia="黑体"/>
                <w:color w:val="000000"/>
              </w:rPr>
              <w:t>5</w:t>
            </w:r>
          </w:p>
        </w:tc>
        <w:tc>
          <w:tcPr>
            <w:tcW w:w="2156" w:type="dxa"/>
            <w:vAlign w:val="center"/>
          </w:tcPr>
          <w:p>
            <w:pPr>
              <w:spacing w:line="440" w:lineRule="exact"/>
              <w:jc w:val="center"/>
            </w:pPr>
            <w:r>
              <w:rPr>
                <w:rFonts w:hint="eastAsia"/>
              </w:rPr>
              <w:t>类似项目业绩</w:t>
            </w: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eastAsia="黑体"/>
                <w:color w:val="000000"/>
              </w:rPr>
            </w:pPr>
            <w:r>
              <w:rPr>
                <w:rFonts w:hint="eastAsia" w:ascii="黑体" w:eastAsia="黑体"/>
                <w:color w:val="000000"/>
              </w:rPr>
              <w:t>6</w:t>
            </w:r>
          </w:p>
        </w:tc>
        <w:tc>
          <w:tcPr>
            <w:tcW w:w="2156" w:type="dxa"/>
            <w:vAlign w:val="center"/>
          </w:tcPr>
          <w:p>
            <w:pPr>
              <w:spacing w:line="440" w:lineRule="exact"/>
              <w:jc w:val="center"/>
            </w:pPr>
            <w:r>
              <w:rPr>
                <w:rFonts w:hint="eastAsia"/>
              </w:rPr>
              <w:t>信誉</w:t>
            </w: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eastAsia="黑体"/>
                <w:color w:val="000000"/>
              </w:rPr>
            </w:pPr>
            <w:r>
              <w:rPr>
                <w:rFonts w:hint="eastAsia" w:ascii="黑体" w:eastAsia="黑体"/>
                <w:color w:val="000000"/>
              </w:rPr>
              <w:t>7</w:t>
            </w:r>
          </w:p>
        </w:tc>
        <w:tc>
          <w:tcPr>
            <w:tcW w:w="2156" w:type="dxa"/>
            <w:vAlign w:val="center"/>
          </w:tcPr>
          <w:p>
            <w:pPr>
              <w:spacing w:line="440" w:lineRule="exact"/>
              <w:jc w:val="center"/>
            </w:pPr>
            <w:r>
              <w:rPr>
                <w:rFonts w:hint="eastAsia"/>
              </w:rPr>
              <w:t>项目经理</w:t>
            </w: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eastAsia="黑体"/>
                <w:color w:val="000000"/>
              </w:rPr>
            </w:pPr>
            <w:r>
              <w:rPr>
                <w:rFonts w:hint="eastAsia" w:ascii="黑体" w:eastAsia="黑体"/>
                <w:color w:val="000000"/>
              </w:rPr>
              <w:t>8</w:t>
            </w:r>
          </w:p>
        </w:tc>
        <w:tc>
          <w:tcPr>
            <w:tcW w:w="2156" w:type="dxa"/>
            <w:vAlign w:val="center"/>
          </w:tcPr>
          <w:p>
            <w:pPr>
              <w:spacing w:line="440" w:lineRule="exact"/>
              <w:jc w:val="center"/>
            </w:pPr>
            <w:r>
              <w:rPr>
                <w:rFonts w:hint="eastAsia"/>
              </w:rPr>
              <w:t>其他要求</w:t>
            </w: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eastAsia="黑体"/>
                <w:color w:val="000000"/>
              </w:rPr>
            </w:pPr>
            <w:r>
              <w:rPr>
                <w:rFonts w:hint="eastAsia" w:ascii="黑体" w:eastAsia="黑体"/>
                <w:color w:val="000000"/>
              </w:rPr>
              <w:t>9</w:t>
            </w:r>
          </w:p>
        </w:tc>
        <w:tc>
          <w:tcPr>
            <w:tcW w:w="2156" w:type="dxa"/>
            <w:vAlign w:val="center"/>
          </w:tcPr>
          <w:p>
            <w:pPr>
              <w:spacing w:line="440" w:lineRule="exact"/>
              <w:jc w:val="center"/>
            </w:pPr>
            <w:r>
              <w:rPr>
                <w:rFonts w:hint="eastAsia"/>
              </w:rPr>
              <w:t>联合体投标人</w:t>
            </w: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eastAsia="黑体"/>
                <w:color w:val="000000"/>
              </w:rPr>
            </w:pPr>
            <w:r>
              <w:rPr>
                <w:rFonts w:hint="eastAsia" w:ascii="黑体" w:eastAsia="黑体"/>
                <w:color w:val="000000"/>
              </w:rPr>
              <w:t>10</w:t>
            </w:r>
          </w:p>
        </w:tc>
        <w:tc>
          <w:tcPr>
            <w:tcW w:w="2156" w:type="dxa"/>
            <w:vAlign w:val="center"/>
          </w:tcPr>
          <w:p>
            <w:pPr>
              <w:spacing w:line="440" w:lineRule="exact"/>
              <w:jc w:val="center"/>
            </w:pPr>
            <w:r>
              <w:rPr>
                <w:rFonts w:hint="eastAsia"/>
              </w:rPr>
              <w:t>……</w:t>
            </w: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440" w:lineRule="exact"/>
              <w:jc w:val="center"/>
            </w:pPr>
            <w:r>
              <w:rPr>
                <w:rFonts w:hint="eastAsia"/>
              </w:rPr>
              <w:t>是否通过评审</w:t>
            </w:r>
          </w:p>
          <w:p>
            <w:pPr>
              <w:spacing w:line="440" w:lineRule="exact"/>
              <w:jc w:val="cente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7" w:type="dxa"/>
            <w:shd w:val="clear" w:color="auto" w:fill="auto"/>
            <w:vAlign w:val="center"/>
          </w:tcPr>
          <w:p>
            <w:pPr>
              <w:spacing w:line="440" w:lineRule="exact"/>
              <w:jc w:val="center"/>
              <w:rPr>
                <w:color w:val="000000"/>
              </w:rPr>
            </w:pPr>
          </w:p>
        </w:tc>
        <w:tc>
          <w:tcPr>
            <w:tcW w:w="1198" w:type="dxa"/>
            <w:shd w:val="clear" w:color="auto" w:fill="auto"/>
            <w:vAlign w:val="center"/>
          </w:tcPr>
          <w:p>
            <w:pPr>
              <w:spacing w:line="440" w:lineRule="exact"/>
              <w:jc w:val="center"/>
              <w:rPr>
                <w:color w:val="000000"/>
              </w:rPr>
            </w:pPr>
          </w:p>
        </w:tc>
      </w:tr>
    </w:tbl>
    <w:p>
      <w:pPr>
        <w:spacing w:line="440" w:lineRule="exact"/>
      </w:pPr>
      <w:r>
        <w:rPr>
          <w:rFonts w:hint="eastAsia"/>
        </w:rPr>
        <w:t>评标委员会全体成员签名：                                                                       日期：        年     月     日</w:t>
      </w:r>
    </w:p>
    <w:p>
      <w:pPr>
        <w:spacing w:line="440" w:lineRule="exact"/>
        <w:rPr>
          <w:rFonts w:ascii="黑体" w:eastAsia="黑体"/>
        </w:rPr>
      </w:pPr>
      <w:r>
        <w:rPr>
          <w:rFonts w:hint="eastAsia" w:ascii="黑体" w:eastAsia="黑体"/>
        </w:rPr>
        <w:br w:type="page"/>
      </w:r>
      <w:r>
        <w:rPr>
          <w:rFonts w:hint="eastAsia" w:ascii="黑体" w:eastAsia="黑体"/>
        </w:rPr>
        <w:t>附表A-4：响应性评审记录表</w:t>
      </w:r>
    </w:p>
    <w:p>
      <w:pPr>
        <w:spacing w:beforeLines="50" w:afterLines="50" w:line="440" w:lineRule="exact"/>
        <w:jc w:val="center"/>
        <w:rPr>
          <w:rFonts w:ascii="黑体" w:eastAsia="黑体"/>
          <w:sz w:val="28"/>
          <w:szCs w:val="28"/>
        </w:rPr>
      </w:pPr>
      <w:r>
        <w:rPr>
          <w:rFonts w:hint="eastAsia" w:ascii="黑体" w:eastAsia="黑体"/>
          <w:sz w:val="28"/>
          <w:szCs w:val="28"/>
        </w:rPr>
        <w:t>响应性评审记录表</w:t>
      </w:r>
    </w:p>
    <w:p>
      <w:pPr>
        <w:spacing w:afterLines="30" w:line="440" w:lineRule="exact"/>
        <w:rPr>
          <w:color w:val="000000"/>
        </w:rPr>
      </w:pPr>
      <w:r>
        <w:rPr>
          <w:rFonts w:hint="eastAsia"/>
          <w:color w:val="000000"/>
        </w:rPr>
        <w:t>工程名称：</w:t>
      </w:r>
      <w:r>
        <w:rPr>
          <w:rFonts w:hint="eastAsia"/>
          <w:color w:val="000000"/>
          <w:u w:val="single"/>
        </w:rPr>
        <w:t xml:space="preserve">             </w:t>
      </w:r>
      <w:r>
        <w:rPr>
          <w:rFonts w:hint="eastAsia"/>
          <w:color w:val="000000"/>
        </w:rPr>
        <w:t xml:space="preserve">(项目名称)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restart"/>
            <w:vAlign w:val="center"/>
          </w:tcPr>
          <w:p>
            <w:pPr>
              <w:jc w:val="center"/>
              <w:rPr>
                <w:color w:val="000000"/>
              </w:rPr>
            </w:pPr>
            <w:r>
              <w:rPr>
                <w:rFonts w:hint="eastAsia"/>
                <w:color w:val="000000"/>
              </w:rPr>
              <w:t>序号</w:t>
            </w:r>
          </w:p>
        </w:tc>
        <w:tc>
          <w:tcPr>
            <w:tcW w:w="2156" w:type="dxa"/>
            <w:vMerge w:val="restart"/>
            <w:vAlign w:val="center"/>
          </w:tcPr>
          <w:p>
            <w:pPr>
              <w:jc w:val="center"/>
              <w:rPr>
                <w:color w:val="000000"/>
              </w:rPr>
            </w:pPr>
            <w:r>
              <w:rPr>
                <w:rFonts w:hint="eastAsia"/>
                <w:color w:val="000000"/>
              </w:rPr>
              <w:t>评审因素</w:t>
            </w:r>
          </w:p>
        </w:tc>
        <w:tc>
          <w:tcPr>
            <w:tcW w:w="10776" w:type="dxa"/>
            <w:gridSpan w:val="9"/>
            <w:shd w:val="clear" w:color="auto" w:fill="auto"/>
            <w:vAlign w:val="center"/>
          </w:tcPr>
          <w:p>
            <w:pPr>
              <w:jc w:val="center"/>
              <w:rPr>
                <w:color w:val="000000"/>
              </w:rPr>
            </w:pPr>
            <w:r>
              <w:rPr>
                <w:rFonts w:hint="eastAsia"/>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jc w:val="center"/>
              <w:rPr>
                <w:rFonts w:ascii="黑体" w:eastAsia="黑体"/>
                <w:color w:val="000000"/>
              </w:rPr>
            </w:pPr>
          </w:p>
        </w:tc>
        <w:tc>
          <w:tcPr>
            <w:tcW w:w="2156" w:type="dxa"/>
            <w:vMerge w:val="continue"/>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rPr>
                <w:rFonts w:ascii="黑体" w:eastAsia="黑体"/>
                <w:color w:val="000000"/>
              </w:rPr>
            </w:pPr>
            <w:r>
              <w:rPr>
                <w:rFonts w:hint="eastAsia" w:ascii="黑体" w:eastAsia="黑体"/>
                <w:color w:val="000000"/>
              </w:rPr>
              <w:t>1</w:t>
            </w:r>
          </w:p>
        </w:tc>
        <w:tc>
          <w:tcPr>
            <w:tcW w:w="2156" w:type="dxa"/>
            <w:vAlign w:val="center"/>
          </w:tcPr>
          <w:p>
            <w:pPr>
              <w:jc w:val="center"/>
              <w:rPr>
                <w:color w:val="000000"/>
              </w:rPr>
            </w:pPr>
            <w:r>
              <w:rPr>
                <w:rFonts w:hint="eastAsia"/>
              </w:rPr>
              <w:t>投标内容</w:t>
            </w: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rPr>
                <w:rFonts w:ascii="黑体" w:eastAsia="黑体"/>
                <w:color w:val="000000"/>
              </w:rPr>
            </w:pPr>
            <w:r>
              <w:rPr>
                <w:rFonts w:hint="eastAsia" w:ascii="黑体" w:eastAsia="黑体"/>
                <w:color w:val="000000"/>
              </w:rPr>
              <w:t>2</w:t>
            </w:r>
          </w:p>
        </w:tc>
        <w:tc>
          <w:tcPr>
            <w:tcW w:w="2156" w:type="dxa"/>
            <w:vAlign w:val="center"/>
          </w:tcPr>
          <w:p>
            <w:pPr>
              <w:jc w:val="center"/>
            </w:pPr>
            <w:r>
              <w:rPr>
                <w:rFonts w:hint="eastAsia"/>
              </w:rPr>
              <w:t>工期</w:t>
            </w: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rPr>
                <w:rFonts w:ascii="黑体" w:eastAsia="黑体"/>
                <w:color w:val="000000"/>
              </w:rPr>
            </w:pPr>
            <w:r>
              <w:rPr>
                <w:rFonts w:hint="eastAsia" w:ascii="黑体" w:eastAsia="黑体"/>
                <w:color w:val="000000"/>
              </w:rPr>
              <w:t>3</w:t>
            </w:r>
          </w:p>
        </w:tc>
        <w:tc>
          <w:tcPr>
            <w:tcW w:w="2156" w:type="dxa"/>
            <w:vAlign w:val="center"/>
          </w:tcPr>
          <w:p>
            <w:pPr>
              <w:jc w:val="center"/>
            </w:pPr>
            <w:r>
              <w:rPr>
                <w:rFonts w:hint="eastAsia"/>
              </w:rPr>
              <w:t>工程质量</w:t>
            </w: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rPr>
                <w:rFonts w:ascii="黑体" w:eastAsia="黑体"/>
                <w:color w:val="000000"/>
              </w:rPr>
            </w:pPr>
            <w:r>
              <w:rPr>
                <w:rFonts w:hint="eastAsia" w:ascii="黑体" w:eastAsia="黑体"/>
                <w:color w:val="000000"/>
              </w:rPr>
              <w:t>4</w:t>
            </w:r>
          </w:p>
        </w:tc>
        <w:tc>
          <w:tcPr>
            <w:tcW w:w="2156" w:type="dxa"/>
            <w:vAlign w:val="center"/>
          </w:tcPr>
          <w:p>
            <w:pPr>
              <w:jc w:val="center"/>
            </w:pPr>
            <w:r>
              <w:rPr>
                <w:rFonts w:hint="eastAsia"/>
              </w:rPr>
              <w:t>投标有效期</w:t>
            </w: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rPr>
                <w:rFonts w:ascii="黑体" w:eastAsia="黑体"/>
                <w:color w:val="000000"/>
              </w:rPr>
            </w:pPr>
            <w:r>
              <w:rPr>
                <w:rFonts w:hint="eastAsia" w:ascii="黑体" w:eastAsia="黑体"/>
                <w:color w:val="000000"/>
              </w:rPr>
              <w:t>5</w:t>
            </w:r>
          </w:p>
        </w:tc>
        <w:tc>
          <w:tcPr>
            <w:tcW w:w="2156" w:type="dxa"/>
            <w:vAlign w:val="center"/>
          </w:tcPr>
          <w:p>
            <w:pPr>
              <w:jc w:val="center"/>
            </w:pPr>
            <w:r>
              <w:rPr>
                <w:rFonts w:hint="eastAsia"/>
              </w:rPr>
              <w:t>招标保证金</w:t>
            </w: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rPr>
                <w:rFonts w:ascii="黑体" w:eastAsia="黑体"/>
                <w:color w:val="000000"/>
              </w:rPr>
            </w:pPr>
            <w:r>
              <w:rPr>
                <w:rFonts w:hint="eastAsia" w:ascii="黑体" w:eastAsia="黑体"/>
                <w:color w:val="000000"/>
              </w:rPr>
              <w:t>6</w:t>
            </w:r>
          </w:p>
        </w:tc>
        <w:tc>
          <w:tcPr>
            <w:tcW w:w="2156" w:type="dxa"/>
            <w:vAlign w:val="center"/>
          </w:tcPr>
          <w:p>
            <w:pPr>
              <w:jc w:val="center"/>
            </w:pPr>
            <w:r>
              <w:rPr>
                <w:rFonts w:hint="eastAsia"/>
              </w:rPr>
              <w:t>权利义务</w:t>
            </w: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rPr>
                <w:rFonts w:ascii="黑体" w:eastAsia="黑体"/>
                <w:color w:val="000000"/>
              </w:rPr>
            </w:pPr>
            <w:r>
              <w:rPr>
                <w:rFonts w:hint="eastAsia" w:ascii="黑体" w:eastAsia="黑体"/>
                <w:color w:val="000000"/>
              </w:rPr>
              <w:t>7</w:t>
            </w:r>
          </w:p>
        </w:tc>
        <w:tc>
          <w:tcPr>
            <w:tcW w:w="2156" w:type="dxa"/>
            <w:vAlign w:val="center"/>
          </w:tcPr>
          <w:p>
            <w:pPr>
              <w:jc w:val="center"/>
            </w:pPr>
            <w:r>
              <w:rPr>
                <w:rFonts w:hint="eastAsia"/>
              </w:rPr>
              <w:t>已标价工程量清单</w:t>
            </w: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rPr>
                <w:rFonts w:ascii="黑体" w:eastAsia="黑体"/>
                <w:color w:val="000000"/>
              </w:rPr>
            </w:pPr>
            <w:r>
              <w:rPr>
                <w:rFonts w:hint="eastAsia" w:ascii="黑体" w:eastAsia="黑体"/>
                <w:color w:val="000000"/>
              </w:rPr>
              <w:t>8</w:t>
            </w:r>
          </w:p>
        </w:tc>
        <w:tc>
          <w:tcPr>
            <w:tcW w:w="2156" w:type="dxa"/>
            <w:vAlign w:val="center"/>
          </w:tcPr>
          <w:p>
            <w:pPr>
              <w:jc w:val="center"/>
            </w:pPr>
            <w:r>
              <w:rPr>
                <w:rFonts w:hint="eastAsia"/>
              </w:rPr>
              <w:t>技术标准和要求</w:t>
            </w: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rPr>
                <w:rFonts w:ascii="黑体" w:eastAsia="黑体"/>
                <w:color w:val="000000"/>
              </w:rPr>
            </w:pPr>
            <w:r>
              <w:rPr>
                <w:rFonts w:hint="eastAsia" w:ascii="黑体" w:eastAsia="黑体"/>
                <w:color w:val="000000"/>
              </w:rPr>
              <w:t>9</w:t>
            </w:r>
          </w:p>
        </w:tc>
        <w:tc>
          <w:tcPr>
            <w:tcW w:w="2156" w:type="dxa"/>
            <w:vAlign w:val="center"/>
          </w:tcPr>
          <w:p>
            <w:pPr>
              <w:jc w:val="center"/>
            </w:pPr>
            <w:r>
              <w:rPr>
                <w:rFonts w:hint="eastAsia"/>
              </w:rPr>
              <w:t>……</w:t>
            </w: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jc w:val="center"/>
            </w:pPr>
            <w:r>
              <w:rPr>
                <w:rFonts w:hint="eastAsia"/>
              </w:rPr>
              <w:t>是否通过评审</w:t>
            </w: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7" w:type="dxa"/>
            <w:shd w:val="clear" w:color="auto" w:fill="auto"/>
            <w:vAlign w:val="center"/>
          </w:tcPr>
          <w:p>
            <w:pPr>
              <w:jc w:val="center"/>
              <w:rPr>
                <w:color w:val="000000"/>
              </w:rPr>
            </w:pPr>
          </w:p>
        </w:tc>
        <w:tc>
          <w:tcPr>
            <w:tcW w:w="1198" w:type="dxa"/>
            <w:shd w:val="clear" w:color="auto" w:fill="auto"/>
            <w:vAlign w:val="center"/>
          </w:tcPr>
          <w:p>
            <w:pPr>
              <w:jc w:val="center"/>
              <w:rPr>
                <w:color w:val="000000"/>
              </w:rPr>
            </w:pPr>
          </w:p>
        </w:tc>
      </w:tr>
    </w:tbl>
    <w:p>
      <w:pPr>
        <w:spacing w:line="440" w:lineRule="exact"/>
      </w:pPr>
      <w:r>
        <w:rPr>
          <w:rFonts w:hint="eastAsia"/>
        </w:rPr>
        <w:t>评标委员会全体成员签名：                                                                        日期：        年     月     日</w:t>
      </w:r>
    </w:p>
    <w:p>
      <w:pPr>
        <w:spacing w:line="440" w:lineRule="exact"/>
        <w:rPr>
          <w:rFonts w:ascii="黑体" w:eastAsia="黑体"/>
        </w:rPr>
      </w:pPr>
      <w:r>
        <w:rPr>
          <w:rFonts w:hint="eastAsia" w:ascii="黑体" w:eastAsia="黑体"/>
        </w:rPr>
        <w:br w:type="page"/>
      </w:r>
      <w:r>
        <w:rPr>
          <w:rFonts w:hint="eastAsia" w:ascii="黑体" w:eastAsia="黑体"/>
        </w:rPr>
        <w:t>附表A-5：施工组织设计和项目管理机构评审记录表</w:t>
      </w:r>
    </w:p>
    <w:p>
      <w:pPr>
        <w:spacing w:beforeLines="50" w:afterLines="50" w:line="440" w:lineRule="exact"/>
        <w:jc w:val="center"/>
        <w:rPr>
          <w:rFonts w:ascii="黑体" w:eastAsia="黑体"/>
          <w:sz w:val="28"/>
          <w:szCs w:val="28"/>
        </w:rPr>
      </w:pPr>
      <w:r>
        <w:rPr>
          <w:rFonts w:hint="eastAsia" w:ascii="黑体" w:eastAsia="黑体"/>
          <w:sz w:val="28"/>
          <w:szCs w:val="28"/>
        </w:rPr>
        <w:t>施工组织设计和项目管理机构评审记录表</w:t>
      </w:r>
    </w:p>
    <w:p>
      <w:pPr>
        <w:spacing w:afterLines="30" w:line="440" w:lineRule="exact"/>
        <w:rPr>
          <w:color w:val="000000"/>
        </w:rPr>
      </w:pPr>
      <w:r>
        <w:rPr>
          <w:rFonts w:hint="eastAsia"/>
          <w:color w:val="000000"/>
        </w:rPr>
        <w:t>工程名称：</w:t>
      </w:r>
      <w:r>
        <w:rPr>
          <w:rFonts w:hint="eastAsia"/>
          <w:color w:val="000000"/>
          <w:u w:val="single"/>
        </w:rPr>
        <w:t xml:space="preserve">             </w:t>
      </w:r>
      <w:r>
        <w:rPr>
          <w:rFonts w:hint="eastAsia"/>
          <w:color w:val="000000"/>
        </w:rPr>
        <w:t xml:space="preserve">(项目名称) </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2780"/>
        <w:gridCol w:w="1128"/>
        <w:gridCol w:w="1128"/>
        <w:gridCol w:w="1128"/>
        <w:gridCol w:w="1128"/>
        <w:gridCol w:w="1128"/>
        <w:gridCol w:w="1128"/>
        <w:gridCol w:w="1128"/>
        <w:gridCol w:w="1128"/>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Merge w:val="restart"/>
            <w:vAlign w:val="center"/>
          </w:tcPr>
          <w:p>
            <w:pPr>
              <w:jc w:val="center"/>
              <w:rPr>
                <w:color w:val="000000"/>
              </w:rPr>
            </w:pPr>
            <w:r>
              <w:rPr>
                <w:rFonts w:hint="eastAsia"/>
                <w:color w:val="000000"/>
              </w:rPr>
              <w:t>序号</w:t>
            </w:r>
          </w:p>
        </w:tc>
        <w:tc>
          <w:tcPr>
            <w:tcW w:w="2780" w:type="dxa"/>
            <w:vMerge w:val="restart"/>
            <w:vAlign w:val="center"/>
          </w:tcPr>
          <w:p>
            <w:pPr>
              <w:jc w:val="center"/>
              <w:rPr>
                <w:color w:val="000000"/>
              </w:rPr>
            </w:pPr>
            <w:r>
              <w:rPr>
                <w:rFonts w:hint="eastAsia"/>
                <w:color w:val="000000"/>
              </w:rPr>
              <w:t>评审因素</w:t>
            </w:r>
          </w:p>
        </w:tc>
        <w:tc>
          <w:tcPr>
            <w:tcW w:w="10152" w:type="dxa"/>
            <w:gridSpan w:val="9"/>
            <w:shd w:val="clear" w:color="auto" w:fill="auto"/>
            <w:vAlign w:val="center"/>
          </w:tcPr>
          <w:p>
            <w:pPr>
              <w:jc w:val="center"/>
              <w:rPr>
                <w:color w:val="000000"/>
              </w:rPr>
            </w:pPr>
            <w:r>
              <w:rPr>
                <w:rFonts w:hint="eastAsia"/>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Merge w:val="continue"/>
            <w:vAlign w:val="center"/>
          </w:tcPr>
          <w:p>
            <w:pPr>
              <w:jc w:val="center"/>
              <w:rPr>
                <w:rFonts w:ascii="黑体" w:eastAsia="黑体"/>
                <w:color w:val="000000"/>
              </w:rPr>
            </w:pPr>
          </w:p>
        </w:tc>
        <w:tc>
          <w:tcPr>
            <w:tcW w:w="2780" w:type="dxa"/>
            <w:vMerge w:val="continue"/>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pPr>
              <w:jc w:val="center"/>
              <w:rPr>
                <w:rFonts w:ascii="黑体" w:eastAsia="黑体"/>
                <w:color w:val="000000"/>
              </w:rPr>
            </w:pPr>
            <w:r>
              <w:rPr>
                <w:rFonts w:hint="eastAsia" w:ascii="黑体" w:eastAsia="黑体"/>
                <w:color w:val="000000"/>
              </w:rPr>
              <w:t>1</w:t>
            </w:r>
          </w:p>
        </w:tc>
        <w:tc>
          <w:tcPr>
            <w:tcW w:w="2780" w:type="dxa"/>
            <w:vAlign w:val="center"/>
          </w:tcPr>
          <w:p>
            <w:pPr>
              <w:jc w:val="center"/>
            </w:pPr>
            <w:r>
              <w:rPr>
                <w:rFonts w:hint="eastAsia"/>
              </w:rPr>
              <w:t>施工方案与技术措施</w:t>
            </w:r>
          </w:p>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pPr>
              <w:jc w:val="center"/>
              <w:rPr>
                <w:rFonts w:ascii="黑体" w:eastAsia="黑体"/>
                <w:color w:val="000000"/>
              </w:rPr>
            </w:pPr>
            <w:r>
              <w:rPr>
                <w:rFonts w:hint="eastAsia" w:ascii="黑体" w:eastAsia="黑体"/>
                <w:color w:val="000000"/>
              </w:rPr>
              <w:t>2</w:t>
            </w:r>
          </w:p>
        </w:tc>
        <w:tc>
          <w:tcPr>
            <w:tcW w:w="2780" w:type="dxa"/>
            <w:vAlign w:val="center"/>
          </w:tcPr>
          <w:p>
            <w:pPr>
              <w:jc w:val="center"/>
            </w:pPr>
            <w:r>
              <w:rPr>
                <w:rFonts w:hint="eastAsia"/>
              </w:rPr>
              <w:t>质量管理体系与措施</w:t>
            </w:r>
          </w:p>
          <w:p>
            <w:pPr>
              <w:jc w:val="cente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pPr>
              <w:jc w:val="center"/>
              <w:rPr>
                <w:rFonts w:ascii="黑体" w:eastAsia="黑体"/>
                <w:color w:val="000000"/>
              </w:rPr>
            </w:pPr>
            <w:r>
              <w:rPr>
                <w:rFonts w:hint="eastAsia" w:ascii="黑体" w:eastAsia="黑体"/>
                <w:color w:val="000000"/>
              </w:rPr>
              <w:t>3</w:t>
            </w:r>
          </w:p>
        </w:tc>
        <w:tc>
          <w:tcPr>
            <w:tcW w:w="2780" w:type="dxa"/>
            <w:vAlign w:val="center"/>
          </w:tcPr>
          <w:p>
            <w:pPr>
              <w:jc w:val="center"/>
            </w:pPr>
            <w:r>
              <w:rPr>
                <w:rFonts w:hint="eastAsia"/>
              </w:rPr>
              <w:t>安全管理体系与措施</w:t>
            </w: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pPr>
              <w:jc w:val="center"/>
              <w:rPr>
                <w:rFonts w:ascii="黑体" w:eastAsia="黑体"/>
                <w:color w:val="000000"/>
              </w:rPr>
            </w:pPr>
            <w:r>
              <w:rPr>
                <w:rFonts w:hint="eastAsia" w:ascii="黑体" w:eastAsia="黑体"/>
                <w:color w:val="000000"/>
              </w:rPr>
              <w:t>4</w:t>
            </w:r>
          </w:p>
        </w:tc>
        <w:tc>
          <w:tcPr>
            <w:tcW w:w="2780" w:type="dxa"/>
            <w:vAlign w:val="center"/>
          </w:tcPr>
          <w:p>
            <w:pPr>
              <w:jc w:val="center"/>
            </w:pPr>
            <w:r>
              <w:rPr>
                <w:rFonts w:hint="eastAsia"/>
              </w:rPr>
              <w:t>环境保护管理体系与措施</w:t>
            </w: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pPr>
              <w:jc w:val="center"/>
              <w:rPr>
                <w:rFonts w:ascii="黑体" w:eastAsia="黑体"/>
                <w:color w:val="000000"/>
              </w:rPr>
            </w:pPr>
            <w:r>
              <w:rPr>
                <w:rFonts w:hint="eastAsia" w:ascii="黑体" w:eastAsia="黑体"/>
                <w:color w:val="000000"/>
              </w:rPr>
              <w:t>5</w:t>
            </w:r>
          </w:p>
        </w:tc>
        <w:tc>
          <w:tcPr>
            <w:tcW w:w="2780" w:type="dxa"/>
            <w:vAlign w:val="center"/>
          </w:tcPr>
          <w:p>
            <w:pPr>
              <w:jc w:val="center"/>
            </w:pPr>
            <w:r>
              <w:rPr>
                <w:rFonts w:hint="eastAsia"/>
              </w:rPr>
              <w:t>工程进度计划与措施</w:t>
            </w: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pPr>
              <w:jc w:val="center"/>
              <w:rPr>
                <w:rFonts w:ascii="黑体" w:eastAsia="黑体"/>
                <w:color w:val="000000"/>
              </w:rPr>
            </w:pPr>
            <w:r>
              <w:rPr>
                <w:rFonts w:hint="eastAsia" w:ascii="黑体" w:eastAsia="黑体"/>
                <w:color w:val="000000"/>
              </w:rPr>
              <w:t>6</w:t>
            </w:r>
          </w:p>
        </w:tc>
        <w:tc>
          <w:tcPr>
            <w:tcW w:w="2780" w:type="dxa"/>
            <w:vAlign w:val="center"/>
          </w:tcPr>
          <w:p>
            <w:pPr>
              <w:jc w:val="center"/>
            </w:pPr>
            <w:r>
              <w:rPr>
                <w:rFonts w:hint="eastAsia"/>
              </w:rPr>
              <w:t>资源配备计划</w:t>
            </w: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pPr>
              <w:jc w:val="center"/>
              <w:rPr>
                <w:rFonts w:ascii="黑体" w:eastAsia="黑体"/>
                <w:color w:val="000000"/>
              </w:rPr>
            </w:pPr>
            <w:r>
              <w:rPr>
                <w:rFonts w:hint="eastAsia" w:ascii="黑体" w:eastAsia="黑体"/>
                <w:color w:val="000000"/>
              </w:rPr>
              <w:t>7</w:t>
            </w:r>
          </w:p>
        </w:tc>
        <w:tc>
          <w:tcPr>
            <w:tcW w:w="2780" w:type="dxa"/>
            <w:vAlign w:val="center"/>
          </w:tcPr>
          <w:p>
            <w:pPr>
              <w:jc w:val="center"/>
            </w:pPr>
            <w:r>
              <w:rPr>
                <w:rFonts w:hint="eastAsia"/>
              </w:rPr>
              <w:t>技术负责人</w:t>
            </w: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pPr>
              <w:jc w:val="center"/>
              <w:rPr>
                <w:rFonts w:ascii="黑体" w:eastAsia="黑体"/>
                <w:color w:val="000000"/>
              </w:rPr>
            </w:pPr>
            <w:r>
              <w:rPr>
                <w:rFonts w:hint="eastAsia" w:ascii="黑体" w:eastAsia="黑体"/>
                <w:color w:val="000000"/>
              </w:rPr>
              <w:t>8</w:t>
            </w:r>
          </w:p>
        </w:tc>
        <w:tc>
          <w:tcPr>
            <w:tcW w:w="2780" w:type="dxa"/>
            <w:vAlign w:val="center"/>
          </w:tcPr>
          <w:p>
            <w:pPr>
              <w:jc w:val="center"/>
            </w:pPr>
            <w:r>
              <w:rPr>
                <w:rFonts w:hint="eastAsia"/>
              </w:rPr>
              <w:t>其他主要人员</w:t>
            </w: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pPr>
              <w:jc w:val="center"/>
              <w:rPr>
                <w:rFonts w:ascii="黑体" w:eastAsia="黑体"/>
                <w:color w:val="000000"/>
              </w:rPr>
            </w:pPr>
            <w:r>
              <w:rPr>
                <w:rFonts w:hint="eastAsia" w:ascii="黑体" w:eastAsia="黑体"/>
                <w:color w:val="000000"/>
              </w:rPr>
              <w:t>9</w:t>
            </w:r>
          </w:p>
        </w:tc>
        <w:tc>
          <w:tcPr>
            <w:tcW w:w="2780" w:type="dxa"/>
            <w:vAlign w:val="center"/>
          </w:tcPr>
          <w:p>
            <w:pPr>
              <w:jc w:val="center"/>
            </w:pPr>
            <w:r>
              <w:rPr>
                <w:rFonts w:hint="eastAsia"/>
              </w:rPr>
              <w:t>施工设备</w:t>
            </w: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pPr>
              <w:jc w:val="center"/>
              <w:rPr>
                <w:rFonts w:ascii="黑体" w:eastAsia="黑体"/>
                <w:color w:val="000000"/>
              </w:rPr>
            </w:pPr>
            <w:r>
              <w:rPr>
                <w:rFonts w:hint="eastAsia" w:ascii="黑体" w:eastAsia="黑体"/>
                <w:color w:val="000000"/>
              </w:rPr>
              <w:t>10</w:t>
            </w:r>
          </w:p>
        </w:tc>
        <w:tc>
          <w:tcPr>
            <w:tcW w:w="2780" w:type="dxa"/>
            <w:vAlign w:val="center"/>
          </w:tcPr>
          <w:p>
            <w:pPr>
              <w:jc w:val="center"/>
            </w:pPr>
            <w:r>
              <w:rPr>
                <w:rFonts w:hint="eastAsia"/>
              </w:rPr>
              <w:t>试验、检测仪器设备</w:t>
            </w: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12" w:type="dxa"/>
            <w:vAlign w:val="center"/>
          </w:tcPr>
          <w:p>
            <w:pPr>
              <w:jc w:val="center"/>
              <w:rPr>
                <w:rFonts w:ascii="黑体" w:eastAsia="黑体"/>
                <w:color w:val="000000"/>
              </w:rPr>
            </w:pPr>
            <w:r>
              <w:rPr>
                <w:rFonts w:hint="eastAsia" w:ascii="黑体" w:eastAsia="黑体"/>
                <w:color w:val="000000"/>
              </w:rPr>
              <w:t>11</w:t>
            </w:r>
          </w:p>
        </w:tc>
        <w:tc>
          <w:tcPr>
            <w:tcW w:w="2780" w:type="dxa"/>
            <w:vAlign w:val="center"/>
          </w:tcPr>
          <w:p>
            <w:pPr>
              <w:jc w:val="center"/>
            </w:pPr>
            <w:r>
              <w:rPr>
                <w:rFonts w:hint="eastAsia"/>
              </w:rPr>
              <w:t>……</w:t>
            </w: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92" w:type="dxa"/>
            <w:gridSpan w:val="2"/>
            <w:vAlign w:val="center"/>
          </w:tcPr>
          <w:p>
            <w:pPr>
              <w:jc w:val="center"/>
            </w:pPr>
            <w:r>
              <w:rPr>
                <w:rFonts w:hint="eastAsia"/>
              </w:rPr>
              <w:t>评审结果汇总</w:t>
            </w: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692" w:type="dxa"/>
            <w:gridSpan w:val="2"/>
            <w:vAlign w:val="center"/>
          </w:tcPr>
          <w:p>
            <w:pPr>
              <w:jc w:val="center"/>
            </w:pPr>
            <w:r>
              <w:rPr>
                <w:rFonts w:hint="eastAsia"/>
              </w:rPr>
              <w:t>是否通过评审</w:t>
            </w:r>
          </w:p>
          <w:p>
            <w:pPr>
              <w:jc w:val="cente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c>
          <w:tcPr>
            <w:tcW w:w="1128" w:type="dxa"/>
            <w:shd w:val="clear" w:color="auto" w:fill="auto"/>
            <w:vAlign w:val="center"/>
          </w:tcPr>
          <w:p>
            <w:pPr>
              <w:jc w:val="center"/>
              <w:rPr>
                <w:color w:val="000000"/>
              </w:rPr>
            </w:pPr>
          </w:p>
        </w:tc>
      </w:tr>
    </w:tbl>
    <w:p>
      <w:pPr>
        <w:spacing w:line="440" w:lineRule="exact"/>
      </w:pPr>
      <w:r>
        <w:rPr>
          <w:rFonts w:hint="eastAsia"/>
        </w:rPr>
        <w:t>评标委员会成员签名：                                                                        日期：        年     月     日</w:t>
      </w:r>
    </w:p>
    <w:p>
      <w:pPr>
        <w:rPr>
          <w:rFonts w:ascii="黑体" w:eastAsia="黑体"/>
          <w:szCs w:val="21"/>
        </w:rPr>
      </w:pPr>
    </w:p>
    <w:p>
      <w:pPr>
        <w:rPr>
          <w:rFonts w:ascii="黑体" w:eastAsia="黑体"/>
          <w:szCs w:val="21"/>
        </w:rPr>
      </w:pPr>
      <w:r>
        <w:rPr>
          <w:rFonts w:hint="eastAsia" w:ascii="黑体" w:eastAsia="黑体"/>
          <w:szCs w:val="21"/>
        </w:rPr>
        <w:t>附表A-6：评标价折算评审记录表</w:t>
      </w:r>
    </w:p>
    <w:p>
      <w:pPr>
        <w:spacing w:afterLines="50"/>
        <w:jc w:val="center"/>
        <w:rPr>
          <w:rFonts w:ascii="黑体" w:eastAsia="黑体"/>
          <w:sz w:val="32"/>
          <w:szCs w:val="32"/>
        </w:rPr>
      </w:pPr>
      <w:r>
        <w:rPr>
          <w:rFonts w:hint="eastAsia" w:ascii="黑体" w:eastAsia="黑体"/>
          <w:sz w:val="32"/>
          <w:szCs w:val="32"/>
        </w:rPr>
        <w:t>评标价折算评审记录表</w:t>
      </w:r>
    </w:p>
    <w:p>
      <w:pPr>
        <w:spacing w:afterLines="50"/>
        <w:rPr>
          <w:sz w:val="10"/>
          <w:szCs w:val="10"/>
        </w:rPr>
      </w:pPr>
      <w:r>
        <w:rPr>
          <w:rFonts w:hint="eastAsia"/>
          <w:szCs w:val="21"/>
        </w:rPr>
        <w:t>工程名称：</w:t>
      </w:r>
      <w:r>
        <w:rPr>
          <w:rFonts w:hint="eastAsia"/>
          <w:szCs w:val="21"/>
          <w:u w:val="single"/>
        </w:rPr>
        <w:t xml:space="preserve">          </w:t>
      </w:r>
      <w:r>
        <w:rPr>
          <w:rFonts w:hint="eastAsia"/>
          <w:szCs w:val="21"/>
        </w:rPr>
        <w:t xml:space="preserve"> （项目名称）</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3600"/>
        <w:gridCol w:w="1202"/>
        <w:gridCol w:w="1203"/>
        <w:gridCol w:w="1202"/>
        <w:gridCol w:w="1203"/>
        <w:gridCol w:w="1202"/>
        <w:gridCol w:w="1203"/>
        <w:gridCol w:w="1202"/>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Merge w:val="restart"/>
            <w:vAlign w:val="center"/>
          </w:tcPr>
          <w:p>
            <w:pPr>
              <w:jc w:val="center"/>
              <w:rPr>
                <w:szCs w:val="21"/>
              </w:rPr>
            </w:pPr>
            <w:r>
              <w:rPr>
                <w:rFonts w:hint="eastAsia"/>
                <w:szCs w:val="21"/>
              </w:rPr>
              <w:t>序号</w:t>
            </w:r>
          </w:p>
        </w:tc>
        <w:tc>
          <w:tcPr>
            <w:tcW w:w="3600" w:type="dxa"/>
            <w:vMerge w:val="restart"/>
            <w:vAlign w:val="center"/>
          </w:tcPr>
          <w:p>
            <w:pPr>
              <w:jc w:val="center"/>
              <w:rPr>
                <w:szCs w:val="21"/>
              </w:rPr>
            </w:pPr>
            <w:r>
              <w:rPr>
                <w:rFonts w:hint="eastAsia"/>
                <w:szCs w:val="21"/>
              </w:rPr>
              <w:t>量化因素</w:t>
            </w:r>
          </w:p>
        </w:tc>
        <w:tc>
          <w:tcPr>
            <w:tcW w:w="9540" w:type="dxa"/>
            <w:gridSpan w:val="8"/>
            <w:vAlign w:val="center"/>
          </w:tcPr>
          <w:p>
            <w:pPr>
              <w:jc w:val="center"/>
              <w:rPr>
                <w:szCs w:val="21"/>
              </w:rPr>
            </w:pPr>
            <w:r>
              <w:rPr>
                <w:rFonts w:hint="eastAsia"/>
                <w:szCs w:val="21"/>
              </w:rPr>
              <w:t>投标人名称及折算价格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Merge w:val="continue"/>
            <w:vAlign w:val="center"/>
          </w:tcPr>
          <w:p>
            <w:pPr>
              <w:jc w:val="center"/>
              <w:rPr>
                <w:szCs w:val="21"/>
              </w:rPr>
            </w:pPr>
          </w:p>
        </w:tc>
        <w:tc>
          <w:tcPr>
            <w:tcW w:w="3600" w:type="dxa"/>
            <w:vMerge w:val="continue"/>
            <w:vAlign w:val="center"/>
          </w:tcPr>
          <w:p>
            <w:pPr>
              <w:jc w:val="center"/>
              <w:rPr>
                <w:szCs w:val="21"/>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1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jc w:val="center"/>
              <w:rPr>
                <w:rFonts w:ascii="黑体" w:eastAsia="黑体"/>
                <w:szCs w:val="21"/>
              </w:rPr>
            </w:pPr>
            <w:r>
              <w:rPr>
                <w:rFonts w:hint="eastAsia" w:ascii="黑体" w:eastAsia="黑体"/>
                <w:szCs w:val="21"/>
              </w:rPr>
              <w:t>1</w:t>
            </w:r>
          </w:p>
        </w:tc>
        <w:tc>
          <w:tcPr>
            <w:tcW w:w="3600" w:type="dxa"/>
            <w:vAlign w:val="center"/>
          </w:tcPr>
          <w:p>
            <w:pPr>
              <w:jc w:val="center"/>
              <w:rPr>
                <w:szCs w:val="21"/>
              </w:rPr>
            </w:pPr>
            <w:r>
              <w:rPr>
                <w:rFonts w:hint="eastAsia"/>
                <w:szCs w:val="21"/>
              </w:rPr>
              <w:t>投标报价错漏项</w:t>
            </w: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1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jc w:val="center"/>
              <w:rPr>
                <w:rFonts w:ascii="黑体" w:eastAsia="黑体"/>
                <w:szCs w:val="21"/>
              </w:rPr>
            </w:pPr>
            <w:r>
              <w:rPr>
                <w:rFonts w:hint="eastAsia" w:ascii="黑体" w:eastAsia="黑体"/>
                <w:szCs w:val="21"/>
              </w:rPr>
              <w:t>2</w:t>
            </w:r>
          </w:p>
        </w:tc>
        <w:tc>
          <w:tcPr>
            <w:tcW w:w="3600" w:type="dxa"/>
            <w:vAlign w:val="center"/>
          </w:tcPr>
          <w:p>
            <w:pPr>
              <w:jc w:val="center"/>
              <w:rPr>
                <w:szCs w:val="21"/>
              </w:rPr>
            </w:pPr>
            <w:r>
              <w:rPr>
                <w:rFonts w:hint="eastAsia"/>
                <w:szCs w:val="21"/>
              </w:rPr>
              <w:t>不平衡报价</w:t>
            </w: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1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jc w:val="center"/>
              <w:rPr>
                <w:rFonts w:ascii="黑体" w:eastAsia="黑体"/>
                <w:szCs w:val="21"/>
              </w:rPr>
            </w:pPr>
            <w:r>
              <w:rPr>
                <w:rFonts w:hint="eastAsia" w:ascii="黑体" w:eastAsia="黑体"/>
                <w:szCs w:val="21"/>
              </w:rPr>
              <w:t>3</w:t>
            </w:r>
          </w:p>
        </w:tc>
        <w:tc>
          <w:tcPr>
            <w:tcW w:w="3600" w:type="dxa"/>
            <w:vAlign w:val="center"/>
          </w:tcPr>
          <w:p>
            <w:pPr>
              <w:jc w:val="center"/>
              <w:rPr>
                <w:szCs w:val="21"/>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1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jc w:val="center"/>
              <w:rPr>
                <w:rFonts w:ascii="黑体" w:eastAsia="黑体"/>
                <w:szCs w:val="21"/>
              </w:rPr>
            </w:pPr>
          </w:p>
        </w:tc>
        <w:tc>
          <w:tcPr>
            <w:tcW w:w="3600" w:type="dxa"/>
            <w:vAlign w:val="center"/>
          </w:tcPr>
          <w:p>
            <w:pPr>
              <w:jc w:val="center"/>
              <w:rPr>
                <w:szCs w:val="21"/>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1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jc w:val="center"/>
              <w:rPr>
                <w:rFonts w:ascii="黑体" w:eastAsia="黑体"/>
                <w:szCs w:val="21"/>
              </w:rPr>
            </w:pPr>
          </w:p>
        </w:tc>
        <w:tc>
          <w:tcPr>
            <w:tcW w:w="3600" w:type="dxa"/>
            <w:vAlign w:val="center"/>
          </w:tcPr>
          <w:p>
            <w:pPr>
              <w:jc w:val="center"/>
              <w:rPr>
                <w:szCs w:val="21"/>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1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jc w:val="center"/>
              <w:rPr>
                <w:szCs w:val="21"/>
              </w:rPr>
            </w:pPr>
          </w:p>
        </w:tc>
        <w:tc>
          <w:tcPr>
            <w:tcW w:w="3600" w:type="dxa"/>
            <w:vAlign w:val="center"/>
          </w:tcPr>
          <w:p>
            <w:pPr>
              <w:jc w:val="center"/>
              <w:rPr>
                <w:szCs w:val="21"/>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1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jc w:val="center"/>
              <w:rPr>
                <w:szCs w:val="21"/>
              </w:rPr>
            </w:pPr>
          </w:p>
        </w:tc>
        <w:tc>
          <w:tcPr>
            <w:tcW w:w="3600" w:type="dxa"/>
            <w:vAlign w:val="center"/>
          </w:tcPr>
          <w:p>
            <w:pPr>
              <w:jc w:val="center"/>
              <w:rPr>
                <w:szCs w:val="21"/>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1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jc w:val="center"/>
              <w:rPr>
                <w:szCs w:val="21"/>
              </w:rPr>
            </w:pPr>
          </w:p>
        </w:tc>
        <w:tc>
          <w:tcPr>
            <w:tcW w:w="3600" w:type="dxa"/>
            <w:vAlign w:val="center"/>
          </w:tcPr>
          <w:p>
            <w:pPr>
              <w:jc w:val="center"/>
              <w:rPr>
                <w:szCs w:val="21"/>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1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jc w:val="center"/>
              <w:rPr>
                <w:szCs w:val="21"/>
              </w:rPr>
            </w:pPr>
          </w:p>
        </w:tc>
        <w:tc>
          <w:tcPr>
            <w:tcW w:w="3600" w:type="dxa"/>
            <w:vAlign w:val="center"/>
          </w:tcPr>
          <w:p>
            <w:pPr>
              <w:jc w:val="center"/>
              <w:rPr>
                <w:szCs w:val="21"/>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1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jc w:val="center"/>
              <w:rPr>
                <w:szCs w:val="21"/>
              </w:rPr>
            </w:pPr>
          </w:p>
        </w:tc>
        <w:tc>
          <w:tcPr>
            <w:tcW w:w="3600" w:type="dxa"/>
            <w:vAlign w:val="center"/>
          </w:tcPr>
          <w:p>
            <w:pPr>
              <w:jc w:val="center"/>
              <w:rPr>
                <w:szCs w:val="21"/>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1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20" w:type="dxa"/>
            <w:vAlign w:val="center"/>
          </w:tcPr>
          <w:p>
            <w:pPr>
              <w:jc w:val="center"/>
              <w:rPr>
                <w:szCs w:val="21"/>
              </w:rPr>
            </w:pPr>
          </w:p>
        </w:tc>
        <w:tc>
          <w:tcPr>
            <w:tcW w:w="3600" w:type="dxa"/>
            <w:vAlign w:val="center"/>
          </w:tcPr>
          <w:p>
            <w:pPr>
              <w:jc w:val="center"/>
              <w:rPr>
                <w:szCs w:val="21"/>
              </w:rPr>
            </w:pPr>
            <w:r>
              <w:rPr>
                <w:rFonts w:hint="eastAsia"/>
                <w:szCs w:val="21"/>
              </w:rPr>
              <w:t>……</w:t>
            </w: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1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20" w:type="dxa"/>
            <w:gridSpan w:val="2"/>
            <w:vAlign w:val="center"/>
          </w:tcPr>
          <w:p>
            <w:pPr>
              <w:jc w:val="center"/>
              <w:rPr>
                <w:szCs w:val="21"/>
              </w:rPr>
            </w:pPr>
            <w:r>
              <w:rPr>
                <w:rFonts w:hint="eastAsia"/>
                <w:szCs w:val="21"/>
              </w:rPr>
              <w:t>投标报价</w:t>
            </w: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123"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320" w:type="dxa"/>
            <w:gridSpan w:val="2"/>
            <w:vAlign w:val="center"/>
          </w:tcPr>
          <w:p>
            <w:pPr>
              <w:jc w:val="center"/>
              <w:rPr>
                <w:szCs w:val="21"/>
              </w:rPr>
            </w:pPr>
            <w:r>
              <w:rPr>
                <w:rFonts w:hint="eastAsia"/>
                <w:szCs w:val="21"/>
              </w:rPr>
              <w:t>评标价（投标报价+Σ量化因素折算价格）</w:t>
            </w: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203" w:type="dxa"/>
            <w:vAlign w:val="center"/>
          </w:tcPr>
          <w:p>
            <w:pPr>
              <w:jc w:val="center"/>
              <w:rPr>
                <w:sz w:val="24"/>
              </w:rPr>
            </w:pPr>
          </w:p>
        </w:tc>
        <w:tc>
          <w:tcPr>
            <w:tcW w:w="1202" w:type="dxa"/>
            <w:vAlign w:val="center"/>
          </w:tcPr>
          <w:p>
            <w:pPr>
              <w:jc w:val="center"/>
              <w:rPr>
                <w:sz w:val="24"/>
              </w:rPr>
            </w:pPr>
          </w:p>
        </w:tc>
        <w:tc>
          <w:tcPr>
            <w:tcW w:w="1123" w:type="dxa"/>
            <w:vAlign w:val="center"/>
          </w:tcPr>
          <w:p>
            <w:pPr>
              <w:jc w:val="center"/>
              <w:rPr>
                <w:sz w:val="24"/>
              </w:rPr>
            </w:pPr>
          </w:p>
        </w:tc>
      </w:tr>
    </w:tbl>
    <w:p>
      <w:pPr>
        <w:rPr>
          <w:szCs w:val="21"/>
        </w:rPr>
      </w:pPr>
      <w:r>
        <w:rPr>
          <w:rFonts w:hint="eastAsia"/>
          <w:szCs w:val="21"/>
        </w:rPr>
        <w:t xml:space="preserve">评标委员会全体成员签名：                                                                          日期：    年    月     日     </w:t>
      </w:r>
    </w:p>
    <w:p>
      <w:pPr>
        <w:rPr>
          <w:rFonts w:ascii="黑体" w:eastAsia="黑体"/>
          <w:szCs w:val="21"/>
        </w:rPr>
      </w:pPr>
    </w:p>
    <w:p>
      <w:pPr>
        <w:rPr>
          <w:rFonts w:ascii="黑体" w:eastAsia="黑体"/>
          <w:szCs w:val="21"/>
        </w:rPr>
      </w:pPr>
      <w:r>
        <w:rPr>
          <w:rFonts w:hint="eastAsia" w:ascii="黑体" w:eastAsia="黑体"/>
          <w:szCs w:val="21"/>
        </w:rPr>
        <w:t>附表A-7：评标结果汇总表</w:t>
      </w:r>
    </w:p>
    <w:p>
      <w:pPr>
        <w:spacing w:afterLines="50"/>
        <w:jc w:val="center"/>
        <w:rPr>
          <w:rFonts w:ascii="黑体" w:eastAsia="黑体"/>
          <w:sz w:val="32"/>
          <w:szCs w:val="32"/>
        </w:rPr>
      </w:pPr>
      <w:r>
        <w:rPr>
          <w:rFonts w:hint="eastAsia" w:ascii="黑体" w:eastAsia="黑体"/>
          <w:sz w:val="32"/>
          <w:szCs w:val="32"/>
        </w:rPr>
        <w:t>评标结果汇总表</w:t>
      </w:r>
    </w:p>
    <w:p>
      <w:pPr>
        <w:spacing w:afterLines="50"/>
        <w:rPr>
          <w:sz w:val="10"/>
          <w:szCs w:val="10"/>
        </w:rPr>
      </w:pPr>
      <w:r>
        <w:rPr>
          <w:rFonts w:hint="eastAsia"/>
          <w:szCs w:val="21"/>
        </w:rPr>
        <w:t>工程名称：</w:t>
      </w:r>
      <w:r>
        <w:rPr>
          <w:rFonts w:hint="eastAsia"/>
          <w:szCs w:val="21"/>
          <w:u w:val="single"/>
        </w:rPr>
        <w:t xml:space="preserve">          </w:t>
      </w:r>
      <w:r>
        <w:rPr>
          <w:rFonts w:hint="eastAsia"/>
          <w:szCs w:val="21"/>
        </w:rPr>
        <w:t xml:space="preserve"> （项目名称）</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880"/>
        <w:gridCol w:w="1463"/>
        <w:gridCol w:w="1463"/>
        <w:gridCol w:w="1463"/>
        <w:gridCol w:w="1463"/>
        <w:gridCol w:w="1463"/>
        <w:gridCol w:w="1464"/>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20" w:type="dxa"/>
            <w:vMerge w:val="restart"/>
            <w:vAlign w:val="center"/>
          </w:tcPr>
          <w:p>
            <w:pPr>
              <w:jc w:val="center"/>
              <w:rPr>
                <w:szCs w:val="21"/>
              </w:rPr>
            </w:pPr>
            <w:r>
              <w:rPr>
                <w:rFonts w:hint="eastAsia"/>
                <w:szCs w:val="21"/>
              </w:rPr>
              <w:t>序号</w:t>
            </w:r>
          </w:p>
        </w:tc>
        <w:tc>
          <w:tcPr>
            <w:tcW w:w="2880" w:type="dxa"/>
            <w:vMerge w:val="restart"/>
            <w:tcBorders>
              <w:right w:val="double" w:color="auto" w:sz="4" w:space="0"/>
            </w:tcBorders>
            <w:vAlign w:val="center"/>
          </w:tcPr>
          <w:p>
            <w:pPr>
              <w:jc w:val="center"/>
              <w:rPr>
                <w:szCs w:val="21"/>
              </w:rPr>
            </w:pPr>
            <w:r>
              <w:rPr>
                <w:rFonts w:hint="eastAsia"/>
                <w:szCs w:val="21"/>
              </w:rPr>
              <w:t>投标人名称</w:t>
            </w:r>
          </w:p>
        </w:tc>
        <w:tc>
          <w:tcPr>
            <w:tcW w:w="2926" w:type="dxa"/>
            <w:gridSpan w:val="2"/>
            <w:tcBorders>
              <w:left w:val="double" w:color="auto" w:sz="4" w:space="0"/>
              <w:right w:val="double" w:color="auto" w:sz="4" w:space="0"/>
            </w:tcBorders>
            <w:vAlign w:val="center"/>
          </w:tcPr>
          <w:p>
            <w:pPr>
              <w:jc w:val="center"/>
              <w:rPr>
                <w:szCs w:val="21"/>
              </w:rPr>
            </w:pPr>
            <w:r>
              <w:rPr>
                <w:rFonts w:hint="eastAsia"/>
                <w:szCs w:val="21"/>
              </w:rPr>
              <w:t>初步评审</w:t>
            </w:r>
          </w:p>
        </w:tc>
        <w:tc>
          <w:tcPr>
            <w:tcW w:w="5853" w:type="dxa"/>
            <w:gridSpan w:val="4"/>
            <w:tcBorders>
              <w:left w:val="double" w:color="auto" w:sz="4" w:space="0"/>
              <w:right w:val="double" w:color="auto" w:sz="4" w:space="0"/>
            </w:tcBorders>
            <w:vAlign w:val="center"/>
          </w:tcPr>
          <w:p>
            <w:pPr>
              <w:jc w:val="center"/>
              <w:rPr>
                <w:szCs w:val="21"/>
              </w:rPr>
            </w:pPr>
            <w:r>
              <w:rPr>
                <w:rFonts w:hint="eastAsia"/>
                <w:szCs w:val="21"/>
              </w:rPr>
              <w:t>详细评审</w:t>
            </w:r>
          </w:p>
        </w:tc>
        <w:tc>
          <w:tcPr>
            <w:tcW w:w="1481" w:type="dxa"/>
            <w:vMerge w:val="restart"/>
            <w:tcBorders>
              <w:left w:val="double" w:color="auto" w:sz="4" w:space="0"/>
            </w:tcBorders>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20" w:type="dxa"/>
            <w:vMerge w:val="continue"/>
            <w:vAlign w:val="center"/>
          </w:tcPr>
          <w:p>
            <w:pPr>
              <w:jc w:val="center"/>
              <w:rPr>
                <w:szCs w:val="21"/>
              </w:rPr>
            </w:pPr>
          </w:p>
        </w:tc>
        <w:tc>
          <w:tcPr>
            <w:tcW w:w="2880" w:type="dxa"/>
            <w:vMerge w:val="continue"/>
            <w:tcBorders>
              <w:right w:val="double" w:color="auto" w:sz="4" w:space="0"/>
            </w:tcBorders>
            <w:vAlign w:val="center"/>
          </w:tcPr>
          <w:p>
            <w:pPr>
              <w:jc w:val="center"/>
              <w:rPr>
                <w:szCs w:val="21"/>
              </w:rPr>
            </w:pPr>
          </w:p>
        </w:tc>
        <w:tc>
          <w:tcPr>
            <w:tcW w:w="1463" w:type="dxa"/>
            <w:tcBorders>
              <w:left w:val="double" w:color="auto" w:sz="4" w:space="0"/>
            </w:tcBorders>
            <w:vAlign w:val="center"/>
          </w:tcPr>
          <w:p>
            <w:pPr>
              <w:jc w:val="center"/>
              <w:rPr>
                <w:szCs w:val="21"/>
              </w:rPr>
            </w:pPr>
            <w:r>
              <w:rPr>
                <w:rFonts w:hint="eastAsia"/>
                <w:szCs w:val="21"/>
              </w:rPr>
              <w:t>合格</w:t>
            </w:r>
          </w:p>
        </w:tc>
        <w:tc>
          <w:tcPr>
            <w:tcW w:w="1463" w:type="dxa"/>
            <w:tcBorders>
              <w:right w:val="double" w:color="auto" w:sz="4" w:space="0"/>
            </w:tcBorders>
            <w:vAlign w:val="center"/>
          </w:tcPr>
          <w:p>
            <w:pPr>
              <w:jc w:val="center"/>
              <w:rPr>
                <w:szCs w:val="21"/>
              </w:rPr>
            </w:pPr>
            <w:r>
              <w:rPr>
                <w:rFonts w:hint="eastAsia"/>
                <w:szCs w:val="21"/>
              </w:rPr>
              <w:t>不合格</w:t>
            </w:r>
          </w:p>
        </w:tc>
        <w:tc>
          <w:tcPr>
            <w:tcW w:w="1463" w:type="dxa"/>
            <w:tcBorders>
              <w:left w:val="double" w:color="auto" w:sz="4" w:space="0"/>
            </w:tcBorders>
            <w:vAlign w:val="center"/>
          </w:tcPr>
          <w:p>
            <w:pPr>
              <w:jc w:val="center"/>
              <w:rPr>
                <w:szCs w:val="21"/>
              </w:rPr>
            </w:pPr>
            <w:r>
              <w:rPr>
                <w:rFonts w:hint="eastAsia"/>
                <w:szCs w:val="21"/>
              </w:rPr>
              <w:t>投标报价</w:t>
            </w:r>
          </w:p>
        </w:tc>
        <w:tc>
          <w:tcPr>
            <w:tcW w:w="1463" w:type="dxa"/>
            <w:vAlign w:val="center"/>
          </w:tcPr>
          <w:p>
            <w:pPr>
              <w:jc w:val="center"/>
              <w:rPr>
                <w:szCs w:val="21"/>
              </w:rPr>
            </w:pPr>
            <w:r>
              <w:rPr>
                <w:rFonts w:hint="eastAsia"/>
                <w:szCs w:val="21"/>
              </w:rPr>
              <w:t>是否低于</w:t>
            </w:r>
          </w:p>
          <w:p>
            <w:pPr>
              <w:jc w:val="center"/>
              <w:rPr>
                <w:szCs w:val="21"/>
              </w:rPr>
            </w:pPr>
            <w:r>
              <w:rPr>
                <w:rFonts w:hint="eastAsia"/>
                <w:szCs w:val="21"/>
              </w:rPr>
              <w:t>成本</w:t>
            </w:r>
          </w:p>
        </w:tc>
        <w:tc>
          <w:tcPr>
            <w:tcW w:w="1463" w:type="dxa"/>
            <w:vAlign w:val="center"/>
          </w:tcPr>
          <w:p>
            <w:pPr>
              <w:jc w:val="center"/>
              <w:rPr>
                <w:szCs w:val="21"/>
              </w:rPr>
            </w:pPr>
            <w:r>
              <w:rPr>
                <w:rFonts w:hint="eastAsia"/>
                <w:szCs w:val="21"/>
              </w:rPr>
              <w:t>评标价</w:t>
            </w:r>
          </w:p>
        </w:tc>
        <w:tc>
          <w:tcPr>
            <w:tcW w:w="1464" w:type="dxa"/>
            <w:tcBorders>
              <w:right w:val="double" w:color="auto" w:sz="4" w:space="0"/>
            </w:tcBorders>
            <w:vAlign w:val="center"/>
          </w:tcPr>
          <w:p>
            <w:pPr>
              <w:jc w:val="center"/>
              <w:rPr>
                <w:szCs w:val="21"/>
              </w:rPr>
            </w:pPr>
            <w:r>
              <w:rPr>
                <w:rFonts w:hint="eastAsia"/>
                <w:szCs w:val="21"/>
              </w:rPr>
              <w:t>排序（评标价由低至高）</w:t>
            </w:r>
          </w:p>
        </w:tc>
        <w:tc>
          <w:tcPr>
            <w:tcW w:w="1481" w:type="dxa"/>
            <w:vMerge w:val="continue"/>
            <w:tcBorders>
              <w:left w:val="doub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vAlign w:val="center"/>
          </w:tcPr>
          <w:p>
            <w:pPr>
              <w:jc w:val="center"/>
              <w:rPr>
                <w:rFonts w:ascii="黑体" w:eastAsia="黑体"/>
                <w:szCs w:val="21"/>
              </w:rPr>
            </w:pPr>
            <w:r>
              <w:rPr>
                <w:rFonts w:hint="eastAsia" w:ascii="黑体" w:eastAsia="黑体"/>
                <w:szCs w:val="21"/>
              </w:rPr>
              <w:t>1</w:t>
            </w:r>
          </w:p>
        </w:tc>
        <w:tc>
          <w:tcPr>
            <w:tcW w:w="2880" w:type="dxa"/>
            <w:tcBorders>
              <w:right w:val="double" w:color="auto" w:sz="4" w:space="0"/>
            </w:tcBorders>
            <w:vAlign w:val="center"/>
          </w:tcPr>
          <w:p>
            <w:pPr>
              <w:jc w:val="center"/>
              <w:rPr>
                <w:szCs w:val="21"/>
              </w:rPr>
            </w:pPr>
          </w:p>
        </w:tc>
        <w:tc>
          <w:tcPr>
            <w:tcW w:w="1463" w:type="dxa"/>
            <w:tcBorders>
              <w:left w:val="double" w:color="auto" w:sz="4" w:space="0"/>
            </w:tcBorders>
            <w:vAlign w:val="center"/>
          </w:tcPr>
          <w:p>
            <w:pPr>
              <w:jc w:val="center"/>
              <w:rPr>
                <w:szCs w:val="21"/>
              </w:rPr>
            </w:pPr>
          </w:p>
        </w:tc>
        <w:tc>
          <w:tcPr>
            <w:tcW w:w="1463" w:type="dxa"/>
            <w:tcBorders>
              <w:right w:val="double" w:color="auto" w:sz="4" w:space="0"/>
            </w:tcBorders>
            <w:vAlign w:val="center"/>
          </w:tcPr>
          <w:p>
            <w:pPr>
              <w:jc w:val="center"/>
              <w:rPr>
                <w:szCs w:val="21"/>
              </w:rPr>
            </w:pPr>
          </w:p>
        </w:tc>
        <w:tc>
          <w:tcPr>
            <w:tcW w:w="1463" w:type="dxa"/>
            <w:tcBorders>
              <w:left w:val="double" w:color="auto" w:sz="4" w:space="0"/>
            </w:tcBorders>
            <w:vAlign w:val="center"/>
          </w:tcPr>
          <w:p>
            <w:pPr>
              <w:jc w:val="center"/>
              <w:rPr>
                <w:szCs w:val="21"/>
              </w:rPr>
            </w:pPr>
          </w:p>
        </w:tc>
        <w:tc>
          <w:tcPr>
            <w:tcW w:w="1463" w:type="dxa"/>
            <w:vAlign w:val="center"/>
          </w:tcPr>
          <w:p>
            <w:pPr>
              <w:jc w:val="center"/>
              <w:rPr>
                <w:szCs w:val="21"/>
              </w:rPr>
            </w:pPr>
          </w:p>
        </w:tc>
        <w:tc>
          <w:tcPr>
            <w:tcW w:w="1463" w:type="dxa"/>
            <w:vAlign w:val="center"/>
          </w:tcPr>
          <w:p>
            <w:pPr>
              <w:jc w:val="center"/>
              <w:rPr>
                <w:szCs w:val="21"/>
              </w:rPr>
            </w:pPr>
          </w:p>
        </w:tc>
        <w:tc>
          <w:tcPr>
            <w:tcW w:w="1464" w:type="dxa"/>
            <w:tcBorders>
              <w:right w:val="double" w:color="auto" w:sz="4" w:space="0"/>
            </w:tcBorders>
            <w:vAlign w:val="center"/>
          </w:tcPr>
          <w:p>
            <w:pPr>
              <w:jc w:val="center"/>
              <w:rPr>
                <w:szCs w:val="21"/>
              </w:rPr>
            </w:pPr>
          </w:p>
        </w:tc>
        <w:tc>
          <w:tcPr>
            <w:tcW w:w="1481" w:type="dxa"/>
            <w:tcBorders>
              <w:left w:val="doub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vAlign w:val="center"/>
          </w:tcPr>
          <w:p>
            <w:pPr>
              <w:jc w:val="center"/>
              <w:rPr>
                <w:rFonts w:ascii="黑体" w:eastAsia="黑体"/>
                <w:szCs w:val="21"/>
              </w:rPr>
            </w:pPr>
            <w:r>
              <w:rPr>
                <w:rFonts w:hint="eastAsia" w:ascii="黑体" w:eastAsia="黑体"/>
                <w:szCs w:val="21"/>
              </w:rPr>
              <w:t>2</w:t>
            </w:r>
          </w:p>
        </w:tc>
        <w:tc>
          <w:tcPr>
            <w:tcW w:w="2880" w:type="dxa"/>
            <w:tcBorders>
              <w:right w:val="double" w:color="auto" w:sz="4" w:space="0"/>
            </w:tcBorders>
            <w:vAlign w:val="center"/>
          </w:tcPr>
          <w:p>
            <w:pPr>
              <w:jc w:val="center"/>
              <w:rPr>
                <w:szCs w:val="21"/>
              </w:rPr>
            </w:pPr>
          </w:p>
        </w:tc>
        <w:tc>
          <w:tcPr>
            <w:tcW w:w="1463" w:type="dxa"/>
            <w:tcBorders>
              <w:left w:val="double" w:color="auto" w:sz="4" w:space="0"/>
            </w:tcBorders>
            <w:vAlign w:val="center"/>
          </w:tcPr>
          <w:p>
            <w:pPr>
              <w:jc w:val="center"/>
              <w:rPr>
                <w:szCs w:val="21"/>
              </w:rPr>
            </w:pPr>
          </w:p>
        </w:tc>
        <w:tc>
          <w:tcPr>
            <w:tcW w:w="1463" w:type="dxa"/>
            <w:tcBorders>
              <w:right w:val="double" w:color="auto" w:sz="4" w:space="0"/>
            </w:tcBorders>
            <w:vAlign w:val="center"/>
          </w:tcPr>
          <w:p>
            <w:pPr>
              <w:jc w:val="center"/>
              <w:rPr>
                <w:szCs w:val="21"/>
              </w:rPr>
            </w:pPr>
          </w:p>
        </w:tc>
        <w:tc>
          <w:tcPr>
            <w:tcW w:w="1463" w:type="dxa"/>
            <w:tcBorders>
              <w:left w:val="double" w:color="auto" w:sz="4" w:space="0"/>
            </w:tcBorders>
            <w:vAlign w:val="center"/>
          </w:tcPr>
          <w:p>
            <w:pPr>
              <w:jc w:val="center"/>
              <w:rPr>
                <w:szCs w:val="21"/>
              </w:rPr>
            </w:pPr>
          </w:p>
        </w:tc>
        <w:tc>
          <w:tcPr>
            <w:tcW w:w="1463" w:type="dxa"/>
            <w:vAlign w:val="center"/>
          </w:tcPr>
          <w:p>
            <w:pPr>
              <w:jc w:val="center"/>
              <w:rPr>
                <w:szCs w:val="21"/>
              </w:rPr>
            </w:pPr>
          </w:p>
        </w:tc>
        <w:tc>
          <w:tcPr>
            <w:tcW w:w="1463" w:type="dxa"/>
            <w:vAlign w:val="center"/>
          </w:tcPr>
          <w:p>
            <w:pPr>
              <w:jc w:val="center"/>
              <w:rPr>
                <w:szCs w:val="21"/>
              </w:rPr>
            </w:pPr>
          </w:p>
        </w:tc>
        <w:tc>
          <w:tcPr>
            <w:tcW w:w="1464" w:type="dxa"/>
            <w:tcBorders>
              <w:right w:val="double" w:color="auto" w:sz="4" w:space="0"/>
            </w:tcBorders>
            <w:vAlign w:val="center"/>
          </w:tcPr>
          <w:p>
            <w:pPr>
              <w:jc w:val="center"/>
              <w:rPr>
                <w:szCs w:val="21"/>
              </w:rPr>
            </w:pPr>
          </w:p>
        </w:tc>
        <w:tc>
          <w:tcPr>
            <w:tcW w:w="1481" w:type="dxa"/>
            <w:tcBorders>
              <w:left w:val="doub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vAlign w:val="center"/>
          </w:tcPr>
          <w:p>
            <w:pPr>
              <w:jc w:val="center"/>
              <w:rPr>
                <w:rFonts w:ascii="黑体" w:eastAsia="黑体"/>
                <w:szCs w:val="21"/>
              </w:rPr>
            </w:pPr>
            <w:r>
              <w:rPr>
                <w:rFonts w:hint="eastAsia" w:ascii="黑体" w:eastAsia="黑体"/>
                <w:szCs w:val="21"/>
              </w:rPr>
              <w:t>3</w:t>
            </w:r>
          </w:p>
        </w:tc>
        <w:tc>
          <w:tcPr>
            <w:tcW w:w="2880" w:type="dxa"/>
            <w:tcBorders>
              <w:right w:val="double" w:color="auto" w:sz="4" w:space="0"/>
            </w:tcBorders>
            <w:vAlign w:val="center"/>
          </w:tcPr>
          <w:p>
            <w:pPr>
              <w:jc w:val="center"/>
              <w:rPr>
                <w:szCs w:val="21"/>
              </w:rPr>
            </w:pPr>
          </w:p>
        </w:tc>
        <w:tc>
          <w:tcPr>
            <w:tcW w:w="1463" w:type="dxa"/>
            <w:tcBorders>
              <w:left w:val="double" w:color="auto" w:sz="4" w:space="0"/>
            </w:tcBorders>
            <w:vAlign w:val="center"/>
          </w:tcPr>
          <w:p>
            <w:pPr>
              <w:jc w:val="center"/>
              <w:rPr>
                <w:szCs w:val="21"/>
              </w:rPr>
            </w:pPr>
          </w:p>
        </w:tc>
        <w:tc>
          <w:tcPr>
            <w:tcW w:w="1463" w:type="dxa"/>
            <w:tcBorders>
              <w:right w:val="double" w:color="auto" w:sz="4" w:space="0"/>
            </w:tcBorders>
            <w:vAlign w:val="center"/>
          </w:tcPr>
          <w:p>
            <w:pPr>
              <w:jc w:val="center"/>
              <w:rPr>
                <w:szCs w:val="21"/>
              </w:rPr>
            </w:pPr>
          </w:p>
        </w:tc>
        <w:tc>
          <w:tcPr>
            <w:tcW w:w="1463" w:type="dxa"/>
            <w:tcBorders>
              <w:left w:val="double" w:color="auto" w:sz="4" w:space="0"/>
            </w:tcBorders>
            <w:vAlign w:val="center"/>
          </w:tcPr>
          <w:p>
            <w:pPr>
              <w:jc w:val="center"/>
              <w:rPr>
                <w:szCs w:val="21"/>
              </w:rPr>
            </w:pPr>
          </w:p>
        </w:tc>
        <w:tc>
          <w:tcPr>
            <w:tcW w:w="1463" w:type="dxa"/>
            <w:vAlign w:val="center"/>
          </w:tcPr>
          <w:p>
            <w:pPr>
              <w:jc w:val="center"/>
              <w:rPr>
                <w:szCs w:val="21"/>
              </w:rPr>
            </w:pPr>
          </w:p>
        </w:tc>
        <w:tc>
          <w:tcPr>
            <w:tcW w:w="1463" w:type="dxa"/>
            <w:vAlign w:val="center"/>
          </w:tcPr>
          <w:p>
            <w:pPr>
              <w:jc w:val="center"/>
              <w:rPr>
                <w:szCs w:val="21"/>
              </w:rPr>
            </w:pPr>
          </w:p>
        </w:tc>
        <w:tc>
          <w:tcPr>
            <w:tcW w:w="1464" w:type="dxa"/>
            <w:tcBorders>
              <w:right w:val="double" w:color="auto" w:sz="4" w:space="0"/>
            </w:tcBorders>
            <w:vAlign w:val="center"/>
          </w:tcPr>
          <w:p>
            <w:pPr>
              <w:jc w:val="center"/>
              <w:rPr>
                <w:szCs w:val="21"/>
              </w:rPr>
            </w:pPr>
          </w:p>
        </w:tc>
        <w:tc>
          <w:tcPr>
            <w:tcW w:w="1481" w:type="dxa"/>
            <w:tcBorders>
              <w:left w:val="doub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vAlign w:val="center"/>
          </w:tcPr>
          <w:p>
            <w:pPr>
              <w:jc w:val="center"/>
              <w:rPr>
                <w:rFonts w:ascii="黑体" w:eastAsia="黑体"/>
                <w:szCs w:val="21"/>
              </w:rPr>
            </w:pPr>
            <w:r>
              <w:rPr>
                <w:rFonts w:hint="eastAsia" w:ascii="黑体" w:eastAsia="黑体"/>
                <w:szCs w:val="21"/>
              </w:rPr>
              <w:t>4</w:t>
            </w:r>
          </w:p>
        </w:tc>
        <w:tc>
          <w:tcPr>
            <w:tcW w:w="2880" w:type="dxa"/>
            <w:tcBorders>
              <w:right w:val="double" w:color="auto" w:sz="4" w:space="0"/>
            </w:tcBorders>
            <w:vAlign w:val="center"/>
          </w:tcPr>
          <w:p>
            <w:pPr>
              <w:jc w:val="center"/>
              <w:rPr>
                <w:szCs w:val="21"/>
              </w:rPr>
            </w:pPr>
          </w:p>
        </w:tc>
        <w:tc>
          <w:tcPr>
            <w:tcW w:w="1463" w:type="dxa"/>
            <w:tcBorders>
              <w:left w:val="double" w:color="auto" w:sz="4" w:space="0"/>
            </w:tcBorders>
            <w:vAlign w:val="center"/>
          </w:tcPr>
          <w:p>
            <w:pPr>
              <w:jc w:val="center"/>
              <w:rPr>
                <w:szCs w:val="21"/>
              </w:rPr>
            </w:pPr>
          </w:p>
        </w:tc>
        <w:tc>
          <w:tcPr>
            <w:tcW w:w="1463" w:type="dxa"/>
            <w:tcBorders>
              <w:right w:val="double" w:color="auto" w:sz="4" w:space="0"/>
            </w:tcBorders>
            <w:vAlign w:val="center"/>
          </w:tcPr>
          <w:p>
            <w:pPr>
              <w:jc w:val="center"/>
              <w:rPr>
                <w:szCs w:val="21"/>
              </w:rPr>
            </w:pPr>
          </w:p>
        </w:tc>
        <w:tc>
          <w:tcPr>
            <w:tcW w:w="1463" w:type="dxa"/>
            <w:tcBorders>
              <w:left w:val="double" w:color="auto" w:sz="4" w:space="0"/>
            </w:tcBorders>
            <w:vAlign w:val="center"/>
          </w:tcPr>
          <w:p>
            <w:pPr>
              <w:jc w:val="center"/>
              <w:rPr>
                <w:szCs w:val="21"/>
              </w:rPr>
            </w:pPr>
          </w:p>
        </w:tc>
        <w:tc>
          <w:tcPr>
            <w:tcW w:w="1463" w:type="dxa"/>
            <w:vAlign w:val="center"/>
          </w:tcPr>
          <w:p>
            <w:pPr>
              <w:jc w:val="center"/>
              <w:rPr>
                <w:szCs w:val="21"/>
              </w:rPr>
            </w:pPr>
          </w:p>
        </w:tc>
        <w:tc>
          <w:tcPr>
            <w:tcW w:w="1463" w:type="dxa"/>
            <w:vAlign w:val="center"/>
          </w:tcPr>
          <w:p>
            <w:pPr>
              <w:jc w:val="center"/>
              <w:rPr>
                <w:szCs w:val="21"/>
              </w:rPr>
            </w:pPr>
          </w:p>
        </w:tc>
        <w:tc>
          <w:tcPr>
            <w:tcW w:w="1464" w:type="dxa"/>
            <w:tcBorders>
              <w:right w:val="double" w:color="auto" w:sz="4" w:space="0"/>
            </w:tcBorders>
            <w:vAlign w:val="center"/>
          </w:tcPr>
          <w:p>
            <w:pPr>
              <w:jc w:val="center"/>
              <w:rPr>
                <w:szCs w:val="21"/>
              </w:rPr>
            </w:pPr>
          </w:p>
        </w:tc>
        <w:tc>
          <w:tcPr>
            <w:tcW w:w="1481" w:type="dxa"/>
            <w:tcBorders>
              <w:left w:val="doub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vAlign w:val="center"/>
          </w:tcPr>
          <w:p>
            <w:pPr>
              <w:jc w:val="center"/>
              <w:rPr>
                <w:rFonts w:ascii="黑体" w:eastAsia="黑体"/>
                <w:szCs w:val="21"/>
              </w:rPr>
            </w:pPr>
            <w:r>
              <w:rPr>
                <w:rFonts w:hint="eastAsia" w:ascii="黑体" w:eastAsia="黑体"/>
                <w:szCs w:val="21"/>
              </w:rPr>
              <w:t>5</w:t>
            </w:r>
          </w:p>
        </w:tc>
        <w:tc>
          <w:tcPr>
            <w:tcW w:w="2880" w:type="dxa"/>
            <w:tcBorders>
              <w:right w:val="double" w:color="auto" w:sz="4" w:space="0"/>
            </w:tcBorders>
            <w:vAlign w:val="center"/>
          </w:tcPr>
          <w:p>
            <w:pPr>
              <w:jc w:val="center"/>
              <w:rPr>
                <w:szCs w:val="21"/>
              </w:rPr>
            </w:pPr>
          </w:p>
        </w:tc>
        <w:tc>
          <w:tcPr>
            <w:tcW w:w="1463" w:type="dxa"/>
            <w:tcBorders>
              <w:left w:val="double" w:color="auto" w:sz="4" w:space="0"/>
            </w:tcBorders>
            <w:vAlign w:val="center"/>
          </w:tcPr>
          <w:p>
            <w:pPr>
              <w:jc w:val="center"/>
              <w:rPr>
                <w:szCs w:val="21"/>
              </w:rPr>
            </w:pPr>
          </w:p>
        </w:tc>
        <w:tc>
          <w:tcPr>
            <w:tcW w:w="1463" w:type="dxa"/>
            <w:tcBorders>
              <w:right w:val="double" w:color="auto" w:sz="4" w:space="0"/>
            </w:tcBorders>
            <w:vAlign w:val="center"/>
          </w:tcPr>
          <w:p>
            <w:pPr>
              <w:jc w:val="center"/>
              <w:rPr>
                <w:szCs w:val="21"/>
              </w:rPr>
            </w:pPr>
          </w:p>
        </w:tc>
        <w:tc>
          <w:tcPr>
            <w:tcW w:w="1463" w:type="dxa"/>
            <w:tcBorders>
              <w:left w:val="double" w:color="auto" w:sz="4" w:space="0"/>
            </w:tcBorders>
            <w:vAlign w:val="center"/>
          </w:tcPr>
          <w:p>
            <w:pPr>
              <w:jc w:val="center"/>
              <w:rPr>
                <w:szCs w:val="21"/>
              </w:rPr>
            </w:pPr>
          </w:p>
        </w:tc>
        <w:tc>
          <w:tcPr>
            <w:tcW w:w="1463" w:type="dxa"/>
            <w:vAlign w:val="center"/>
          </w:tcPr>
          <w:p>
            <w:pPr>
              <w:jc w:val="center"/>
              <w:rPr>
                <w:szCs w:val="21"/>
              </w:rPr>
            </w:pPr>
          </w:p>
        </w:tc>
        <w:tc>
          <w:tcPr>
            <w:tcW w:w="1463" w:type="dxa"/>
            <w:vAlign w:val="center"/>
          </w:tcPr>
          <w:p>
            <w:pPr>
              <w:jc w:val="center"/>
              <w:rPr>
                <w:szCs w:val="21"/>
              </w:rPr>
            </w:pPr>
          </w:p>
        </w:tc>
        <w:tc>
          <w:tcPr>
            <w:tcW w:w="1464" w:type="dxa"/>
            <w:tcBorders>
              <w:right w:val="double" w:color="auto" w:sz="4" w:space="0"/>
            </w:tcBorders>
            <w:vAlign w:val="center"/>
          </w:tcPr>
          <w:p>
            <w:pPr>
              <w:jc w:val="center"/>
              <w:rPr>
                <w:szCs w:val="21"/>
              </w:rPr>
            </w:pPr>
          </w:p>
        </w:tc>
        <w:tc>
          <w:tcPr>
            <w:tcW w:w="1481" w:type="dxa"/>
            <w:tcBorders>
              <w:left w:val="doub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tcBorders>
              <w:bottom w:val="single" w:color="auto" w:sz="4" w:space="0"/>
            </w:tcBorders>
            <w:vAlign w:val="center"/>
          </w:tcPr>
          <w:p>
            <w:pPr>
              <w:jc w:val="center"/>
              <w:rPr>
                <w:rFonts w:ascii="黑体" w:eastAsia="黑体"/>
                <w:szCs w:val="21"/>
              </w:rPr>
            </w:pPr>
            <w:r>
              <w:rPr>
                <w:rFonts w:hint="eastAsia" w:ascii="黑体" w:eastAsia="黑体"/>
                <w:szCs w:val="21"/>
              </w:rPr>
              <w:t>6</w:t>
            </w:r>
          </w:p>
        </w:tc>
        <w:tc>
          <w:tcPr>
            <w:tcW w:w="2880" w:type="dxa"/>
            <w:tcBorders>
              <w:bottom w:val="single" w:color="auto" w:sz="4" w:space="0"/>
              <w:right w:val="double" w:color="auto" w:sz="4" w:space="0"/>
            </w:tcBorders>
            <w:vAlign w:val="center"/>
          </w:tcPr>
          <w:p>
            <w:pPr>
              <w:jc w:val="center"/>
              <w:rPr>
                <w:szCs w:val="21"/>
              </w:rPr>
            </w:pPr>
          </w:p>
        </w:tc>
        <w:tc>
          <w:tcPr>
            <w:tcW w:w="1463" w:type="dxa"/>
            <w:tcBorders>
              <w:left w:val="double" w:color="auto" w:sz="4" w:space="0"/>
            </w:tcBorders>
            <w:vAlign w:val="center"/>
          </w:tcPr>
          <w:p>
            <w:pPr>
              <w:jc w:val="center"/>
              <w:rPr>
                <w:szCs w:val="21"/>
              </w:rPr>
            </w:pPr>
          </w:p>
        </w:tc>
        <w:tc>
          <w:tcPr>
            <w:tcW w:w="1463" w:type="dxa"/>
            <w:tcBorders>
              <w:right w:val="double" w:color="auto" w:sz="4" w:space="0"/>
            </w:tcBorders>
            <w:vAlign w:val="center"/>
          </w:tcPr>
          <w:p>
            <w:pPr>
              <w:jc w:val="center"/>
              <w:rPr>
                <w:szCs w:val="21"/>
              </w:rPr>
            </w:pPr>
          </w:p>
        </w:tc>
        <w:tc>
          <w:tcPr>
            <w:tcW w:w="1463" w:type="dxa"/>
            <w:tcBorders>
              <w:left w:val="double" w:color="auto" w:sz="4" w:space="0"/>
            </w:tcBorders>
            <w:vAlign w:val="center"/>
          </w:tcPr>
          <w:p>
            <w:pPr>
              <w:jc w:val="center"/>
              <w:rPr>
                <w:szCs w:val="21"/>
              </w:rPr>
            </w:pPr>
          </w:p>
        </w:tc>
        <w:tc>
          <w:tcPr>
            <w:tcW w:w="1463" w:type="dxa"/>
            <w:vAlign w:val="center"/>
          </w:tcPr>
          <w:p>
            <w:pPr>
              <w:jc w:val="center"/>
              <w:rPr>
                <w:szCs w:val="21"/>
              </w:rPr>
            </w:pPr>
          </w:p>
        </w:tc>
        <w:tc>
          <w:tcPr>
            <w:tcW w:w="1463" w:type="dxa"/>
            <w:vAlign w:val="center"/>
          </w:tcPr>
          <w:p>
            <w:pPr>
              <w:jc w:val="center"/>
              <w:rPr>
                <w:szCs w:val="21"/>
              </w:rPr>
            </w:pPr>
          </w:p>
        </w:tc>
        <w:tc>
          <w:tcPr>
            <w:tcW w:w="1464" w:type="dxa"/>
            <w:tcBorders>
              <w:right w:val="double" w:color="auto" w:sz="4" w:space="0"/>
            </w:tcBorders>
            <w:vAlign w:val="center"/>
          </w:tcPr>
          <w:p>
            <w:pPr>
              <w:jc w:val="center"/>
              <w:rPr>
                <w:szCs w:val="21"/>
              </w:rPr>
            </w:pPr>
          </w:p>
        </w:tc>
        <w:tc>
          <w:tcPr>
            <w:tcW w:w="1481" w:type="dxa"/>
            <w:tcBorders>
              <w:left w:val="doub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0" w:type="dxa"/>
            <w:tcBorders>
              <w:bottom w:val="double" w:color="auto" w:sz="4" w:space="0"/>
            </w:tcBorders>
            <w:vAlign w:val="center"/>
          </w:tcPr>
          <w:p>
            <w:pPr>
              <w:jc w:val="center"/>
              <w:rPr>
                <w:rFonts w:ascii="黑体" w:eastAsia="黑体"/>
                <w:szCs w:val="21"/>
              </w:rPr>
            </w:pPr>
            <w:r>
              <w:rPr>
                <w:rFonts w:hint="eastAsia" w:ascii="黑体" w:eastAsia="黑体"/>
                <w:szCs w:val="21"/>
              </w:rPr>
              <w:t>7</w:t>
            </w:r>
          </w:p>
        </w:tc>
        <w:tc>
          <w:tcPr>
            <w:tcW w:w="2880" w:type="dxa"/>
            <w:tcBorders>
              <w:bottom w:val="double" w:color="auto" w:sz="4" w:space="0"/>
              <w:right w:val="double" w:color="auto" w:sz="4" w:space="0"/>
            </w:tcBorders>
            <w:vAlign w:val="center"/>
          </w:tcPr>
          <w:p>
            <w:pPr>
              <w:jc w:val="center"/>
              <w:rPr>
                <w:szCs w:val="21"/>
              </w:rPr>
            </w:pPr>
          </w:p>
        </w:tc>
        <w:tc>
          <w:tcPr>
            <w:tcW w:w="1463" w:type="dxa"/>
            <w:tcBorders>
              <w:left w:val="double" w:color="auto" w:sz="4" w:space="0"/>
              <w:bottom w:val="double" w:color="auto" w:sz="4" w:space="0"/>
            </w:tcBorders>
            <w:vAlign w:val="center"/>
          </w:tcPr>
          <w:p>
            <w:pPr>
              <w:jc w:val="center"/>
              <w:rPr>
                <w:szCs w:val="21"/>
              </w:rPr>
            </w:pPr>
          </w:p>
        </w:tc>
        <w:tc>
          <w:tcPr>
            <w:tcW w:w="1463" w:type="dxa"/>
            <w:tcBorders>
              <w:bottom w:val="double" w:color="auto" w:sz="4" w:space="0"/>
              <w:right w:val="double" w:color="auto" w:sz="4" w:space="0"/>
            </w:tcBorders>
            <w:vAlign w:val="center"/>
          </w:tcPr>
          <w:p>
            <w:pPr>
              <w:jc w:val="center"/>
              <w:rPr>
                <w:szCs w:val="21"/>
              </w:rPr>
            </w:pPr>
          </w:p>
        </w:tc>
        <w:tc>
          <w:tcPr>
            <w:tcW w:w="1463" w:type="dxa"/>
            <w:tcBorders>
              <w:left w:val="double" w:color="auto" w:sz="4" w:space="0"/>
              <w:bottom w:val="double" w:color="auto" w:sz="4" w:space="0"/>
            </w:tcBorders>
            <w:vAlign w:val="center"/>
          </w:tcPr>
          <w:p>
            <w:pPr>
              <w:jc w:val="center"/>
              <w:rPr>
                <w:szCs w:val="21"/>
              </w:rPr>
            </w:pPr>
          </w:p>
        </w:tc>
        <w:tc>
          <w:tcPr>
            <w:tcW w:w="1463" w:type="dxa"/>
            <w:tcBorders>
              <w:bottom w:val="double" w:color="auto" w:sz="4" w:space="0"/>
            </w:tcBorders>
            <w:vAlign w:val="center"/>
          </w:tcPr>
          <w:p>
            <w:pPr>
              <w:jc w:val="center"/>
              <w:rPr>
                <w:szCs w:val="21"/>
              </w:rPr>
            </w:pPr>
          </w:p>
        </w:tc>
        <w:tc>
          <w:tcPr>
            <w:tcW w:w="1463" w:type="dxa"/>
            <w:tcBorders>
              <w:bottom w:val="double" w:color="auto" w:sz="4" w:space="0"/>
            </w:tcBorders>
            <w:vAlign w:val="center"/>
          </w:tcPr>
          <w:p>
            <w:pPr>
              <w:jc w:val="center"/>
              <w:rPr>
                <w:szCs w:val="21"/>
              </w:rPr>
            </w:pPr>
          </w:p>
        </w:tc>
        <w:tc>
          <w:tcPr>
            <w:tcW w:w="1464" w:type="dxa"/>
            <w:tcBorders>
              <w:bottom w:val="double" w:color="auto" w:sz="4" w:space="0"/>
              <w:right w:val="double" w:color="auto" w:sz="4" w:space="0"/>
            </w:tcBorders>
            <w:vAlign w:val="center"/>
          </w:tcPr>
          <w:p>
            <w:pPr>
              <w:jc w:val="center"/>
              <w:rPr>
                <w:szCs w:val="21"/>
              </w:rPr>
            </w:pPr>
          </w:p>
        </w:tc>
        <w:tc>
          <w:tcPr>
            <w:tcW w:w="1481" w:type="dxa"/>
            <w:tcBorders>
              <w:left w:val="double" w:color="auto" w:sz="4" w:space="0"/>
              <w:bottom w:val="doub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600" w:type="dxa"/>
            <w:gridSpan w:val="2"/>
            <w:vMerge w:val="restart"/>
            <w:tcBorders>
              <w:top w:val="double" w:color="auto" w:sz="4" w:space="0"/>
              <w:right w:val="double" w:color="auto" w:sz="4" w:space="0"/>
            </w:tcBorders>
            <w:vAlign w:val="center"/>
          </w:tcPr>
          <w:p>
            <w:pPr>
              <w:rPr>
                <w:szCs w:val="21"/>
              </w:rPr>
            </w:pPr>
            <w:r>
              <w:rPr>
                <w:rFonts w:hint="eastAsia"/>
                <w:szCs w:val="21"/>
              </w:rPr>
              <w:t>最终推荐的中标候选人及其排序</w:t>
            </w:r>
          </w:p>
        </w:tc>
        <w:tc>
          <w:tcPr>
            <w:tcW w:w="10260" w:type="dxa"/>
            <w:gridSpan w:val="7"/>
            <w:tcBorders>
              <w:top w:val="double" w:color="auto" w:sz="4" w:space="0"/>
              <w:left w:val="double" w:color="auto" w:sz="4" w:space="0"/>
            </w:tcBorders>
            <w:vAlign w:val="center"/>
          </w:tcPr>
          <w:p>
            <w:pPr>
              <w:rPr>
                <w:szCs w:val="21"/>
              </w:rPr>
            </w:pPr>
            <w:r>
              <w:rPr>
                <w:rFonts w:hint="eastAsia"/>
                <w:szCs w:val="21"/>
              </w:rPr>
              <w:t>第一名：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600" w:type="dxa"/>
            <w:gridSpan w:val="2"/>
            <w:vMerge w:val="continue"/>
            <w:tcBorders>
              <w:right w:val="double" w:color="auto" w:sz="4" w:space="0"/>
            </w:tcBorders>
            <w:vAlign w:val="center"/>
          </w:tcPr>
          <w:p>
            <w:pPr>
              <w:jc w:val="center"/>
              <w:rPr>
                <w:szCs w:val="21"/>
              </w:rPr>
            </w:pPr>
          </w:p>
        </w:tc>
        <w:tc>
          <w:tcPr>
            <w:tcW w:w="10260" w:type="dxa"/>
            <w:gridSpan w:val="7"/>
            <w:tcBorders>
              <w:left w:val="double" w:color="auto" w:sz="4" w:space="0"/>
            </w:tcBorders>
            <w:vAlign w:val="center"/>
          </w:tcPr>
          <w:p>
            <w:pPr>
              <w:rPr>
                <w:szCs w:val="21"/>
              </w:rPr>
            </w:pPr>
            <w:r>
              <w:rPr>
                <w:rFonts w:hint="eastAsia"/>
                <w:szCs w:val="21"/>
              </w:rPr>
              <w:t>第二名：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600" w:type="dxa"/>
            <w:gridSpan w:val="2"/>
            <w:vMerge w:val="continue"/>
            <w:tcBorders>
              <w:bottom w:val="double" w:color="auto" w:sz="4" w:space="0"/>
              <w:right w:val="double" w:color="auto" w:sz="4" w:space="0"/>
            </w:tcBorders>
            <w:vAlign w:val="center"/>
          </w:tcPr>
          <w:p>
            <w:pPr>
              <w:jc w:val="center"/>
              <w:rPr>
                <w:szCs w:val="21"/>
              </w:rPr>
            </w:pPr>
          </w:p>
        </w:tc>
        <w:tc>
          <w:tcPr>
            <w:tcW w:w="10260" w:type="dxa"/>
            <w:gridSpan w:val="7"/>
            <w:tcBorders>
              <w:left w:val="double" w:color="auto" w:sz="4" w:space="0"/>
              <w:bottom w:val="double" w:color="auto" w:sz="4" w:space="0"/>
            </w:tcBorders>
            <w:vAlign w:val="center"/>
          </w:tcPr>
          <w:p>
            <w:pPr>
              <w:rPr>
                <w:szCs w:val="21"/>
              </w:rPr>
            </w:pPr>
            <w:r>
              <w:rPr>
                <w:rFonts w:hint="eastAsia"/>
                <w:szCs w:val="21"/>
              </w:rPr>
              <w:t>第三名：</w:t>
            </w:r>
          </w:p>
        </w:tc>
      </w:tr>
    </w:tbl>
    <w:p>
      <w:pPr>
        <w:rPr>
          <w:szCs w:val="21"/>
        </w:rPr>
        <w:sectPr>
          <w:footerReference r:id="rId13" w:type="default"/>
          <w:footerReference r:id="rId14" w:type="even"/>
          <w:pgSz w:w="16838" w:h="11906" w:orient="landscape"/>
          <w:pgMar w:top="1701" w:right="1588" w:bottom="1701" w:left="1418" w:header="851" w:footer="851" w:gutter="0"/>
          <w:cols w:space="425" w:num="1"/>
          <w:docGrid w:type="lines" w:linePitch="312" w:charSpace="0"/>
        </w:sectPr>
      </w:pPr>
      <w:r>
        <w:rPr>
          <w:rFonts w:hint="eastAsia"/>
          <w:szCs w:val="21"/>
        </w:rPr>
        <w:t>评标委员会全体成员签名：                                                                             日期:</w:t>
      </w:r>
    </w:p>
    <w:p>
      <w:pPr>
        <w:rPr>
          <w:rFonts w:ascii="黑体" w:eastAsia="黑体"/>
          <w:szCs w:val="21"/>
        </w:rPr>
      </w:pPr>
      <w:r>
        <w:rPr>
          <w:rFonts w:hint="eastAsia" w:ascii="黑体" w:eastAsia="黑体"/>
          <w:szCs w:val="21"/>
        </w:rPr>
        <w:t>附表D-l：算术错误分析及修正记录表</w:t>
      </w:r>
    </w:p>
    <w:p>
      <w:pPr>
        <w:spacing w:beforeLines="50" w:afterLines="50"/>
        <w:jc w:val="center"/>
        <w:rPr>
          <w:rFonts w:ascii="黑体" w:eastAsia="黑体"/>
          <w:sz w:val="32"/>
          <w:szCs w:val="32"/>
        </w:rPr>
      </w:pPr>
      <w:r>
        <w:rPr>
          <w:rFonts w:hint="eastAsia" w:ascii="黑体" w:eastAsia="黑体"/>
          <w:sz w:val="32"/>
          <w:szCs w:val="32"/>
        </w:rPr>
        <w:t>算术错误分析及修正记录表</w:t>
      </w:r>
    </w:p>
    <w:p>
      <w:pPr>
        <w:rPr>
          <w:szCs w:val="21"/>
        </w:rPr>
      </w:pPr>
      <w:r>
        <w:rPr>
          <w:rFonts w:hint="eastAsia"/>
          <w:szCs w:val="21"/>
        </w:rPr>
        <w:t>投标人名称：</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367"/>
        <w:gridCol w:w="1431"/>
        <w:gridCol w:w="1432"/>
        <w:gridCol w:w="1431"/>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79" w:type="dxa"/>
            <w:vAlign w:val="center"/>
          </w:tcPr>
          <w:p>
            <w:pPr>
              <w:jc w:val="center"/>
              <w:rPr>
                <w:szCs w:val="21"/>
              </w:rPr>
            </w:pPr>
            <w:r>
              <w:rPr>
                <w:rFonts w:hint="eastAsia"/>
                <w:szCs w:val="21"/>
              </w:rPr>
              <w:t>序号</w:t>
            </w:r>
          </w:p>
        </w:tc>
        <w:tc>
          <w:tcPr>
            <w:tcW w:w="1367" w:type="dxa"/>
            <w:vAlign w:val="center"/>
          </w:tcPr>
          <w:p>
            <w:pPr>
              <w:jc w:val="center"/>
              <w:rPr>
                <w:szCs w:val="21"/>
              </w:rPr>
            </w:pPr>
            <w:r>
              <w:rPr>
                <w:rFonts w:hint="eastAsia"/>
                <w:szCs w:val="21"/>
              </w:rPr>
              <w:t>子目名称</w:t>
            </w:r>
          </w:p>
        </w:tc>
        <w:tc>
          <w:tcPr>
            <w:tcW w:w="1431" w:type="dxa"/>
            <w:vAlign w:val="center"/>
          </w:tcPr>
          <w:p>
            <w:pPr>
              <w:jc w:val="center"/>
              <w:rPr>
                <w:szCs w:val="21"/>
              </w:rPr>
            </w:pPr>
            <w:r>
              <w:rPr>
                <w:rFonts w:hint="eastAsia"/>
                <w:szCs w:val="21"/>
              </w:rPr>
              <w:t>投标价格</w:t>
            </w:r>
          </w:p>
        </w:tc>
        <w:tc>
          <w:tcPr>
            <w:tcW w:w="1431" w:type="dxa"/>
            <w:vAlign w:val="center"/>
          </w:tcPr>
          <w:p>
            <w:pPr>
              <w:jc w:val="center"/>
              <w:rPr>
                <w:szCs w:val="21"/>
              </w:rPr>
            </w:pPr>
            <w:r>
              <w:rPr>
                <w:rFonts w:hint="eastAsia"/>
                <w:szCs w:val="21"/>
              </w:rPr>
              <w:t>算术正确投</w:t>
            </w:r>
          </w:p>
          <w:p>
            <w:pPr>
              <w:jc w:val="center"/>
              <w:rPr>
                <w:szCs w:val="21"/>
              </w:rPr>
            </w:pPr>
            <w:r>
              <w:rPr>
                <w:rFonts w:hint="eastAsia"/>
                <w:szCs w:val="21"/>
              </w:rPr>
              <w:t>标价</w:t>
            </w:r>
          </w:p>
        </w:tc>
        <w:tc>
          <w:tcPr>
            <w:tcW w:w="1431" w:type="dxa"/>
            <w:vAlign w:val="center"/>
          </w:tcPr>
          <w:p>
            <w:pPr>
              <w:jc w:val="center"/>
              <w:rPr>
                <w:szCs w:val="21"/>
              </w:rPr>
            </w:pPr>
            <w:r>
              <w:rPr>
                <w:rFonts w:hint="eastAsia"/>
                <w:szCs w:val="21"/>
              </w:rPr>
              <w:t>差额</w:t>
            </w:r>
          </w:p>
          <w:p>
            <w:pPr>
              <w:jc w:val="center"/>
              <w:rPr>
                <w:szCs w:val="21"/>
              </w:rPr>
            </w:pPr>
            <w:r>
              <w:rPr>
                <w:rFonts w:hint="eastAsia"/>
                <w:szCs w:val="21"/>
              </w:rPr>
              <w:t>（代数值）</w:t>
            </w:r>
          </w:p>
        </w:tc>
        <w:tc>
          <w:tcPr>
            <w:tcW w:w="2032" w:type="dxa"/>
            <w:vAlign w:val="center"/>
          </w:tcPr>
          <w:p>
            <w:pPr>
              <w:jc w:val="center"/>
              <w:rPr>
                <w:szCs w:val="21"/>
              </w:rPr>
            </w:pPr>
            <w:r>
              <w:rPr>
                <w:rFonts w:hint="eastAsia"/>
                <w:szCs w:val="21"/>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vAlign w:val="center"/>
          </w:tcPr>
          <w:p>
            <w:pPr>
              <w:jc w:val="center"/>
              <w:rPr>
                <w:szCs w:val="21"/>
              </w:rPr>
            </w:pPr>
          </w:p>
        </w:tc>
        <w:tc>
          <w:tcPr>
            <w:tcW w:w="1367"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203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vAlign w:val="center"/>
          </w:tcPr>
          <w:p>
            <w:pPr>
              <w:jc w:val="center"/>
              <w:rPr>
                <w:szCs w:val="21"/>
              </w:rPr>
            </w:pPr>
          </w:p>
        </w:tc>
        <w:tc>
          <w:tcPr>
            <w:tcW w:w="1367"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203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vAlign w:val="center"/>
          </w:tcPr>
          <w:p>
            <w:pPr>
              <w:jc w:val="center"/>
              <w:rPr>
                <w:szCs w:val="21"/>
              </w:rPr>
            </w:pPr>
          </w:p>
        </w:tc>
        <w:tc>
          <w:tcPr>
            <w:tcW w:w="1367"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203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vAlign w:val="center"/>
          </w:tcPr>
          <w:p>
            <w:pPr>
              <w:jc w:val="center"/>
              <w:rPr>
                <w:szCs w:val="21"/>
              </w:rPr>
            </w:pPr>
          </w:p>
        </w:tc>
        <w:tc>
          <w:tcPr>
            <w:tcW w:w="1367"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203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vAlign w:val="center"/>
          </w:tcPr>
          <w:p>
            <w:pPr>
              <w:jc w:val="center"/>
              <w:rPr>
                <w:szCs w:val="21"/>
              </w:rPr>
            </w:pPr>
          </w:p>
        </w:tc>
        <w:tc>
          <w:tcPr>
            <w:tcW w:w="1367"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203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vAlign w:val="center"/>
          </w:tcPr>
          <w:p>
            <w:pPr>
              <w:jc w:val="center"/>
              <w:rPr>
                <w:szCs w:val="21"/>
              </w:rPr>
            </w:pPr>
          </w:p>
        </w:tc>
        <w:tc>
          <w:tcPr>
            <w:tcW w:w="1367"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203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vAlign w:val="center"/>
          </w:tcPr>
          <w:p>
            <w:pPr>
              <w:jc w:val="center"/>
              <w:rPr>
                <w:szCs w:val="21"/>
              </w:rPr>
            </w:pPr>
          </w:p>
        </w:tc>
        <w:tc>
          <w:tcPr>
            <w:tcW w:w="1367"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203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vAlign w:val="center"/>
          </w:tcPr>
          <w:p>
            <w:pPr>
              <w:jc w:val="center"/>
              <w:rPr>
                <w:szCs w:val="21"/>
              </w:rPr>
            </w:pPr>
          </w:p>
        </w:tc>
        <w:tc>
          <w:tcPr>
            <w:tcW w:w="1367"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203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vAlign w:val="center"/>
          </w:tcPr>
          <w:p>
            <w:pPr>
              <w:jc w:val="center"/>
              <w:rPr>
                <w:szCs w:val="21"/>
              </w:rPr>
            </w:pPr>
          </w:p>
        </w:tc>
        <w:tc>
          <w:tcPr>
            <w:tcW w:w="1367"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203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vAlign w:val="center"/>
          </w:tcPr>
          <w:p>
            <w:pPr>
              <w:jc w:val="center"/>
              <w:rPr>
                <w:szCs w:val="21"/>
              </w:rPr>
            </w:pPr>
          </w:p>
        </w:tc>
        <w:tc>
          <w:tcPr>
            <w:tcW w:w="1367"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203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vAlign w:val="center"/>
          </w:tcPr>
          <w:p>
            <w:pPr>
              <w:jc w:val="center"/>
              <w:rPr>
                <w:szCs w:val="21"/>
              </w:rPr>
            </w:pPr>
          </w:p>
        </w:tc>
        <w:tc>
          <w:tcPr>
            <w:tcW w:w="1367"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203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vAlign w:val="center"/>
          </w:tcPr>
          <w:p>
            <w:pPr>
              <w:jc w:val="center"/>
              <w:rPr>
                <w:szCs w:val="21"/>
              </w:rPr>
            </w:pPr>
          </w:p>
        </w:tc>
        <w:tc>
          <w:tcPr>
            <w:tcW w:w="1367"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203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79" w:type="dxa"/>
            <w:vAlign w:val="center"/>
          </w:tcPr>
          <w:p>
            <w:pPr>
              <w:jc w:val="center"/>
              <w:rPr>
                <w:szCs w:val="21"/>
              </w:rPr>
            </w:pPr>
          </w:p>
        </w:tc>
        <w:tc>
          <w:tcPr>
            <w:tcW w:w="1367"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203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79" w:type="dxa"/>
            <w:vAlign w:val="center"/>
          </w:tcPr>
          <w:p>
            <w:pPr>
              <w:jc w:val="center"/>
              <w:rPr>
                <w:szCs w:val="21"/>
              </w:rPr>
            </w:pPr>
          </w:p>
        </w:tc>
        <w:tc>
          <w:tcPr>
            <w:tcW w:w="1367"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1431" w:type="dxa"/>
            <w:vAlign w:val="center"/>
          </w:tcPr>
          <w:p>
            <w:pPr>
              <w:jc w:val="center"/>
              <w:rPr>
                <w:szCs w:val="21"/>
              </w:rPr>
            </w:pPr>
          </w:p>
        </w:tc>
        <w:tc>
          <w:tcPr>
            <w:tcW w:w="2032"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009" w:type="dxa"/>
            <w:gridSpan w:val="4"/>
            <w:vAlign w:val="center"/>
          </w:tcPr>
          <w:p>
            <w:pPr>
              <w:jc w:val="right"/>
              <w:rPr>
                <w:szCs w:val="21"/>
              </w:rPr>
            </w:pPr>
            <w:r>
              <w:rPr>
                <w:rFonts w:hint="eastAsia"/>
                <w:szCs w:val="21"/>
              </w:rPr>
              <w:t>A值（代数值）</w:t>
            </w:r>
          </w:p>
        </w:tc>
        <w:tc>
          <w:tcPr>
            <w:tcW w:w="1431" w:type="dxa"/>
            <w:vAlign w:val="center"/>
          </w:tcPr>
          <w:p>
            <w:pPr>
              <w:jc w:val="right"/>
              <w:rPr>
                <w:szCs w:val="21"/>
              </w:rPr>
            </w:pPr>
          </w:p>
        </w:tc>
        <w:tc>
          <w:tcPr>
            <w:tcW w:w="2032" w:type="dxa"/>
            <w:vAlign w:val="center"/>
          </w:tcPr>
          <w:p>
            <w:pPr>
              <w:jc w:val="center"/>
              <w:rPr>
                <w:szCs w:val="21"/>
              </w:rPr>
            </w:pPr>
          </w:p>
        </w:tc>
      </w:tr>
    </w:tbl>
    <w:p>
      <w:pPr>
        <w:spacing w:beforeLines="200"/>
        <w:rPr>
          <w:szCs w:val="21"/>
        </w:rPr>
      </w:pPr>
      <w:r>
        <w:rPr>
          <w:rFonts w:hint="eastAsia"/>
          <w:szCs w:val="21"/>
        </w:rPr>
        <w:t>评标委员会成员签名：                                  日期:     年     月     日</w:t>
      </w:r>
    </w:p>
    <w:p>
      <w:pPr>
        <w:spacing w:beforeLines="200"/>
        <w:rPr>
          <w:szCs w:val="21"/>
        </w:rPr>
      </w:pPr>
    </w:p>
    <w:p>
      <w:pPr>
        <w:spacing w:beforeLines="200"/>
        <w:rPr>
          <w:szCs w:val="21"/>
        </w:rPr>
      </w:pPr>
    </w:p>
    <w:p>
      <w:pPr>
        <w:rPr>
          <w:rFonts w:ascii="黑体" w:eastAsia="黑体"/>
          <w:szCs w:val="21"/>
        </w:rPr>
      </w:pPr>
    </w:p>
    <w:p>
      <w:pPr>
        <w:rPr>
          <w:rFonts w:ascii="黑体" w:eastAsia="黑体"/>
          <w:szCs w:val="21"/>
        </w:rPr>
      </w:pPr>
      <w:r>
        <w:rPr>
          <w:rFonts w:hint="eastAsia" w:ascii="黑体" w:eastAsia="黑体"/>
          <w:szCs w:val="21"/>
        </w:rPr>
        <w:t>附表D-2：错项漏项分析及修正记录表</w:t>
      </w:r>
    </w:p>
    <w:p>
      <w:pPr>
        <w:spacing w:beforeLines="50" w:afterLines="50"/>
        <w:jc w:val="center"/>
        <w:rPr>
          <w:rFonts w:ascii="黑体" w:eastAsia="黑体"/>
          <w:sz w:val="32"/>
          <w:szCs w:val="32"/>
        </w:rPr>
      </w:pPr>
      <w:r>
        <w:rPr>
          <w:rFonts w:hint="eastAsia" w:ascii="黑体" w:eastAsia="黑体"/>
          <w:sz w:val="32"/>
          <w:szCs w:val="32"/>
        </w:rPr>
        <w:t>错项漏项分析及修正记录表</w:t>
      </w:r>
    </w:p>
    <w:p>
      <w:pPr>
        <w:rPr>
          <w:szCs w:val="21"/>
        </w:rPr>
      </w:pPr>
      <w:r>
        <w:rPr>
          <w:rFonts w:hint="eastAsia"/>
          <w:szCs w:val="21"/>
        </w:rPr>
        <w:t>投标人名称：</w:t>
      </w:r>
    </w:p>
    <w:tbl>
      <w:tblPr>
        <w:tblStyle w:val="36"/>
        <w:tblW w:w="86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1397"/>
        <w:gridCol w:w="1461"/>
        <w:gridCol w:w="1461"/>
        <w:gridCol w:w="1461"/>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796" w:type="dxa"/>
            <w:vAlign w:val="center"/>
          </w:tcPr>
          <w:p>
            <w:pPr>
              <w:jc w:val="center"/>
              <w:rPr>
                <w:szCs w:val="21"/>
              </w:rPr>
            </w:pPr>
            <w:r>
              <w:rPr>
                <w:rFonts w:hint="eastAsia"/>
                <w:szCs w:val="21"/>
              </w:rPr>
              <w:t>编号</w:t>
            </w:r>
          </w:p>
        </w:tc>
        <w:tc>
          <w:tcPr>
            <w:tcW w:w="1397" w:type="dxa"/>
            <w:vAlign w:val="center"/>
          </w:tcPr>
          <w:p>
            <w:pPr>
              <w:jc w:val="center"/>
              <w:rPr>
                <w:szCs w:val="21"/>
              </w:rPr>
            </w:pPr>
            <w:r>
              <w:rPr>
                <w:rFonts w:hint="eastAsia"/>
                <w:szCs w:val="21"/>
              </w:rPr>
              <w:t>子目名称</w:t>
            </w:r>
          </w:p>
        </w:tc>
        <w:tc>
          <w:tcPr>
            <w:tcW w:w="1461" w:type="dxa"/>
            <w:vAlign w:val="center"/>
          </w:tcPr>
          <w:p>
            <w:pPr>
              <w:jc w:val="center"/>
              <w:rPr>
                <w:szCs w:val="21"/>
              </w:rPr>
            </w:pPr>
            <w:r>
              <w:rPr>
                <w:rFonts w:hint="eastAsia"/>
                <w:szCs w:val="21"/>
              </w:rPr>
              <w:t>投标价格</w:t>
            </w:r>
          </w:p>
        </w:tc>
        <w:tc>
          <w:tcPr>
            <w:tcW w:w="1461" w:type="dxa"/>
            <w:vAlign w:val="center"/>
          </w:tcPr>
          <w:p>
            <w:pPr>
              <w:jc w:val="center"/>
              <w:rPr>
                <w:szCs w:val="21"/>
              </w:rPr>
            </w:pPr>
            <w:r>
              <w:rPr>
                <w:rFonts w:hint="eastAsia"/>
                <w:szCs w:val="21"/>
              </w:rPr>
              <w:t>合理投标价</w:t>
            </w:r>
          </w:p>
        </w:tc>
        <w:tc>
          <w:tcPr>
            <w:tcW w:w="1461" w:type="dxa"/>
            <w:vAlign w:val="center"/>
          </w:tcPr>
          <w:p>
            <w:pPr>
              <w:jc w:val="center"/>
              <w:rPr>
                <w:szCs w:val="21"/>
              </w:rPr>
            </w:pPr>
            <w:r>
              <w:rPr>
                <w:rFonts w:hint="eastAsia"/>
                <w:szCs w:val="21"/>
              </w:rPr>
              <w:t>差额</w:t>
            </w:r>
          </w:p>
          <w:p>
            <w:pPr>
              <w:jc w:val="center"/>
              <w:rPr>
                <w:szCs w:val="21"/>
              </w:rPr>
            </w:pPr>
            <w:r>
              <w:rPr>
                <w:rFonts w:hint="eastAsia"/>
                <w:szCs w:val="21"/>
              </w:rPr>
              <w:t>（代数值）</w:t>
            </w:r>
          </w:p>
        </w:tc>
        <w:tc>
          <w:tcPr>
            <w:tcW w:w="2076" w:type="dxa"/>
            <w:vAlign w:val="center"/>
          </w:tcPr>
          <w:p>
            <w:pPr>
              <w:jc w:val="center"/>
              <w:rPr>
                <w:szCs w:val="21"/>
              </w:rPr>
            </w:pPr>
            <w:r>
              <w:rPr>
                <w:rFonts w:hint="eastAsia"/>
                <w:szCs w:val="21"/>
              </w:rPr>
              <w:t>有关事项备注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6" w:type="dxa"/>
            <w:vAlign w:val="center"/>
          </w:tcPr>
          <w:p>
            <w:pPr>
              <w:jc w:val="center"/>
              <w:rPr>
                <w:szCs w:val="21"/>
              </w:rPr>
            </w:pPr>
          </w:p>
        </w:tc>
        <w:tc>
          <w:tcPr>
            <w:tcW w:w="1397"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20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96" w:type="dxa"/>
            <w:vAlign w:val="center"/>
          </w:tcPr>
          <w:p>
            <w:pPr>
              <w:jc w:val="center"/>
              <w:rPr>
                <w:szCs w:val="21"/>
              </w:rPr>
            </w:pPr>
          </w:p>
        </w:tc>
        <w:tc>
          <w:tcPr>
            <w:tcW w:w="1397"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20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6" w:type="dxa"/>
            <w:vAlign w:val="center"/>
          </w:tcPr>
          <w:p>
            <w:pPr>
              <w:jc w:val="center"/>
              <w:rPr>
                <w:szCs w:val="21"/>
              </w:rPr>
            </w:pPr>
          </w:p>
        </w:tc>
        <w:tc>
          <w:tcPr>
            <w:tcW w:w="1397"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20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96" w:type="dxa"/>
            <w:vAlign w:val="center"/>
          </w:tcPr>
          <w:p>
            <w:pPr>
              <w:jc w:val="center"/>
              <w:rPr>
                <w:szCs w:val="21"/>
              </w:rPr>
            </w:pPr>
          </w:p>
        </w:tc>
        <w:tc>
          <w:tcPr>
            <w:tcW w:w="1397"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20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6" w:type="dxa"/>
            <w:vAlign w:val="center"/>
          </w:tcPr>
          <w:p>
            <w:pPr>
              <w:jc w:val="center"/>
              <w:rPr>
                <w:szCs w:val="21"/>
              </w:rPr>
            </w:pPr>
          </w:p>
        </w:tc>
        <w:tc>
          <w:tcPr>
            <w:tcW w:w="1397"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20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96" w:type="dxa"/>
            <w:vAlign w:val="center"/>
          </w:tcPr>
          <w:p>
            <w:pPr>
              <w:jc w:val="center"/>
              <w:rPr>
                <w:szCs w:val="21"/>
              </w:rPr>
            </w:pPr>
          </w:p>
        </w:tc>
        <w:tc>
          <w:tcPr>
            <w:tcW w:w="1397"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20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6" w:type="dxa"/>
            <w:vAlign w:val="center"/>
          </w:tcPr>
          <w:p>
            <w:pPr>
              <w:jc w:val="center"/>
              <w:rPr>
                <w:szCs w:val="21"/>
              </w:rPr>
            </w:pPr>
          </w:p>
        </w:tc>
        <w:tc>
          <w:tcPr>
            <w:tcW w:w="1397"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20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96" w:type="dxa"/>
            <w:vAlign w:val="center"/>
          </w:tcPr>
          <w:p>
            <w:pPr>
              <w:jc w:val="center"/>
              <w:rPr>
                <w:szCs w:val="21"/>
              </w:rPr>
            </w:pPr>
          </w:p>
        </w:tc>
        <w:tc>
          <w:tcPr>
            <w:tcW w:w="1397"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20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6" w:type="dxa"/>
            <w:vAlign w:val="center"/>
          </w:tcPr>
          <w:p>
            <w:pPr>
              <w:jc w:val="center"/>
              <w:rPr>
                <w:szCs w:val="21"/>
              </w:rPr>
            </w:pPr>
          </w:p>
        </w:tc>
        <w:tc>
          <w:tcPr>
            <w:tcW w:w="1397"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20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96" w:type="dxa"/>
            <w:vAlign w:val="center"/>
          </w:tcPr>
          <w:p>
            <w:pPr>
              <w:jc w:val="center"/>
              <w:rPr>
                <w:szCs w:val="21"/>
              </w:rPr>
            </w:pPr>
          </w:p>
        </w:tc>
        <w:tc>
          <w:tcPr>
            <w:tcW w:w="1397"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20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6" w:type="dxa"/>
            <w:vAlign w:val="center"/>
          </w:tcPr>
          <w:p>
            <w:pPr>
              <w:jc w:val="center"/>
              <w:rPr>
                <w:szCs w:val="21"/>
              </w:rPr>
            </w:pPr>
          </w:p>
        </w:tc>
        <w:tc>
          <w:tcPr>
            <w:tcW w:w="1397"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20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96" w:type="dxa"/>
            <w:vAlign w:val="center"/>
          </w:tcPr>
          <w:p>
            <w:pPr>
              <w:jc w:val="center"/>
              <w:rPr>
                <w:szCs w:val="21"/>
              </w:rPr>
            </w:pPr>
          </w:p>
        </w:tc>
        <w:tc>
          <w:tcPr>
            <w:tcW w:w="1397"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20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96" w:type="dxa"/>
            <w:vAlign w:val="center"/>
          </w:tcPr>
          <w:p>
            <w:pPr>
              <w:jc w:val="center"/>
              <w:rPr>
                <w:szCs w:val="21"/>
              </w:rPr>
            </w:pPr>
          </w:p>
        </w:tc>
        <w:tc>
          <w:tcPr>
            <w:tcW w:w="1397"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20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96" w:type="dxa"/>
            <w:vAlign w:val="center"/>
          </w:tcPr>
          <w:p>
            <w:pPr>
              <w:jc w:val="center"/>
              <w:rPr>
                <w:szCs w:val="21"/>
              </w:rPr>
            </w:pPr>
          </w:p>
        </w:tc>
        <w:tc>
          <w:tcPr>
            <w:tcW w:w="1397"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1461" w:type="dxa"/>
            <w:vAlign w:val="center"/>
          </w:tcPr>
          <w:p>
            <w:pPr>
              <w:jc w:val="center"/>
              <w:rPr>
                <w:szCs w:val="21"/>
              </w:rPr>
            </w:pPr>
          </w:p>
        </w:tc>
        <w:tc>
          <w:tcPr>
            <w:tcW w:w="207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115" w:type="dxa"/>
            <w:gridSpan w:val="4"/>
            <w:vAlign w:val="center"/>
          </w:tcPr>
          <w:p>
            <w:pPr>
              <w:jc w:val="right"/>
              <w:rPr>
                <w:szCs w:val="21"/>
              </w:rPr>
            </w:pPr>
            <w:r>
              <w:rPr>
                <w:rFonts w:hint="eastAsia"/>
                <w:szCs w:val="21"/>
              </w:rPr>
              <w:t>B值（代数值）</w:t>
            </w:r>
          </w:p>
        </w:tc>
        <w:tc>
          <w:tcPr>
            <w:tcW w:w="1461" w:type="dxa"/>
            <w:vAlign w:val="center"/>
          </w:tcPr>
          <w:p>
            <w:pPr>
              <w:jc w:val="right"/>
              <w:rPr>
                <w:szCs w:val="21"/>
              </w:rPr>
            </w:pPr>
          </w:p>
        </w:tc>
        <w:tc>
          <w:tcPr>
            <w:tcW w:w="2076" w:type="dxa"/>
            <w:vAlign w:val="center"/>
          </w:tcPr>
          <w:p>
            <w:pPr>
              <w:jc w:val="center"/>
              <w:rPr>
                <w:szCs w:val="21"/>
              </w:rPr>
            </w:pPr>
          </w:p>
        </w:tc>
      </w:tr>
    </w:tbl>
    <w:p>
      <w:pPr>
        <w:spacing w:beforeLines="200"/>
        <w:rPr>
          <w:szCs w:val="21"/>
        </w:rPr>
      </w:pPr>
      <w:r>
        <w:rPr>
          <w:rFonts w:hint="eastAsia"/>
          <w:szCs w:val="21"/>
        </w:rPr>
        <w:t>评标委员会成员签名：                                  日期：     年     月     日</w:t>
      </w:r>
    </w:p>
    <w:p>
      <w:pPr>
        <w:spacing w:beforeLines="200"/>
        <w:rPr>
          <w:szCs w:val="21"/>
        </w:rPr>
      </w:pPr>
    </w:p>
    <w:p>
      <w:pPr>
        <w:spacing w:beforeLines="200"/>
        <w:rPr>
          <w:szCs w:val="21"/>
        </w:rPr>
      </w:pPr>
    </w:p>
    <w:p>
      <w:pPr>
        <w:rPr>
          <w:rFonts w:ascii="黑体" w:eastAsia="黑体"/>
          <w:szCs w:val="21"/>
        </w:rPr>
      </w:pPr>
    </w:p>
    <w:p>
      <w:pPr>
        <w:rPr>
          <w:rFonts w:ascii="黑体" w:eastAsia="黑体"/>
          <w:szCs w:val="21"/>
        </w:rPr>
      </w:pPr>
      <w:r>
        <w:rPr>
          <w:rFonts w:hint="eastAsia" w:ascii="黑体" w:eastAsia="黑体"/>
          <w:szCs w:val="21"/>
        </w:rPr>
        <w:t>附表D-3：分部分项工程量清单子目单价分析及修正记录表</w:t>
      </w:r>
    </w:p>
    <w:p>
      <w:pPr>
        <w:spacing w:beforeLines="50" w:afterLines="50"/>
        <w:jc w:val="center"/>
        <w:rPr>
          <w:rFonts w:ascii="黑体" w:eastAsia="黑体"/>
          <w:sz w:val="32"/>
          <w:szCs w:val="32"/>
        </w:rPr>
      </w:pPr>
      <w:r>
        <w:rPr>
          <w:rFonts w:hint="eastAsia" w:ascii="黑体" w:eastAsia="黑体"/>
          <w:sz w:val="32"/>
          <w:szCs w:val="32"/>
        </w:rPr>
        <w:t>分部分项工程量清单子目单价分析及修正记录表</w:t>
      </w:r>
    </w:p>
    <w:p>
      <w:pPr>
        <w:rPr>
          <w:szCs w:val="21"/>
        </w:rPr>
      </w:pPr>
      <w:r>
        <w:rPr>
          <w:rFonts w:hint="eastAsia"/>
          <w:szCs w:val="21"/>
        </w:rPr>
        <w:t>投标人名称：</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24"/>
        <w:gridCol w:w="1210"/>
        <w:gridCol w:w="1378"/>
        <w:gridCol w:w="877"/>
        <w:gridCol w:w="144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10" w:type="dxa"/>
            <w:vAlign w:val="center"/>
          </w:tcPr>
          <w:p>
            <w:pPr>
              <w:jc w:val="center"/>
              <w:rPr>
                <w:szCs w:val="21"/>
              </w:rPr>
            </w:pPr>
            <w:r>
              <w:rPr>
                <w:rFonts w:hint="eastAsia"/>
                <w:szCs w:val="21"/>
              </w:rPr>
              <w:t>编号</w:t>
            </w:r>
          </w:p>
        </w:tc>
        <w:tc>
          <w:tcPr>
            <w:tcW w:w="1224" w:type="dxa"/>
            <w:vAlign w:val="center"/>
          </w:tcPr>
          <w:p>
            <w:pPr>
              <w:jc w:val="center"/>
              <w:rPr>
                <w:szCs w:val="21"/>
              </w:rPr>
            </w:pPr>
            <w:r>
              <w:rPr>
                <w:rFonts w:hint="eastAsia"/>
                <w:szCs w:val="21"/>
              </w:rPr>
              <w:t>子目名称</w:t>
            </w:r>
          </w:p>
        </w:tc>
        <w:tc>
          <w:tcPr>
            <w:tcW w:w="1210" w:type="dxa"/>
            <w:vAlign w:val="center"/>
          </w:tcPr>
          <w:p>
            <w:pPr>
              <w:jc w:val="center"/>
              <w:rPr>
                <w:szCs w:val="21"/>
              </w:rPr>
            </w:pPr>
            <w:r>
              <w:rPr>
                <w:rFonts w:hint="eastAsia"/>
                <w:szCs w:val="21"/>
              </w:rPr>
              <w:t>明显不合</w:t>
            </w:r>
          </w:p>
          <w:p>
            <w:pPr>
              <w:jc w:val="center"/>
              <w:rPr>
                <w:szCs w:val="21"/>
              </w:rPr>
            </w:pPr>
            <w:r>
              <w:rPr>
                <w:rFonts w:hint="eastAsia"/>
                <w:szCs w:val="21"/>
              </w:rPr>
              <w:t>理的价格</w:t>
            </w:r>
          </w:p>
        </w:tc>
        <w:tc>
          <w:tcPr>
            <w:tcW w:w="1377" w:type="dxa"/>
            <w:vAlign w:val="center"/>
          </w:tcPr>
          <w:p>
            <w:pPr>
              <w:jc w:val="center"/>
              <w:rPr>
                <w:szCs w:val="21"/>
              </w:rPr>
            </w:pPr>
            <w:r>
              <w:rPr>
                <w:rFonts w:hint="eastAsia"/>
                <w:szCs w:val="21"/>
              </w:rPr>
              <w:t>修正后的</w:t>
            </w:r>
          </w:p>
          <w:p>
            <w:pPr>
              <w:jc w:val="center"/>
              <w:rPr>
                <w:szCs w:val="21"/>
              </w:rPr>
            </w:pPr>
            <w:r>
              <w:rPr>
                <w:rFonts w:hint="eastAsia"/>
                <w:szCs w:val="21"/>
              </w:rPr>
              <w:t>价    格</w:t>
            </w:r>
          </w:p>
        </w:tc>
        <w:tc>
          <w:tcPr>
            <w:tcW w:w="877" w:type="dxa"/>
            <w:shd w:val="clear" w:color="auto" w:fill="auto"/>
            <w:vAlign w:val="center"/>
          </w:tcPr>
          <w:p>
            <w:pPr>
              <w:jc w:val="center"/>
              <w:rPr>
                <w:szCs w:val="21"/>
              </w:rPr>
            </w:pPr>
            <w:r>
              <w:rPr>
                <w:rFonts w:hint="eastAsia"/>
                <w:szCs w:val="21"/>
              </w:rPr>
              <w:t>差 额</w:t>
            </w:r>
          </w:p>
        </w:tc>
        <w:tc>
          <w:tcPr>
            <w:tcW w:w="1446" w:type="dxa"/>
            <w:shd w:val="clear" w:color="auto" w:fill="auto"/>
            <w:vAlign w:val="center"/>
          </w:tcPr>
          <w:p>
            <w:pPr>
              <w:jc w:val="center"/>
              <w:rPr>
                <w:szCs w:val="21"/>
              </w:rPr>
            </w:pPr>
            <w:r>
              <w:rPr>
                <w:rFonts w:hint="eastAsia"/>
                <w:szCs w:val="21"/>
              </w:rPr>
              <w:t>证明情况及修正理由</w:t>
            </w:r>
          </w:p>
        </w:tc>
        <w:tc>
          <w:tcPr>
            <w:tcW w:w="1628" w:type="dxa"/>
            <w:vAlign w:val="center"/>
          </w:tcPr>
          <w:p>
            <w:pPr>
              <w:jc w:val="center"/>
              <w:rPr>
                <w:szCs w:val="21"/>
              </w:rPr>
            </w:pPr>
            <w:r>
              <w:rPr>
                <w:rFonts w:hint="eastAsia"/>
                <w:szCs w:val="21"/>
              </w:rPr>
              <w:t>有关疑问</w:t>
            </w:r>
          </w:p>
          <w:p>
            <w:pPr>
              <w:jc w:val="center"/>
              <w:rPr>
                <w:szCs w:val="21"/>
              </w:rPr>
            </w:pPr>
            <w:r>
              <w:rPr>
                <w:rFonts w:hint="eastAsia"/>
                <w:szCs w:val="21"/>
              </w:rPr>
              <w:t>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522" w:type="dxa"/>
            <w:gridSpan w:val="4"/>
            <w:vAlign w:val="center"/>
          </w:tcPr>
          <w:p>
            <w:pPr>
              <w:jc w:val="right"/>
              <w:rPr>
                <w:szCs w:val="21"/>
              </w:rPr>
            </w:pPr>
            <w:r>
              <w:rPr>
                <w:rFonts w:hint="eastAsia"/>
                <w:szCs w:val="21"/>
              </w:rPr>
              <w:t>C值（代数值）</w:t>
            </w:r>
          </w:p>
        </w:tc>
        <w:tc>
          <w:tcPr>
            <w:tcW w:w="877" w:type="dxa"/>
            <w:shd w:val="clear" w:color="auto" w:fill="auto"/>
            <w:vAlign w:val="center"/>
          </w:tcPr>
          <w:p>
            <w:pPr>
              <w:jc w:val="right"/>
              <w:rPr>
                <w:szCs w:val="21"/>
              </w:rPr>
            </w:pPr>
          </w:p>
        </w:tc>
        <w:tc>
          <w:tcPr>
            <w:tcW w:w="1446" w:type="dxa"/>
            <w:shd w:val="clear" w:color="auto" w:fill="auto"/>
            <w:vAlign w:val="center"/>
          </w:tcPr>
          <w:p>
            <w:pPr>
              <w:jc w:val="right"/>
              <w:rPr>
                <w:szCs w:val="21"/>
              </w:rPr>
            </w:pPr>
          </w:p>
        </w:tc>
        <w:tc>
          <w:tcPr>
            <w:tcW w:w="1628" w:type="dxa"/>
            <w:vAlign w:val="center"/>
          </w:tcPr>
          <w:p>
            <w:pPr>
              <w:jc w:val="center"/>
              <w:rPr>
                <w:szCs w:val="21"/>
              </w:rPr>
            </w:pPr>
          </w:p>
        </w:tc>
      </w:tr>
    </w:tbl>
    <w:p>
      <w:pPr>
        <w:spacing w:beforeLines="200"/>
        <w:rPr>
          <w:szCs w:val="21"/>
        </w:rPr>
      </w:pPr>
      <w:r>
        <w:rPr>
          <w:rFonts w:hint="eastAsia"/>
          <w:szCs w:val="21"/>
        </w:rPr>
        <w:t>评标委员会成员签名：                                 日期：     年     月     日</w:t>
      </w: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r>
        <w:rPr>
          <w:rFonts w:hint="eastAsia" w:ascii="黑体" w:eastAsia="黑体"/>
          <w:szCs w:val="21"/>
        </w:rPr>
        <w:t>附表D-4：措施项目和其他项目工程量清单价格分析及修正记录表</w:t>
      </w:r>
    </w:p>
    <w:p>
      <w:pPr>
        <w:spacing w:beforeLines="50" w:afterLines="50"/>
        <w:jc w:val="center"/>
        <w:rPr>
          <w:rFonts w:ascii="黑体" w:eastAsia="黑体"/>
          <w:sz w:val="32"/>
          <w:szCs w:val="32"/>
        </w:rPr>
      </w:pPr>
      <w:r>
        <w:rPr>
          <w:rFonts w:hint="eastAsia" w:ascii="黑体" w:eastAsia="黑体"/>
          <w:sz w:val="32"/>
          <w:szCs w:val="32"/>
        </w:rPr>
        <w:t>措施项目和其他项目工程量清单价格分析及修正记录表</w:t>
      </w:r>
    </w:p>
    <w:p>
      <w:pPr>
        <w:rPr>
          <w:szCs w:val="21"/>
        </w:rPr>
      </w:pPr>
      <w:r>
        <w:rPr>
          <w:rFonts w:hint="eastAsia"/>
          <w:szCs w:val="21"/>
        </w:rPr>
        <w:t>投标人名称：</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224"/>
        <w:gridCol w:w="1210"/>
        <w:gridCol w:w="1378"/>
        <w:gridCol w:w="877"/>
        <w:gridCol w:w="1446"/>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10" w:type="dxa"/>
            <w:vAlign w:val="center"/>
          </w:tcPr>
          <w:p>
            <w:pPr>
              <w:jc w:val="center"/>
              <w:rPr>
                <w:szCs w:val="21"/>
              </w:rPr>
            </w:pPr>
            <w:r>
              <w:rPr>
                <w:rFonts w:hint="eastAsia"/>
                <w:szCs w:val="21"/>
              </w:rPr>
              <w:t>编号</w:t>
            </w:r>
          </w:p>
        </w:tc>
        <w:tc>
          <w:tcPr>
            <w:tcW w:w="1224" w:type="dxa"/>
            <w:vAlign w:val="center"/>
          </w:tcPr>
          <w:p>
            <w:pPr>
              <w:jc w:val="center"/>
              <w:rPr>
                <w:szCs w:val="21"/>
              </w:rPr>
            </w:pPr>
            <w:r>
              <w:rPr>
                <w:rFonts w:hint="eastAsia"/>
                <w:szCs w:val="21"/>
              </w:rPr>
              <w:t>子目名称</w:t>
            </w:r>
          </w:p>
        </w:tc>
        <w:tc>
          <w:tcPr>
            <w:tcW w:w="1210" w:type="dxa"/>
            <w:vAlign w:val="center"/>
          </w:tcPr>
          <w:p>
            <w:pPr>
              <w:jc w:val="center"/>
              <w:rPr>
                <w:szCs w:val="21"/>
              </w:rPr>
            </w:pPr>
            <w:r>
              <w:rPr>
                <w:rFonts w:hint="eastAsia"/>
                <w:szCs w:val="21"/>
              </w:rPr>
              <w:t>明显不合</w:t>
            </w:r>
          </w:p>
          <w:p>
            <w:pPr>
              <w:jc w:val="center"/>
              <w:rPr>
                <w:szCs w:val="21"/>
              </w:rPr>
            </w:pPr>
            <w:r>
              <w:rPr>
                <w:rFonts w:hint="eastAsia"/>
                <w:szCs w:val="21"/>
              </w:rPr>
              <w:t>理的价格</w:t>
            </w:r>
          </w:p>
        </w:tc>
        <w:tc>
          <w:tcPr>
            <w:tcW w:w="1377" w:type="dxa"/>
            <w:vAlign w:val="center"/>
          </w:tcPr>
          <w:p>
            <w:pPr>
              <w:jc w:val="center"/>
              <w:rPr>
                <w:szCs w:val="21"/>
              </w:rPr>
            </w:pPr>
            <w:r>
              <w:rPr>
                <w:rFonts w:hint="eastAsia"/>
                <w:szCs w:val="21"/>
              </w:rPr>
              <w:t>修正后的</w:t>
            </w:r>
          </w:p>
          <w:p>
            <w:pPr>
              <w:jc w:val="center"/>
              <w:rPr>
                <w:szCs w:val="21"/>
              </w:rPr>
            </w:pPr>
            <w:r>
              <w:rPr>
                <w:rFonts w:hint="eastAsia"/>
                <w:szCs w:val="21"/>
              </w:rPr>
              <w:t>价    格</w:t>
            </w:r>
          </w:p>
        </w:tc>
        <w:tc>
          <w:tcPr>
            <w:tcW w:w="877" w:type="dxa"/>
            <w:shd w:val="clear" w:color="auto" w:fill="auto"/>
            <w:vAlign w:val="center"/>
          </w:tcPr>
          <w:p>
            <w:pPr>
              <w:jc w:val="center"/>
              <w:rPr>
                <w:szCs w:val="21"/>
              </w:rPr>
            </w:pPr>
            <w:r>
              <w:rPr>
                <w:rFonts w:hint="eastAsia"/>
                <w:szCs w:val="21"/>
              </w:rPr>
              <w:t>差 额</w:t>
            </w:r>
          </w:p>
        </w:tc>
        <w:tc>
          <w:tcPr>
            <w:tcW w:w="1446" w:type="dxa"/>
            <w:shd w:val="clear" w:color="auto" w:fill="auto"/>
            <w:vAlign w:val="center"/>
          </w:tcPr>
          <w:p>
            <w:pPr>
              <w:jc w:val="center"/>
              <w:rPr>
                <w:szCs w:val="21"/>
              </w:rPr>
            </w:pPr>
            <w:r>
              <w:rPr>
                <w:rFonts w:hint="eastAsia"/>
                <w:szCs w:val="21"/>
              </w:rPr>
              <w:t>证明情况及修正理由</w:t>
            </w:r>
          </w:p>
        </w:tc>
        <w:tc>
          <w:tcPr>
            <w:tcW w:w="1628" w:type="dxa"/>
            <w:vAlign w:val="center"/>
          </w:tcPr>
          <w:p>
            <w:pPr>
              <w:jc w:val="center"/>
              <w:rPr>
                <w:szCs w:val="21"/>
              </w:rPr>
            </w:pPr>
            <w:r>
              <w:rPr>
                <w:rFonts w:hint="eastAsia"/>
                <w:szCs w:val="21"/>
              </w:rPr>
              <w:t>有关疑问</w:t>
            </w:r>
          </w:p>
          <w:p>
            <w:pPr>
              <w:jc w:val="center"/>
              <w:rPr>
                <w:szCs w:val="21"/>
              </w:rPr>
            </w:pPr>
            <w:r>
              <w:rPr>
                <w:rFonts w:hint="eastAsia"/>
                <w:szCs w:val="21"/>
              </w:rPr>
              <w:t>事项备注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CellMar>
            <w:top w:w="0" w:type="dxa"/>
            <w:left w:w="108" w:type="dxa"/>
            <w:bottom w:w="0" w:type="dxa"/>
            <w:right w:w="108" w:type="dxa"/>
          </w:tblCellMar>
        </w:tblPrEx>
        <w:trPr>
          <w:trHeight w:val="637"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CellMar>
            <w:top w:w="0" w:type="dxa"/>
            <w:left w:w="108" w:type="dxa"/>
            <w:bottom w:w="0" w:type="dxa"/>
            <w:right w:w="108" w:type="dxa"/>
          </w:tblCellMar>
        </w:tblPrEx>
        <w:trPr>
          <w:trHeight w:val="637"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10" w:type="dxa"/>
            <w:vAlign w:val="center"/>
          </w:tcPr>
          <w:p>
            <w:pPr>
              <w:jc w:val="center"/>
              <w:rPr>
                <w:szCs w:val="21"/>
              </w:rPr>
            </w:pPr>
          </w:p>
        </w:tc>
        <w:tc>
          <w:tcPr>
            <w:tcW w:w="1224" w:type="dxa"/>
            <w:vAlign w:val="center"/>
          </w:tcPr>
          <w:p>
            <w:pPr>
              <w:jc w:val="center"/>
              <w:rPr>
                <w:szCs w:val="21"/>
              </w:rPr>
            </w:pPr>
          </w:p>
        </w:tc>
        <w:tc>
          <w:tcPr>
            <w:tcW w:w="1210" w:type="dxa"/>
            <w:vAlign w:val="center"/>
          </w:tcPr>
          <w:p>
            <w:pPr>
              <w:jc w:val="center"/>
              <w:rPr>
                <w:szCs w:val="21"/>
              </w:rPr>
            </w:pPr>
          </w:p>
        </w:tc>
        <w:tc>
          <w:tcPr>
            <w:tcW w:w="1377" w:type="dxa"/>
            <w:vAlign w:val="center"/>
          </w:tcPr>
          <w:p>
            <w:pPr>
              <w:jc w:val="center"/>
              <w:rPr>
                <w:szCs w:val="21"/>
              </w:rPr>
            </w:pPr>
          </w:p>
        </w:tc>
        <w:tc>
          <w:tcPr>
            <w:tcW w:w="877" w:type="dxa"/>
            <w:shd w:val="clear" w:color="auto" w:fill="auto"/>
            <w:vAlign w:val="center"/>
          </w:tcPr>
          <w:p>
            <w:pPr>
              <w:jc w:val="center"/>
              <w:rPr>
                <w:szCs w:val="21"/>
              </w:rPr>
            </w:pPr>
          </w:p>
        </w:tc>
        <w:tc>
          <w:tcPr>
            <w:tcW w:w="1446" w:type="dxa"/>
            <w:shd w:val="clear" w:color="auto" w:fill="auto"/>
            <w:vAlign w:val="center"/>
          </w:tcPr>
          <w:p>
            <w:pPr>
              <w:jc w:val="center"/>
              <w:rPr>
                <w:szCs w:val="21"/>
              </w:rPr>
            </w:pPr>
          </w:p>
        </w:tc>
        <w:tc>
          <w:tcPr>
            <w:tcW w:w="162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522" w:type="dxa"/>
            <w:gridSpan w:val="4"/>
            <w:vAlign w:val="center"/>
          </w:tcPr>
          <w:p>
            <w:pPr>
              <w:jc w:val="right"/>
              <w:rPr>
                <w:szCs w:val="21"/>
              </w:rPr>
            </w:pPr>
            <w:r>
              <w:rPr>
                <w:rFonts w:hint="eastAsia"/>
                <w:szCs w:val="21"/>
              </w:rPr>
              <w:t>D值（代数值）</w:t>
            </w:r>
          </w:p>
        </w:tc>
        <w:tc>
          <w:tcPr>
            <w:tcW w:w="877" w:type="dxa"/>
            <w:shd w:val="clear" w:color="auto" w:fill="auto"/>
            <w:vAlign w:val="center"/>
          </w:tcPr>
          <w:p>
            <w:pPr>
              <w:jc w:val="right"/>
              <w:rPr>
                <w:szCs w:val="21"/>
              </w:rPr>
            </w:pPr>
          </w:p>
        </w:tc>
        <w:tc>
          <w:tcPr>
            <w:tcW w:w="1446" w:type="dxa"/>
            <w:shd w:val="clear" w:color="auto" w:fill="auto"/>
            <w:vAlign w:val="center"/>
          </w:tcPr>
          <w:p>
            <w:pPr>
              <w:jc w:val="right"/>
              <w:rPr>
                <w:szCs w:val="21"/>
              </w:rPr>
            </w:pPr>
          </w:p>
        </w:tc>
        <w:tc>
          <w:tcPr>
            <w:tcW w:w="1628" w:type="dxa"/>
            <w:vAlign w:val="center"/>
          </w:tcPr>
          <w:p>
            <w:pPr>
              <w:jc w:val="center"/>
              <w:rPr>
                <w:szCs w:val="21"/>
              </w:rPr>
            </w:pPr>
          </w:p>
        </w:tc>
      </w:tr>
    </w:tbl>
    <w:p>
      <w:pPr>
        <w:spacing w:beforeLines="200"/>
        <w:rPr>
          <w:szCs w:val="21"/>
        </w:rPr>
      </w:pPr>
      <w:r>
        <w:rPr>
          <w:rFonts w:hint="eastAsia"/>
          <w:szCs w:val="21"/>
        </w:rPr>
        <w:t>评标委员会成员签名：                                 日期：     年     月     日</w:t>
      </w: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r>
        <w:rPr>
          <w:rFonts w:hint="eastAsia" w:ascii="黑体" w:eastAsia="黑体"/>
          <w:szCs w:val="21"/>
        </w:rPr>
        <w:t>附表D-5：企业管理费、利润及税金和规费完整性分析及修正记录表</w:t>
      </w:r>
    </w:p>
    <w:p>
      <w:pPr>
        <w:spacing w:beforeLines="50" w:afterLines="50"/>
        <w:jc w:val="center"/>
        <w:rPr>
          <w:rFonts w:ascii="黑体" w:eastAsia="黑体"/>
          <w:sz w:val="32"/>
          <w:szCs w:val="32"/>
        </w:rPr>
      </w:pPr>
      <w:r>
        <w:rPr>
          <w:rFonts w:hint="eastAsia" w:ascii="黑体" w:eastAsia="黑体"/>
          <w:sz w:val="32"/>
          <w:szCs w:val="32"/>
        </w:rPr>
        <w:t>企业管理费、利润及税金和规费完整性分析及修正记录表</w:t>
      </w:r>
    </w:p>
    <w:p>
      <w:pPr>
        <w:rPr>
          <w:szCs w:val="21"/>
        </w:rPr>
      </w:pPr>
      <w:r>
        <w:rPr>
          <w:rFonts w:hint="eastAsia"/>
          <w:szCs w:val="21"/>
        </w:rPr>
        <w:t>投标人名称：</w:t>
      </w:r>
    </w:p>
    <w:tbl>
      <w:tblPr>
        <w:tblStyle w:val="36"/>
        <w:tblW w:w="84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223"/>
        <w:gridCol w:w="1223"/>
        <w:gridCol w:w="1223"/>
        <w:gridCol w:w="1223"/>
        <w:gridCol w:w="1223"/>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8" w:type="dxa"/>
            <w:vMerge w:val="restart"/>
            <w:vAlign w:val="center"/>
          </w:tcPr>
          <w:p>
            <w:pPr>
              <w:jc w:val="center"/>
              <w:rPr>
                <w:szCs w:val="21"/>
              </w:rPr>
            </w:pPr>
            <w:r>
              <w:rPr>
                <w:rFonts w:hint="eastAsia"/>
                <w:szCs w:val="21"/>
              </w:rPr>
              <w:t>项格不入目</w:t>
            </w:r>
          </w:p>
        </w:tc>
        <w:tc>
          <w:tcPr>
            <w:tcW w:w="2446" w:type="dxa"/>
            <w:gridSpan w:val="2"/>
            <w:vAlign w:val="center"/>
          </w:tcPr>
          <w:p>
            <w:pPr>
              <w:jc w:val="center"/>
              <w:rPr>
                <w:szCs w:val="21"/>
              </w:rPr>
            </w:pPr>
            <w:r>
              <w:rPr>
                <w:rFonts w:hint="eastAsia"/>
                <w:szCs w:val="21"/>
              </w:rPr>
              <w:t>企业管理费</w:t>
            </w:r>
          </w:p>
        </w:tc>
        <w:tc>
          <w:tcPr>
            <w:tcW w:w="2446" w:type="dxa"/>
            <w:gridSpan w:val="2"/>
            <w:vAlign w:val="center"/>
          </w:tcPr>
          <w:p>
            <w:pPr>
              <w:jc w:val="center"/>
              <w:rPr>
                <w:szCs w:val="21"/>
              </w:rPr>
            </w:pPr>
            <w:r>
              <w:rPr>
                <w:rFonts w:hint="eastAsia"/>
                <w:szCs w:val="21"/>
              </w:rPr>
              <w:t>利  润</w:t>
            </w:r>
          </w:p>
        </w:tc>
        <w:tc>
          <w:tcPr>
            <w:tcW w:w="2446" w:type="dxa"/>
            <w:gridSpan w:val="2"/>
            <w:vAlign w:val="center"/>
          </w:tcPr>
          <w:p>
            <w:pPr>
              <w:jc w:val="center"/>
              <w:rPr>
                <w:szCs w:val="21"/>
              </w:rPr>
            </w:pPr>
            <w:r>
              <w:rPr>
                <w:rFonts w:hint="eastAsia"/>
                <w:szCs w:val="21"/>
              </w:rPr>
              <w:t>税金和规费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8" w:type="dxa"/>
            <w:vMerge w:val="continue"/>
            <w:vAlign w:val="center"/>
          </w:tcPr>
          <w:p>
            <w:pPr>
              <w:jc w:val="center"/>
              <w:rPr>
                <w:szCs w:val="21"/>
              </w:rPr>
            </w:pPr>
          </w:p>
        </w:tc>
        <w:tc>
          <w:tcPr>
            <w:tcW w:w="1223" w:type="dxa"/>
            <w:vAlign w:val="center"/>
          </w:tcPr>
          <w:p>
            <w:pPr>
              <w:jc w:val="center"/>
              <w:rPr>
                <w:szCs w:val="21"/>
              </w:rPr>
            </w:pPr>
            <w:r>
              <w:rPr>
                <w:rFonts w:hint="eastAsia"/>
                <w:szCs w:val="21"/>
              </w:rPr>
              <w:t>投标价格</w:t>
            </w:r>
          </w:p>
        </w:tc>
        <w:tc>
          <w:tcPr>
            <w:tcW w:w="1223" w:type="dxa"/>
            <w:vAlign w:val="center"/>
          </w:tcPr>
          <w:p>
            <w:pPr>
              <w:jc w:val="center"/>
              <w:rPr>
                <w:szCs w:val="21"/>
              </w:rPr>
            </w:pPr>
            <w:r>
              <w:rPr>
                <w:rFonts w:hint="eastAsia"/>
                <w:szCs w:val="21"/>
              </w:rPr>
              <w:t>实际</w:t>
            </w:r>
          </w:p>
        </w:tc>
        <w:tc>
          <w:tcPr>
            <w:tcW w:w="1223" w:type="dxa"/>
            <w:vAlign w:val="center"/>
          </w:tcPr>
          <w:p>
            <w:pPr>
              <w:jc w:val="center"/>
              <w:rPr>
                <w:szCs w:val="21"/>
              </w:rPr>
            </w:pPr>
            <w:r>
              <w:rPr>
                <w:rFonts w:hint="eastAsia"/>
                <w:szCs w:val="21"/>
              </w:rPr>
              <w:t>投标价格</w:t>
            </w:r>
          </w:p>
        </w:tc>
        <w:tc>
          <w:tcPr>
            <w:tcW w:w="1223" w:type="dxa"/>
            <w:vAlign w:val="center"/>
          </w:tcPr>
          <w:p>
            <w:pPr>
              <w:jc w:val="center"/>
              <w:rPr>
                <w:szCs w:val="21"/>
              </w:rPr>
            </w:pPr>
            <w:r>
              <w:rPr>
                <w:rFonts w:hint="eastAsia"/>
                <w:szCs w:val="21"/>
              </w:rPr>
              <w:t>实际</w:t>
            </w:r>
          </w:p>
        </w:tc>
        <w:tc>
          <w:tcPr>
            <w:tcW w:w="1223" w:type="dxa"/>
            <w:vAlign w:val="center"/>
          </w:tcPr>
          <w:p>
            <w:pPr>
              <w:jc w:val="center"/>
              <w:rPr>
                <w:szCs w:val="21"/>
              </w:rPr>
            </w:pPr>
            <w:r>
              <w:rPr>
                <w:rFonts w:hint="eastAsia"/>
                <w:szCs w:val="21"/>
              </w:rPr>
              <w:t>投标价格</w:t>
            </w:r>
          </w:p>
        </w:tc>
        <w:tc>
          <w:tcPr>
            <w:tcW w:w="1223" w:type="dxa"/>
            <w:vAlign w:val="center"/>
          </w:tcPr>
          <w:p>
            <w:pPr>
              <w:jc w:val="center"/>
              <w:rPr>
                <w:szCs w:val="21"/>
              </w:rPr>
            </w:pPr>
            <w:r>
              <w:rPr>
                <w:rFonts w:hint="eastAsia"/>
                <w:szCs w:val="21"/>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8" w:type="dxa"/>
            <w:vAlign w:val="center"/>
          </w:tcPr>
          <w:p>
            <w:pPr>
              <w:jc w:val="center"/>
              <w:rPr>
                <w:szCs w:val="21"/>
              </w:rPr>
            </w:pPr>
            <w:r>
              <w:rPr>
                <w:rFonts w:hint="eastAsia"/>
                <w:szCs w:val="21"/>
              </w:rPr>
              <w:t>比较栏</w:t>
            </w:r>
          </w:p>
        </w:tc>
        <w:tc>
          <w:tcPr>
            <w:tcW w:w="1223" w:type="dxa"/>
            <w:tcBorders>
              <w:bottom w:val="single" w:color="auto" w:sz="8" w:space="0"/>
            </w:tcBorders>
            <w:vAlign w:val="center"/>
          </w:tcPr>
          <w:p>
            <w:pPr>
              <w:jc w:val="center"/>
              <w:rPr>
                <w:szCs w:val="21"/>
              </w:rPr>
            </w:pPr>
          </w:p>
        </w:tc>
        <w:tc>
          <w:tcPr>
            <w:tcW w:w="1223" w:type="dxa"/>
            <w:tcBorders>
              <w:bottom w:val="single" w:color="auto" w:sz="8" w:space="0"/>
            </w:tcBorders>
            <w:vAlign w:val="center"/>
          </w:tcPr>
          <w:p>
            <w:pPr>
              <w:jc w:val="center"/>
              <w:rPr>
                <w:szCs w:val="21"/>
              </w:rPr>
            </w:pPr>
          </w:p>
        </w:tc>
        <w:tc>
          <w:tcPr>
            <w:tcW w:w="1223" w:type="dxa"/>
            <w:tcBorders>
              <w:bottom w:val="single" w:color="auto" w:sz="8" w:space="0"/>
            </w:tcBorders>
            <w:vAlign w:val="center"/>
          </w:tcPr>
          <w:p>
            <w:pPr>
              <w:jc w:val="center"/>
              <w:rPr>
                <w:szCs w:val="21"/>
              </w:rPr>
            </w:pPr>
          </w:p>
        </w:tc>
        <w:tc>
          <w:tcPr>
            <w:tcW w:w="1223" w:type="dxa"/>
            <w:tcBorders>
              <w:bottom w:val="single" w:color="auto" w:sz="8" w:space="0"/>
            </w:tcBorders>
            <w:vAlign w:val="center"/>
          </w:tcPr>
          <w:p>
            <w:pPr>
              <w:jc w:val="center"/>
              <w:rPr>
                <w:szCs w:val="21"/>
              </w:rPr>
            </w:pPr>
          </w:p>
        </w:tc>
        <w:tc>
          <w:tcPr>
            <w:tcW w:w="1223" w:type="dxa"/>
            <w:tcBorders>
              <w:bottom w:val="single" w:color="auto" w:sz="8" w:space="0"/>
            </w:tcBorders>
            <w:vAlign w:val="center"/>
          </w:tcPr>
          <w:p>
            <w:pPr>
              <w:jc w:val="center"/>
              <w:rPr>
                <w:szCs w:val="21"/>
              </w:rPr>
            </w:pPr>
          </w:p>
        </w:tc>
        <w:tc>
          <w:tcPr>
            <w:tcW w:w="1223" w:type="dxa"/>
            <w:tcBorders>
              <w:bottom w:val="single" w:color="auto" w:sz="8"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138" w:type="dxa"/>
            <w:tcBorders>
              <w:right w:val="single" w:color="auto" w:sz="8" w:space="0"/>
            </w:tcBorders>
            <w:vAlign w:val="center"/>
          </w:tcPr>
          <w:p>
            <w:pPr>
              <w:jc w:val="center"/>
              <w:rPr>
                <w:szCs w:val="21"/>
              </w:rPr>
            </w:pPr>
            <w:r>
              <w:rPr>
                <w:rFonts w:hint="eastAsia"/>
                <w:szCs w:val="21"/>
              </w:rPr>
              <w:t>差  额</w:t>
            </w:r>
          </w:p>
        </w:tc>
        <w:tc>
          <w:tcPr>
            <w:tcW w:w="1223" w:type="dxa"/>
            <w:tcBorders>
              <w:top w:val="single" w:color="auto" w:sz="8" w:space="0"/>
              <w:left w:val="single" w:color="auto" w:sz="8" w:space="0"/>
              <w:bottom w:val="single" w:color="auto" w:sz="8" w:space="0"/>
              <w:right w:val="single" w:color="auto" w:sz="4" w:space="0"/>
            </w:tcBorders>
            <w:vAlign w:val="center"/>
          </w:tcPr>
          <w:p>
            <w:pPr>
              <w:jc w:val="center"/>
              <w:rPr>
                <w:szCs w:val="21"/>
              </w:rPr>
            </w:pPr>
            <w:r>
              <w:rPr>
                <w:rFonts w:hint="eastAsia"/>
                <w:szCs w:val="21"/>
              </w:rPr>
              <w:t>E  值</w:t>
            </w:r>
          </w:p>
        </w:tc>
        <w:tc>
          <w:tcPr>
            <w:tcW w:w="1223" w:type="dxa"/>
            <w:tcBorders>
              <w:top w:val="single" w:color="auto" w:sz="8" w:space="0"/>
              <w:left w:val="single" w:color="auto" w:sz="4" w:space="0"/>
              <w:bottom w:val="single" w:color="auto" w:sz="8" w:space="0"/>
              <w:right w:val="single" w:color="auto" w:sz="8" w:space="0"/>
            </w:tcBorders>
            <w:vAlign w:val="center"/>
          </w:tcPr>
          <w:p>
            <w:pPr>
              <w:jc w:val="center"/>
              <w:rPr>
                <w:szCs w:val="21"/>
              </w:rPr>
            </w:pPr>
          </w:p>
        </w:tc>
        <w:tc>
          <w:tcPr>
            <w:tcW w:w="1223" w:type="dxa"/>
            <w:tcBorders>
              <w:top w:val="single" w:color="auto" w:sz="8" w:space="0"/>
              <w:left w:val="single" w:color="auto" w:sz="8" w:space="0"/>
              <w:bottom w:val="single" w:color="auto" w:sz="8" w:space="0"/>
              <w:right w:val="single" w:color="auto" w:sz="4" w:space="0"/>
            </w:tcBorders>
            <w:vAlign w:val="center"/>
          </w:tcPr>
          <w:p>
            <w:pPr>
              <w:jc w:val="center"/>
              <w:rPr>
                <w:szCs w:val="21"/>
              </w:rPr>
            </w:pPr>
            <w:r>
              <w:rPr>
                <w:rFonts w:hint="eastAsia"/>
                <w:szCs w:val="21"/>
              </w:rPr>
              <w:t>F  值</w:t>
            </w:r>
          </w:p>
        </w:tc>
        <w:tc>
          <w:tcPr>
            <w:tcW w:w="1223" w:type="dxa"/>
            <w:tcBorders>
              <w:top w:val="single" w:color="auto" w:sz="8" w:space="0"/>
              <w:left w:val="single" w:color="auto" w:sz="4" w:space="0"/>
              <w:bottom w:val="single" w:color="auto" w:sz="8" w:space="0"/>
              <w:right w:val="single" w:color="auto" w:sz="8" w:space="0"/>
            </w:tcBorders>
            <w:vAlign w:val="center"/>
          </w:tcPr>
          <w:p>
            <w:pPr>
              <w:jc w:val="center"/>
              <w:rPr>
                <w:szCs w:val="21"/>
              </w:rPr>
            </w:pPr>
          </w:p>
        </w:tc>
        <w:tc>
          <w:tcPr>
            <w:tcW w:w="1223" w:type="dxa"/>
            <w:tcBorders>
              <w:top w:val="single" w:color="auto" w:sz="8" w:space="0"/>
              <w:left w:val="single" w:color="auto" w:sz="8" w:space="0"/>
              <w:bottom w:val="single" w:color="auto" w:sz="8" w:space="0"/>
              <w:right w:val="single" w:color="auto" w:sz="4" w:space="0"/>
            </w:tcBorders>
            <w:vAlign w:val="center"/>
          </w:tcPr>
          <w:p>
            <w:pPr>
              <w:jc w:val="center"/>
              <w:rPr>
                <w:szCs w:val="21"/>
              </w:rPr>
            </w:pPr>
            <w:r>
              <w:rPr>
                <w:rFonts w:hint="eastAsia"/>
                <w:szCs w:val="21"/>
              </w:rPr>
              <w:t>G  值</w:t>
            </w:r>
          </w:p>
        </w:tc>
        <w:tc>
          <w:tcPr>
            <w:tcW w:w="1223" w:type="dxa"/>
            <w:tcBorders>
              <w:top w:val="single" w:color="auto" w:sz="8" w:space="0"/>
              <w:left w:val="single" w:color="auto" w:sz="4" w:space="0"/>
              <w:bottom w:val="single" w:color="auto" w:sz="8" w:space="0"/>
              <w:right w:val="single" w:color="auto" w:sz="8"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138" w:type="dxa"/>
            <w:vAlign w:val="center"/>
          </w:tcPr>
          <w:p>
            <w:pPr>
              <w:jc w:val="center"/>
              <w:rPr>
                <w:szCs w:val="21"/>
              </w:rPr>
            </w:pPr>
            <w:r>
              <w:rPr>
                <w:rFonts w:hint="eastAsia"/>
                <w:szCs w:val="21"/>
              </w:rPr>
              <w:t>分析计算</w:t>
            </w:r>
          </w:p>
        </w:tc>
        <w:tc>
          <w:tcPr>
            <w:tcW w:w="1223" w:type="dxa"/>
            <w:tcBorders>
              <w:top w:val="single" w:color="auto" w:sz="8" w:space="0"/>
            </w:tcBorders>
            <w:vAlign w:val="center"/>
          </w:tcPr>
          <w:p>
            <w:pPr>
              <w:jc w:val="center"/>
              <w:rPr>
                <w:szCs w:val="21"/>
              </w:rPr>
            </w:pPr>
          </w:p>
        </w:tc>
        <w:tc>
          <w:tcPr>
            <w:tcW w:w="1223" w:type="dxa"/>
            <w:tcBorders>
              <w:top w:val="single" w:color="auto" w:sz="8" w:space="0"/>
            </w:tcBorders>
            <w:vAlign w:val="center"/>
          </w:tcPr>
          <w:p>
            <w:pPr>
              <w:jc w:val="center"/>
              <w:rPr>
                <w:szCs w:val="21"/>
              </w:rPr>
            </w:pPr>
          </w:p>
        </w:tc>
        <w:tc>
          <w:tcPr>
            <w:tcW w:w="1223" w:type="dxa"/>
            <w:tcBorders>
              <w:top w:val="single" w:color="auto" w:sz="8" w:space="0"/>
            </w:tcBorders>
            <w:vAlign w:val="center"/>
          </w:tcPr>
          <w:p>
            <w:pPr>
              <w:jc w:val="center"/>
              <w:rPr>
                <w:szCs w:val="21"/>
              </w:rPr>
            </w:pPr>
          </w:p>
        </w:tc>
        <w:tc>
          <w:tcPr>
            <w:tcW w:w="1223" w:type="dxa"/>
            <w:tcBorders>
              <w:top w:val="single" w:color="auto" w:sz="8" w:space="0"/>
            </w:tcBorders>
            <w:vAlign w:val="center"/>
          </w:tcPr>
          <w:p>
            <w:pPr>
              <w:jc w:val="center"/>
              <w:rPr>
                <w:szCs w:val="21"/>
              </w:rPr>
            </w:pPr>
          </w:p>
        </w:tc>
        <w:tc>
          <w:tcPr>
            <w:tcW w:w="1223" w:type="dxa"/>
            <w:tcBorders>
              <w:top w:val="single" w:color="auto" w:sz="8" w:space="0"/>
            </w:tcBorders>
            <w:vAlign w:val="center"/>
          </w:tcPr>
          <w:p>
            <w:pPr>
              <w:jc w:val="center"/>
              <w:rPr>
                <w:szCs w:val="21"/>
              </w:rPr>
            </w:pPr>
          </w:p>
        </w:tc>
        <w:tc>
          <w:tcPr>
            <w:tcW w:w="1223" w:type="dxa"/>
            <w:tcBorders>
              <w:top w:val="single" w:color="auto" w:sz="8"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3" w:hRule="atLeast"/>
        </w:trPr>
        <w:tc>
          <w:tcPr>
            <w:tcW w:w="1138" w:type="dxa"/>
            <w:vAlign w:val="center"/>
          </w:tcPr>
          <w:p>
            <w:pPr>
              <w:jc w:val="center"/>
              <w:rPr>
                <w:szCs w:val="21"/>
              </w:rPr>
            </w:pPr>
            <w:r>
              <w:rPr>
                <w:rFonts w:hint="eastAsia"/>
                <w:szCs w:val="21"/>
              </w:rPr>
              <w:t>有关疑问</w:t>
            </w:r>
          </w:p>
          <w:p>
            <w:pPr>
              <w:jc w:val="center"/>
              <w:rPr>
                <w:szCs w:val="21"/>
              </w:rPr>
            </w:pPr>
            <w:r>
              <w:rPr>
                <w:rFonts w:hint="eastAsia"/>
                <w:szCs w:val="21"/>
              </w:rPr>
              <w:t>事项备注</w:t>
            </w:r>
          </w:p>
        </w:tc>
        <w:tc>
          <w:tcPr>
            <w:tcW w:w="1223" w:type="dxa"/>
            <w:vAlign w:val="center"/>
          </w:tcPr>
          <w:p>
            <w:pPr>
              <w:jc w:val="center"/>
              <w:rPr>
                <w:szCs w:val="21"/>
              </w:rPr>
            </w:pPr>
          </w:p>
        </w:tc>
        <w:tc>
          <w:tcPr>
            <w:tcW w:w="1223" w:type="dxa"/>
            <w:vAlign w:val="center"/>
          </w:tcPr>
          <w:p>
            <w:pPr>
              <w:jc w:val="center"/>
              <w:rPr>
                <w:szCs w:val="21"/>
              </w:rPr>
            </w:pPr>
          </w:p>
        </w:tc>
        <w:tc>
          <w:tcPr>
            <w:tcW w:w="1223" w:type="dxa"/>
            <w:vAlign w:val="center"/>
          </w:tcPr>
          <w:p>
            <w:pPr>
              <w:jc w:val="center"/>
              <w:rPr>
                <w:szCs w:val="21"/>
              </w:rPr>
            </w:pPr>
          </w:p>
        </w:tc>
        <w:tc>
          <w:tcPr>
            <w:tcW w:w="1223" w:type="dxa"/>
            <w:vAlign w:val="center"/>
          </w:tcPr>
          <w:p>
            <w:pPr>
              <w:jc w:val="center"/>
              <w:rPr>
                <w:szCs w:val="21"/>
              </w:rPr>
            </w:pPr>
          </w:p>
        </w:tc>
        <w:tc>
          <w:tcPr>
            <w:tcW w:w="1223" w:type="dxa"/>
            <w:vAlign w:val="center"/>
          </w:tcPr>
          <w:p>
            <w:pPr>
              <w:jc w:val="center"/>
              <w:rPr>
                <w:szCs w:val="21"/>
              </w:rPr>
            </w:pPr>
          </w:p>
        </w:tc>
        <w:tc>
          <w:tcPr>
            <w:tcW w:w="1223" w:type="dxa"/>
            <w:vAlign w:val="center"/>
          </w:tcPr>
          <w:p>
            <w:pPr>
              <w:jc w:val="center"/>
              <w:rPr>
                <w:szCs w:val="21"/>
              </w:rPr>
            </w:pPr>
          </w:p>
        </w:tc>
      </w:tr>
    </w:tbl>
    <w:p>
      <w:pPr>
        <w:spacing w:beforeLines="200"/>
        <w:rPr>
          <w:b/>
          <w:szCs w:val="21"/>
        </w:rPr>
      </w:pPr>
      <w:r>
        <w:rPr>
          <w:rFonts w:hint="eastAsia"/>
          <w:szCs w:val="21"/>
        </w:rPr>
        <w:t>评标委员会成员签名：                                 日期：     年     月     日</w:t>
      </w: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r>
        <w:rPr>
          <w:rFonts w:hint="eastAsia" w:ascii="黑体" w:eastAsia="黑体"/>
          <w:szCs w:val="21"/>
        </w:rPr>
        <w:t>附表D-6：不平衡报价分析及修正记录表</w:t>
      </w:r>
    </w:p>
    <w:p>
      <w:pPr>
        <w:spacing w:beforeLines="50" w:afterLines="50"/>
        <w:jc w:val="center"/>
        <w:rPr>
          <w:rFonts w:ascii="黑体" w:eastAsia="黑体"/>
          <w:sz w:val="32"/>
          <w:szCs w:val="32"/>
        </w:rPr>
      </w:pPr>
      <w:r>
        <w:rPr>
          <w:rFonts w:hint="eastAsia" w:ascii="黑体" w:eastAsia="黑体"/>
          <w:sz w:val="32"/>
          <w:szCs w:val="32"/>
        </w:rPr>
        <w:t>不平衡报价分析及修正记录表</w:t>
      </w:r>
    </w:p>
    <w:p>
      <w:pPr>
        <w:rPr>
          <w:szCs w:val="21"/>
        </w:rPr>
      </w:pPr>
      <w:r>
        <w:rPr>
          <w:rFonts w:hint="eastAsia"/>
          <w:szCs w:val="21"/>
        </w:rPr>
        <w:t>投标人名称：</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4"/>
        <w:gridCol w:w="1127"/>
        <w:gridCol w:w="1155"/>
        <w:gridCol w:w="1169"/>
        <w:gridCol w:w="1294"/>
        <w:gridCol w:w="1001"/>
        <w:gridCol w:w="807"/>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584" w:type="dxa"/>
            <w:vAlign w:val="center"/>
          </w:tcPr>
          <w:p>
            <w:pPr>
              <w:jc w:val="center"/>
              <w:rPr>
                <w:szCs w:val="21"/>
              </w:rPr>
            </w:pPr>
            <w:r>
              <w:rPr>
                <w:rFonts w:hint="eastAsia"/>
                <w:szCs w:val="21"/>
              </w:rPr>
              <w:t>编</w:t>
            </w:r>
          </w:p>
          <w:p>
            <w:pPr>
              <w:jc w:val="center"/>
              <w:rPr>
                <w:szCs w:val="21"/>
              </w:rPr>
            </w:pPr>
            <w:r>
              <w:rPr>
                <w:rFonts w:hint="eastAsia"/>
                <w:szCs w:val="21"/>
              </w:rPr>
              <w:t>号</w:t>
            </w:r>
          </w:p>
        </w:tc>
        <w:tc>
          <w:tcPr>
            <w:tcW w:w="1127" w:type="dxa"/>
            <w:vAlign w:val="center"/>
          </w:tcPr>
          <w:p>
            <w:pPr>
              <w:jc w:val="center"/>
              <w:rPr>
                <w:szCs w:val="21"/>
              </w:rPr>
            </w:pPr>
            <w:r>
              <w:rPr>
                <w:rFonts w:hint="eastAsia"/>
                <w:szCs w:val="21"/>
              </w:rPr>
              <w:t>子目名称</w:t>
            </w:r>
          </w:p>
        </w:tc>
        <w:tc>
          <w:tcPr>
            <w:tcW w:w="1155" w:type="dxa"/>
            <w:vAlign w:val="center"/>
          </w:tcPr>
          <w:p>
            <w:pPr>
              <w:jc w:val="center"/>
              <w:rPr>
                <w:szCs w:val="21"/>
              </w:rPr>
            </w:pPr>
            <w:r>
              <w:rPr>
                <w:rFonts w:hint="eastAsia"/>
                <w:szCs w:val="21"/>
              </w:rPr>
              <w:t>存在不平</w:t>
            </w:r>
          </w:p>
          <w:p>
            <w:pPr>
              <w:jc w:val="center"/>
              <w:rPr>
                <w:szCs w:val="21"/>
              </w:rPr>
            </w:pPr>
            <w:r>
              <w:rPr>
                <w:rFonts w:hint="eastAsia"/>
                <w:szCs w:val="21"/>
              </w:rPr>
              <w:t>衡的单价</w:t>
            </w:r>
          </w:p>
        </w:tc>
        <w:tc>
          <w:tcPr>
            <w:tcW w:w="1169" w:type="dxa"/>
            <w:vAlign w:val="center"/>
          </w:tcPr>
          <w:p>
            <w:pPr>
              <w:jc w:val="center"/>
              <w:rPr>
                <w:szCs w:val="21"/>
              </w:rPr>
            </w:pPr>
            <w:r>
              <w:rPr>
                <w:rFonts w:hint="eastAsia"/>
                <w:szCs w:val="21"/>
              </w:rPr>
              <w:t>修正后的平衡单价</w:t>
            </w:r>
          </w:p>
        </w:tc>
        <w:tc>
          <w:tcPr>
            <w:tcW w:w="1294" w:type="dxa"/>
            <w:vAlign w:val="center"/>
          </w:tcPr>
          <w:p>
            <w:pPr>
              <w:jc w:val="center"/>
              <w:rPr>
                <w:szCs w:val="21"/>
              </w:rPr>
            </w:pPr>
            <w:r>
              <w:rPr>
                <w:rFonts w:hint="eastAsia"/>
                <w:szCs w:val="21"/>
              </w:rPr>
              <w:t>单价差值</w:t>
            </w:r>
          </w:p>
          <w:p>
            <w:pPr>
              <w:jc w:val="center"/>
              <w:rPr>
                <w:szCs w:val="21"/>
              </w:rPr>
            </w:pPr>
            <w:r>
              <w:rPr>
                <w:rFonts w:hint="eastAsia"/>
                <w:szCs w:val="21"/>
              </w:rPr>
              <w:t>（代数值）</w:t>
            </w:r>
          </w:p>
        </w:tc>
        <w:tc>
          <w:tcPr>
            <w:tcW w:w="1001" w:type="dxa"/>
            <w:vAlign w:val="center"/>
          </w:tcPr>
          <w:p>
            <w:pPr>
              <w:jc w:val="center"/>
              <w:rPr>
                <w:szCs w:val="21"/>
              </w:rPr>
            </w:pPr>
            <w:r>
              <w:rPr>
                <w:rFonts w:hint="eastAsia"/>
                <w:szCs w:val="21"/>
              </w:rPr>
              <w:t>工程量</w:t>
            </w:r>
          </w:p>
        </w:tc>
        <w:tc>
          <w:tcPr>
            <w:tcW w:w="807" w:type="dxa"/>
            <w:vAlign w:val="center"/>
          </w:tcPr>
          <w:p>
            <w:pPr>
              <w:jc w:val="center"/>
              <w:rPr>
                <w:szCs w:val="21"/>
              </w:rPr>
            </w:pPr>
            <w:r>
              <w:rPr>
                <w:rFonts w:hint="eastAsia"/>
                <w:szCs w:val="21"/>
              </w:rPr>
              <w:t>差额</w:t>
            </w:r>
          </w:p>
        </w:tc>
        <w:tc>
          <w:tcPr>
            <w:tcW w:w="1336" w:type="dxa"/>
            <w:vAlign w:val="center"/>
          </w:tcPr>
          <w:p>
            <w:pPr>
              <w:jc w:val="center"/>
              <w:rPr>
                <w:szCs w:val="21"/>
              </w:rPr>
            </w:pPr>
            <w:r>
              <w:rPr>
                <w:rFonts w:hint="eastAsia"/>
                <w:szCs w:val="21"/>
              </w:rPr>
              <w:t>有关疑问事</w:t>
            </w:r>
          </w:p>
          <w:p>
            <w:pPr>
              <w:jc w:val="center"/>
              <w:rPr>
                <w:szCs w:val="21"/>
              </w:rPr>
            </w:pPr>
            <w:r>
              <w:rPr>
                <w:rFonts w:hint="eastAsia"/>
                <w:szCs w:val="21"/>
              </w:rPr>
              <w:t>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pPr>
              <w:jc w:val="center"/>
              <w:rPr>
                <w:szCs w:val="21"/>
              </w:rPr>
            </w:pPr>
          </w:p>
        </w:tc>
        <w:tc>
          <w:tcPr>
            <w:tcW w:w="1127" w:type="dxa"/>
            <w:vAlign w:val="center"/>
          </w:tcPr>
          <w:p>
            <w:pPr>
              <w:jc w:val="center"/>
              <w:rPr>
                <w:szCs w:val="21"/>
              </w:rPr>
            </w:pPr>
          </w:p>
        </w:tc>
        <w:tc>
          <w:tcPr>
            <w:tcW w:w="1155" w:type="dxa"/>
            <w:vAlign w:val="center"/>
          </w:tcPr>
          <w:p>
            <w:pPr>
              <w:jc w:val="center"/>
              <w:rPr>
                <w:szCs w:val="21"/>
              </w:rPr>
            </w:pPr>
          </w:p>
        </w:tc>
        <w:tc>
          <w:tcPr>
            <w:tcW w:w="1169" w:type="dxa"/>
            <w:vAlign w:val="center"/>
          </w:tcPr>
          <w:p>
            <w:pPr>
              <w:jc w:val="center"/>
              <w:rPr>
                <w:szCs w:val="21"/>
              </w:rPr>
            </w:pPr>
          </w:p>
        </w:tc>
        <w:tc>
          <w:tcPr>
            <w:tcW w:w="1294" w:type="dxa"/>
            <w:vAlign w:val="center"/>
          </w:tcPr>
          <w:p>
            <w:pPr>
              <w:jc w:val="center"/>
              <w:rPr>
                <w:szCs w:val="21"/>
              </w:rPr>
            </w:pPr>
          </w:p>
        </w:tc>
        <w:tc>
          <w:tcPr>
            <w:tcW w:w="1001" w:type="dxa"/>
            <w:vAlign w:val="center"/>
          </w:tcPr>
          <w:p>
            <w:pPr>
              <w:jc w:val="center"/>
              <w:rPr>
                <w:szCs w:val="21"/>
              </w:rPr>
            </w:pPr>
          </w:p>
        </w:tc>
        <w:tc>
          <w:tcPr>
            <w:tcW w:w="807" w:type="dxa"/>
            <w:vAlign w:val="center"/>
          </w:tcPr>
          <w:p>
            <w:pPr>
              <w:jc w:val="center"/>
              <w:rPr>
                <w:szCs w:val="21"/>
              </w:rPr>
            </w:pPr>
          </w:p>
        </w:tc>
        <w:tc>
          <w:tcPr>
            <w:tcW w:w="133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pPr>
              <w:jc w:val="center"/>
              <w:rPr>
                <w:szCs w:val="21"/>
              </w:rPr>
            </w:pPr>
          </w:p>
        </w:tc>
        <w:tc>
          <w:tcPr>
            <w:tcW w:w="1127" w:type="dxa"/>
            <w:vAlign w:val="center"/>
          </w:tcPr>
          <w:p>
            <w:pPr>
              <w:jc w:val="center"/>
              <w:rPr>
                <w:szCs w:val="21"/>
              </w:rPr>
            </w:pPr>
          </w:p>
        </w:tc>
        <w:tc>
          <w:tcPr>
            <w:tcW w:w="1155" w:type="dxa"/>
            <w:vAlign w:val="center"/>
          </w:tcPr>
          <w:p>
            <w:pPr>
              <w:jc w:val="center"/>
              <w:rPr>
                <w:szCs w:val="21"/>
              </w:rPr>
            </w:pPr>
          </w:p>
        </w:tc>
        <w:tc>
          <w:tcPr>
            <w:tcW w:w="1169" w:type="dxa"/>
            <w:vAlign w:val="center"/>
          </w:tcPr>
          <w:p>
            <w:pPr>
              <w:jc w:val="center"/>
              <w:rPr>
                <w:szCs w:val="21"/>
              </w:rPr>
            </w:pPr>
          </w:p>
        </w:tc>
        <w:tc>
          <w:tcPr>
            <w:tcW w:w="1294" w:type="dxa"/>
            <w:vAlign w:val="center"/>
          </w:tcPr>
          <w:p>
            <w:pPr>
              <w:jc w:val="center"/>
              <w:rPr>
                <w:szCs w:val="21"/>
              </w:rPr>
            </w:pPr>
          </w:p>
        </w:tc>
        <w:tc>
          <w:tcPr>
            <w:tcW w:w="1001" w:type="dxa"/>
            <w:vAlign w:val="center"/>
          </w:tcPr>
          <w:p>
            <w:pPr>
              <w:jc w:val="center"/>
              <w:rPr>
                <w:szCs w:val="21"/>
              </w:rPr>
            </w:pPr>
          </w:p>
        </w:tc>
        <w:tc>
          <w:tcPr>
            <w:tcW w:w="807" w:type="dxa"/>
            <w:vAlign w:val="center"/>
          </w:tcPr>
          <w:p>
            <w:pPr>
              <w:jc w:val="center"/>
              <w:rPr>
                <w:szCs w:val="21"/>
              </w:rPr>
            </w:pPr>
          </w:p>
        </w:tc>
        <w:tc>
          <w:tcPr>
            <w:tcW w:w="133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pPr>
              <w:jc w:val="center"/>
              <w:rPr>
                <w:szCs w:val="21"/>
              </w:rPr>
            </w:pPr>
          </w:p>
        </w:tc>
        <w:tc>
          <w:tcPr>
            <w:tcW w:w="1127" w:type="dxa"/>
            <w:vAlign w:val="center"/>
          </w:tcPr>
          <w:p>
            <w:pPr>
              <w:jc w:val="center"/>
              <w:rPr>
                <w:szCs w:val="21"/>
              </w:rPr>
            </w:pPr>
          </w:p>
        </w:tc>
        <w:tc>
          <w:tcPr>
            <w:tcW w:w="1155" w:type="dxa"/>
            <w:vAlign w:val="center"/>
          </w:tcPr>
          <w:p>
            <w:pPr>
              <w:jc w:val="center"/>
              <w:rPr>
                <w:szCs w:val="21"/>
              </w:rPr>
            </w:pPr>
          </w:p>
        </w:tc>
        <w:tc>
          <w:tcPr>
            <w:tcW w:w="1169" w:type="dxa"/>
            <w:vAlign w:val="center"/>
          </w:tcPr>
          <w:p>
            <w:pPr>
              <w:jc w:val="center"/>
              <w:rPr>
                <w:szCs w:val="21"/>
              </w:rPr>
            </w:pPr>
          </w:p>
        </w:tc>
        <w:tc>
          <w:tcPr>
            <w:tcW w:w="1294" w:type="dxa"/>
            <w:vAlign w:val="center"/>
          </w:tcPr>
          <w:p>
            <w:pPr>
              <w:jc w:val="center"/>
              <w:rPr>
                <w:szCs w:val="21"/>
              </w:rPr>
            </w:pPr>
          </w:p>
        </w:tc>
        <w:tc>
          <w:tcPr>
            <w:tcW w:w="1001" w:type="dxa"/>
            <w:vAlign w:val="center"/>
          </w:tcPr>
          <w:p>
            <w:pPr>
              <w:jc w:val="center"/>
              <w:rPr>
                <w:szCs w:val="21"/>
              </w:rPr>
            </w:pPr>
          </w:p>
        </w:tc>
        <w:tc>
          <w:tcPr>
            <w:tcW w:w="807" w:type="dxa"/>
            <w:vAlign w:val="center"/>
          </w:tcPr>
          <w:p>
            <w:pPr>
              <w:jc w:val="center"/>
              <w:rPr>
                <w:szCs w:val="21"/>
              </w:rPr>
            </w:pPr>
          </w:p>
        </w:tc>
        <w:tc>
          <w:tcPr>
            <w:tcW w:w="133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pPr>
              <w:jc w:val="center"/>
              <w:rPr>
                <w:szCs w:val="21"/>
              </w:rPr>
            </w:pPr>
          </w:p>
        </w:tc>
        <w:tc>
          <w:tcPr>
            <w:tcW w:w="1127" w:type="dxa"/>
            <w:vAlign w:val="center"/>
          </w:tcPr>
          <w:p>
            <w:pPr>
              <w:jc w:val="center"/>
              <w:rPr>
                <w:szCs w:val="21"/>
              </w:rPr>
            </w:pPr>
          </w:p>
        </w:tc>
        <w:tc>
          <w:tcPr>
            <w:tcW w:w="1155" w:type="dxa"/>
            <w:vAlign w:val="center"/>
          </w:tcPr>
          <w:p>
            <w:pPr>
              <w:jc w:val="center"/>
              <w:rPr>
                <w:szCs w:val="21"/>
              </w:rPr>
            </w:pPr>
          </w:p>
        </w:tc>
        <w:tc>
          <w:tcPr>
            <w:tcW w:w="1169" w:type="dxa"/>
            <w:vAlign w:val="center"/>
          </w:tcPr>
          <w:p>
            <w:pPr>
              <w:jc w:val="center"/>
              <w:rPr>
                <w:szCs w:val="21"/>
              </w:rPr>
            </w:pPr>
          </w:p>
        </w:tc>
        <w:tc>
          <w:tcPr>
            <w:tcW w:w="1294" w:type="dxa"/>
            <w:vAlign w:val="center"/>
          </w:tcPr>
          <w:p>
            <w:pPr>
              <w:jc w:val="center"/>
              <w:rPr>
                <w:szCs w:val="21"/>
              </w:rPr>
            </w:pPr>
          </w:p>
        </w:tc>
        <w:tc>
          <w:tcPr>
            <w:tcW w:w="1001" w:type="dxa"/>
            <w:vAlign w:val="center"/>
          </w:tcPr>
          <w:p>
            <w:pPr>
              <w:jc w:val="center"/>
              <w:rPr>
                <w:szCs w:val="21"/>
              </w:rPr>
            </w:pPr>
          </w:p>
        </w:tc>
        <w:tc>
          <w:tcPr>
            <w:tcW w:w="807" w:type="dxa"/>
            <w:vAlign w:val="center"/>
          </w:tcPr>
          <w:p>
            <w:pPr>
              <w:jc w:val="center"/>
              <w:rPr>
                <w:szCs w:val="21"/>
              </w:rPr>
            </w:pPr>
          </w:p>
        </w:tc>
        <w:tc>
          <w:tcPr>
            <w:tcW w:w="133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pPr>
              <w:jc w:val="center"/>
              <w:rPr>
                <w:szCs w:val="21"/>
              </w:rPr>
            </w:pPr>
          </w:p>
        </w:tc>
        <w:tc>
          <w:tcPr>
            <w:tcW w:w="1127" w:type="dxa"/>
            <w:vAlign w:val="center"/>
          </w:tcPr>
          <w:p>
            <w:pPr>
              <w:jc w:val="center"/>
              <w:rPr>
                <w:szCs w:val="21"/>
              </w:rPr>
            </w:pPr>
          </w:p>
        </w:tc>
        <w:tc>
          <w:tcPr>
            <w:tcW w:w="1155" w:type="dxa"/>
            <w:vAlign w:val="center"/>
          </w:tcPr>
          <w:p>
            <w:pPr>
              <w:jc w:val="center"/>
              <w:rPr>
                <w:szCs w:val="21"/>
              </w:rPr>
            </w:pPr>
          </w:p>
        </w:tc>
        <w:tc>
          <w:tcPr>
            <w:tcW w:w="1169" w:type="dxa"/>
            <w:vAlign w:val="center"/>
          </w:tcPr>
          <w:p>
            <w:pPr>
              <w:jc w:val="center"/>
              <w:rPr>
                <w:szCs w:val="21"/>
              </w:rPr>
            </w:pPr>
          </w:p>
        </w:tc>
        <w:tc>
          <w:tcPr>
            <w:tcW w:w="1294" w:type="dxa"/>
            <w:vAlign w:val="center"/>
          </w:tcPr>
          <w:p>
            <w:pPr>
              <w:jc w:val="center"/>
              <w:rPr>
                <w:szCs w:val="21"/>
              </w:rPr>
            </w:pPr>
          </w:p>
        </w:tc>
        <w:tc>
          <w:tcPr>
            <w:tcW w:w="1001" w:type="dxa"/>
            <w:vAlign w:val="center"/>
          </w:tcPr>
          <w:p>
            <w:pPr>
              <w:jc w:val="center"/>
              <w:rPr>
                <w:szCs w:val="21"/>
              </w:rPr>
            </w:pPr>
          </w:p>
        </w:tc>
        <w:tc>
          <w:tcPr>
            <w:tcW w:w="807" w:type="dxa"/>
            <w:vAlign w:val="center"/>
          </w:tcPr>
          <w:p>
            <w:pPr>
              <w:jc w:val="center"/>
              <w:rPr>
                <w:szCs w:val="21"/>
              </w:rPr>
            </w:pPr>
          </w:p>
        </w:tc>
        <w:tc>
          <w:tcPr>
            <w:tcW w:w="133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pPr>
              <w:jc w:val="center"/>
              <w:rPr>
                <w:szCs w:val="21"/>
              </w:rPr>
            </w:pPr>
          </w:p>
        </w:tc>
        <w:tc>
          <w:tcPr>
            <w:tcW w:w="1127" w:type="dxa"/>
            <w:vAlign w:val="center"/>
          </w:tcPr>
          <w:p>
            <w:pPr>
              <w:jc w:val="center"/>
              <w:rPr>
                <w:szCs w:val="21"/>
              </w:rPr>
            </w:pPr>
          </w:p>
        </w:tc>
        <w:tc>
          <w:tcPr>
            <w:tcW w:w="1155" w:type="dxa"/>
            <w:vAlign w:val="center"/>
          </w:tcPr>
          <w:p>
            <w:pPr>
              <w:jc w:val="center"/>
              <w:rPr>
                <w:szCs w:val="21"/>
              </w:rPr>
            </w:pPr>
          </w:p>
        </w:tc>
        <w:tc>
          <w:tcPr>
            <w:tcW w:w="1169" w:type="dxa"/>
            <w:vAlign w:val="center"/>
          </w:tcPr>
          <w:p>
            <w:pPr>
              <w:jc w:val="center"/>
              <w:rPr>
                <w:szCs w:val="21"/>
              </w:rPr>
            </w:pPr>
          </w:p>
        </w:tc>
        <w:tc>
          <w:tcPr>
            <w:tcW w:w="1294" w:type="dxa"/>
            <w:vAlign w:val="center"/>
          </w:tcPr>
          <w:p>
            <w:pPr>
              <w:jc w:val="center"/>
              <w:rPr>
                <w:szCs w:val="21"/>
              </w:rPr>
            </w:pPr>
          </w:p>
        </w:tc>
        <w:tc>
          <w:tcPr>
            <w:tcW w:w="1001" w:type="dxa"/>
            <w:vAlign w:val="center"/>
          </w:tcPr>
          <w:p>
            <w:pPr>
              <w:jc w:val="center"/>
              <w:rPr>
                <w:szCs w:val="21"/>
              </w:rPr>
            </w:pPr>
          </w:p>
        </w:tc>
        <w:tc>
          <w:tcPr>
            <w:tcW w:w="807" w:type="dxa"/>
            <w:vAlign w:val="center"/>
          </w:tcPr>
          <w:p>
            <w:pPr>
              <w:jc w:val="center"/>
              <w:rPr>
                <w:szCs w:val="21"/>
              </w:rPr>
            </w:pPr>
          </w:p>
        </w:tc>
        <w:tc>
          <w:tcPr>
            <w:tcW w:w="133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pPr>
              <w:jc w:val="center"/>
              <w:rPr>
                <w:szCs w:val="21"/>
              </w:rPr>
            </w:pPr>
          </w:p>
        </w:tc>
        <w:tc>
          <w:tcPr>
            <w:tcW w:w="1127" w:type="dxa"/>
            <w:vAlign w:val="center"/>
          </w:tcPr>
          <w:p>
            <w:pPr>
              <w:jc w:val="center"/>
              <w:rPr>
                <w:szCs w:val="21"/>
              </w:rPr>
            </w:pPr>
          </w:p>
        </w:tc>
        <w:tc>
          <w:tcPr>
            <w:tcW w:w="1155" w:type="dxa"/>
            <w:vAlign w:val="center"/>
          </w:tcPr>
          <w:p>
            <w:pPr>
              <w:jc w:val="center"/>
              <w:rPr>
                <w:szCs w:val="21"/>
              </w:rPr>
            </w:pPr>
          </w:p>
        </w:tc>
        <w:tc>
          <w:tcPr>
            <w:tcW w:w="1169" w:type="dxa"/>
            <w:vAlign w:val="center"/>
          </w:tcPr>
          <w:p>
            <w:pPr>
              <w:jc w:val="center"/>
              <w:rPr>
                <w:szCs w:val="21"/>
              </w:rPr>
            </w:pPr>
          </w:p>
        </w:tc>
        <w:tc>
          <w:tcPr>
            <w:tcW w:w="1294" w:type="dxa"/>
            <w:vAlign w:val="center"/>
          </w:tcPr>
          <w:p>
            <w:pPr>
              <w:jc w:val="center"/>
              <w:rPr>
                <w:szCs w:val="21"/>
              </w:rPr>
            </w:pPr>
          </w:p>
        </w:tc>
        <w:tc>
          <w:tcPr>
            <w:tcW w:w="1001" w:type="dxa"/>
            <w:vAlign w:val="center"/>
          </w:tcPr>
          <w:p>
            <w:pPr>
              <w:jc w:val="center"/>
              <w:rPr>
                <w:szCs w:val="21"/>
              </w:rPr>
            </w:pPr>
          </w:p>
        </w:tc>
        <w:tc>
          <w:tcPr>
            <w:tcW w:w="807" w:type="dxa"/>
            <w:vAlign w:val="center"/>
          </w:tcPr>
          <w:p>
            <w:pPr>
              <w:jc w:val="center"/>
              <w:rPr>
                <w:szCs w:val="21"/>
              </w:rPr>
            </w:pPr>
          </w:p>
        </w:tc>
        <w:tc>
          <w:tcPr>
            <w:tcW w:w="133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pPr>
              <w:jc w:val="center"/>
              <w:rPr>
                <w:szCs w:val="21"/>
              </w:rPr>
            </w:pPr>
          </w:p>
        </w:tc>
        <w:tc>
          <w:tcPr>
            <w:tcW w:w="1127" w:type="dxa"/>
            <w:vAlign w:val="center"/>
          </w:tcPr>
          <w:p>
            <w:pPr>
              <w:jc w:val="center"/>
              <w:rPr>
                <w:szCs w:val="21"/>
              </w:rPr>
            </w:pPr>
          </w:p>
        </w:tc>
        <w:tc>
          <w:tcPr>
            <w:tcW w:w="1155" w:type="dxa"/>
            <w:vAlign w:val="center"/>
          </w:tcPr>
          <w:p>
            <w:pPr>
              <w:jc w:val="center"/>
              <w:rPr>
                <w:szCs w:val="21"/>
              </w:rPr>
            </w:pPr>
          </w:p>
        </w:tc>
        <w:tc>
          <w:tcPr>
            <w:tcW w:w="1169" w:type="dxa"/>
            <w:vAlign w:val="center"/>
          </w:tcPr>
          <w:p>
            <w:pPr>
              <w:jc w:val="center"/>
              <w:rPr>
                <w:szCs w:val="21"/>
              </w:rPr>
            </w:pPr>
          </w:p>
        </w:tc>
        <w:tc>
          <w:tcPr>
            <w:tcW w:w="1294" w:type="dxa"/>
            <w:vAlign w:val="center"/>
          </w:tcPr>
          <w:p>
            <w:pPr>
              <w:jc w:val="center"/>
              <w:rPr>
                <w:szCs w:val="21"/>
              </w:rPr>
            </w:pPr>
          </w:p>
        </w:tc>
        <w:tc>
          <w:tcPr>
            <w:tcW w:w="1001" w:type="dxa"/>
            <w:vAlign w:val="center"/>
          </w:tcPr>
          <w:p>
            <w:pPr>
              <w:jc w:val="center"/>
              <w:rPr>
                <w:szCs w:val="21"/>
              </w:rPr>
            </w:pPr>
          </w:p>
        </w:tc>
        <w:tc>
          <w:tcPr>
            <w:tcW w:w="807" w:type="dxa"/>
            <w:vAlign w:val="center"/>
          </w:tcPr>
          <w:p>
            <w:pPr>
              <w:jc w:val="center"/>
              <w:rPr>
                <w:szCs w:val="21"/>
              </w:rPr>
            </w:pPr>
          </w:p>
        </w:tc>
        <w:tc>
          <w:tcPr>
            <w:tcW w:w="133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pPr>
              <w:jc w:val="center"/>
              <w:rPr>
                <w:szCs w:val="21"/>
              </w:rPr>
            </w:pPr>
          </w:p>
        </w:tc>
        <w:tc>
          <w:tcPr>
            <w:tcW w:w="1127" w:type="dxa"/>
            <w:vAlign w:val="center"/>
          </w:tcPr>
          <w:p>
            <w:pPr>
              <w:jc w:val="center"/>
              <w:rPr>
                <w:szCs w:val="21"/>
              </w:rPr>
            </w:pPr>
          </w:p>
        </w:tc>
        <w:tc>
          <w:tcPr>
            <w:tcW w:w="1155" w:type="dxa"/>
            <w:vAlign w:val="center"/>
          </w:tcPr>
          <w:p>
            <w:pPr>
              <w:jc w:val="center"/>
              <w:rPr>
                <w:szCs w:val="21"/>
              </w:rPr>
            </w:pPr>
          </w:p>
        </w:tc>
        <w:tc>
          <w:tcPr>
            <w:tcW w:w="1169" w:type="dxa"/>
            <w:vAlign w:val="center"/>
          </w:tcPr>
          <w:p>
            <w:pPr>
              <w:jc w:val="center"/>
              <w:rPr>
                <w:szCs w:val="21"/>
              </w:rPr>
            </w:pPr>
          </w:p>
        </w:tc>
        <w:tc>
          <w:tcPr>
            <w:tcW w:w="1294" w:type="dxa"/>
            <w:vAlign w:val="center"/>
          </w:tcPr>
          <w:p>
            <w:pPr>
              <w:jc w:val="center"/>
              <w:rPr>
                <w:szCs w:val="21"/>
              </w:rPr>
            </w:pPr>
          </w:p>
        </w:tc>
        <w:tc>
          <w:tcPr>
            <w:tcW w:w="1001" w:type="dxa"/>
            <w:vAlign w:val="center"/>
          </w:tcPr>
          <w:p>
            <w:pPr>
              <w:jc w:val="center"/>
              <w:rPr>
                <w:szCs w:val="21"/>
              </w:rPr>
            </w:pPr>
          </w:p>
        </w:tc>
        <w:tc>
          <w:tcPr>
            <w:tcW w:w="807" w:type="dxa"/>
            <w:vAlign w:val="center"/>
          </w:tcPr>
          <w:p>
            <w:pPr>
              <w:jc w:val="center"/>
              <w:rPr>
                <w:szCs w:val="21"/>
              </w:rPr>
            </w:pPr>
          </w:p>
        </w:tc>
        <w:tc>
          <w:tcPr>
            <w:tcW w:w="133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pPr>
              <w:jc w:val="center"/>
              <w:rPr>
                <w:szCs w:val="21"/>
              </w:rPr>
            </w:pPr>
          </w:p>
        </w:tc>
        <w:tc>
          <w:tcPr>
            <w:tcW w:w="1127" w:type="dxa"/>
            <w:vAlign w:val="center"/>
          </w:tcPr>
          <w:p>
            <w:pPr>
              <w:jc w:val="center"/>
              <w:rPr>
                <w:szCs w:val="21"/>
              </w:rPr>
            </w:pPr>
          </w:p>
        </w:tc>
        <w:tc>
          <w:tcPr>
            <w:tcW w:w="1155" w:type="dxa"/>
            <w:vAlign w:val="center"/>
          </w:tcPr>
          <w:p>
            <w:pPr>
              <w:jc w:val="center"/>
              <w:rPr>
                <w:szCs w:val="21"/>
              </w:rPr>
            </w:pPr>
          </w:p>
        </w:tc>
        <w:tc>
          <w:tcPr>
            <w:tcW w:w="1169" w:type="dxa"/>
            <w:vAlign w:val="center"/>
          </w:tcPr>
          <w:p>
            <w:pPr>
              <w:jc w:val="center"/>
              <w:rPr>
                <w:szCs w:val="21"/>
              </w:rPr>
            </w:pPr>
          </w:p>
        </w:tc>
        <w:tc>
          <w:tcPr>
            <w:tcW w:w="1294" w:type="dxa"/>
            <w:vAlign w:val="center"/>
          </w:tcPr>
          <w:p>
            <w:pPr>
              <w:jc w:val="center"/>
              <w:rPr>
                <w:szCs w:val="21"/>
              </w:rPr>
            </w:pPr>
          </w:p>
        </w:tc>
        <w:tc>
          <w:tcPr>
            <w:tcW w:w="1001" w:type="dxa"/>
            <w:vAlign w:val="center"/>
          </w:tcPr>
          <w:p>
            <w:pPr>
              <w:jc w:val="center"/>
              <w:rPr>
                <w:szCs w:val="21"/>
              </w:rPr>
            </w:pPr>
          </w:p>
        </w:tc>
        <w:tc>
          <w:tcPr>
            <w:tcW w:w="807" w:type="dxa"/>
            <w:vAlign w:val="center"/>
          </w:tcPr>
          <w:p>
            <w:pPr>
              <w:jc w:val="center"/>
              <w:rPr>
                <w:szCs w:val="21"/>
              </w:rPr>
            </w:pPr>
          </w:p>
        </w:tc>
        <w:tc>
          <w:tcPr>
            <w:tcW w:w="133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pPr>
              <w:jc w:val="center"/>
              <w:rPr>
                <w:szCs w:val="21"/>
              </w:rPr>
            </w:pPr>
          </w:p>
        </w:tc>
        <w:tc>
          <w:tcPr>
            <w:tcW w:w="1127" w:type="dxa"/>
            <w:vAlign w:val="center"/>
          </w:tcPr>
          <w:p>
            <w:pPr>
              <w:jc w:val="center"/>
              <w:rPr>
                <w:szCs w:val="21"/>
              </w:rPr>
            </w:pPr>
          </w:p>
        </w:tc>
        <w:tc>
          <w:tcPr>
            <w:tcW w:w="1155" w:type="dxa"/>
            <w:vAlign w:val="center"/>
          </w:tcPr>
          <w:p>
            <w:pPr>
              <w:jc w:val="center"/>
              <w:rPr>
                <w:szCs w:val="21"/>
              </w:rPr>
            </w:pPr>
          </w:p>
        </w:tc>
        <w:tc>
          <w:tcPr>
            <w:tcW w:w="1169" w:type="dxa"/>
            <w:vAlign w:val="center"/>
          </w:tcPr>
          <w:p>
            <w:pPr>
              <w:jc w:val="center"/>
              <w:rPr>
                <w:szCs w:val="21"/>
              </w:rPr>
            </w:pPr>
          </w:p>
        </w:tc>
        <w:tc>
          <w:tcPr>
            <w:tcW w:w="1294" w:type="dxa"/>
            <w:vAlign w:val="center"/>
          </w:tcPr>
          <w:p>
            <w:pPr>
              <w:jc w:val="center"/>
              <w:rPr>
                <w:szCs w:val="21"/>
              </w:rPr>
            </w:pPr>
          </w:p>
        </w:tc>
        <w:tc>
          <w:tcPr>
            <w:tcW w:w="1001" w:type="dxa"/>
            <w:vAlign w:val="center"/>
          </w:tcPr>
          <w:p>
            <w:pPr>
              <w:jc w:val="center"/>
              <w:rPr>
                <w:szCs w:val="21"/>
              </w:rPr>
            </w:pPr>
          </w:p>
        </w:tc>
        <w:tc>
          <w:tcPr>
            <w:tcW w:w="807" w:type="dxa"/>
            <w:vAlign w:val="center"/>
          </w:tcPr>
          <w:p>
            <w:pPr>
              <w:jc w:val="center"/>
              <w:rPr>
                <w:szCs w:val="21"/>
              </w:rPr>
            </w:pPr>
          </w:p>
        </w:tc>
        <w:tc>
          <w:tcPr>
            <w:tcW w:w="133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pPr>
              <w:jc w:val="center"/>
              <w:rPr>
                <w:szCs w:val="21"/>
              </w:rPr>
            </w:pPr>
          </w:p>
        </w:tc>
        <w:tc>
          <w:tcPr>
            <w:tcW w:w="1127" w:type="dxa"/>
            <w:vAlign w:val="center"/>
          </w:tcPr>
          <w:p>
            <w:pPr>
              <w:jc w:val="center"/>
              <w:rPr>
                <w:szCs w:val="21"/>
              </w:rPr>
            </w:pPr>
          </w:p>
        </w:tc>
        <w:tc>
          <w:tcPr>
            <w:tcW w:w="1155" w:type="dxa"/>
            <w:vAlign w:val="center"/>
          </w:tcPr>
          <w:p>
            <w:pPr>
              <w:jc w:val="center"/>
              <w:rPr>
                <w:szCs w:val="21"/>
              </w:rPr>
            </w:pPr>
          </w:p>
        </w:tc>
        <w:tc>
          <w:tcPr>
            <w:tcW w:w="1169" w:type="dxa"/>
            <w:vAlign w:val="center"/>
          </w:tcPr>
          <w:p>
            <w:pPr>
              <w:jc w:val="center"/>
              <w:rPr>
                <w:szCs w:val="21"/>
              </w:rPr>
            </w:pPr>
          </w:p>
        </w:tc>
        <w:tc>
          <w:tcPr>
            <w:tcW w:w="1294" w:type="dxa"/>
            <w:vAlign w:val="center"/>
          </w:tcPr>
          <w:p>
            <w:pPr>
              <w:jc w:val="center"/>
              <w:rPr>
                <w:szCs w:val="21"/>
              </w:rPr>
            </w:pPr>
          </w:p>
        </w:tc>
        <w:tc>
          <w:tcPr>
            <w:tcW w:w="1001" w:type="dxa"/>
            <w:vAlign w:val="center"/>
          </w:tcPr>
          <w:p>
            <w:pPr>
              <w:jc w:val="center"/>
              <w:rPr>
                <w:szCs w:val="21"/>
              </w:rPr>
            </w:pPr>
          </w:p>
        </w:tc>
        <w:tc>
          <w:tcPr>
            <w:tcW w:w="807" w:type="dxa"/>
            <w:vAlign w:val="center"/>
          </w:tcPr>
          <w:p>
            <w:pPr>
              <w:jc w:val="center"/>
              <w:rPr>
                <w:szCs w:val="21"/>
              </w:rPr>
            </w:pPr>
          </w:p>
        </w:tc>
        <w:tc>
          <w:tcPr>
            <w:tcW w:w="133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pPr>
              <w:jc w:val="center"/>
              <w:rPr>
                <w:szCs w:val="21"/>
              </w:rPr>
            </w:pPr>
          </w:p>
        </w:tc>
        <w:tc>
          <w:tcPr>
            <w:tcW w:w="1127" w:type="dxa"/>
            <w:vAlign w:val="center"/>
          </w:tcPr>
          <w:p>
            <w:pPr>
              <w:jc w:val="center"/>
              <w:rPr>
                <w:szCs w:val="21"/>
              </w:rPr>
            </w:pPr>
          </w:p>
        </w:tc>
        <w:tc>
          <w:tcPr>
            <w:tcW w:w="1155" w:type="dxa"/>
            <w:vAlign w:val="center"/>
          </w:tcPr>
          <w:p>
            <w:pPr>
              <w:jc w:val="center"/>
              <w:rPr>
                <w:szCs w:val="21"/>
              </w:rPr>
            </w:pPr>
          </w:p>
        </w:tc>
        <w:tc>
          <w:tcPr>
            <w:tcW w:w="1169" w:type="dxa"/>
            <w:vAlign w:val="center"/>
          </w:tcPr>
          <w:p>
            <w:pPr>
              <w:jc w:val="center"/>
              <w:rPr>
                <w:szCs w:val="21"/>
              </w:rPr>
            </w:pPr>
          </w:p>
        </w:tc>
        <w:tc>
          <w:tcPr>
            <w:tcW w:w="1294" w:type="dxa"/>
            <w:vAlign w:val="center"/>
          </w:tcPr>
          <w:p>
            <w:pPr>
              <w:jc w:val="center"/>
              <w:rPr>
                <w:szCs w:val="21"/>
              </w:rPr>
            </w:pPr>
          </w:p>
        </w:tc>
        <w:tc>
          <w:tcPr>
            <w:tcW w:w="1001" w:type="dxa"/>
            <w:vAlign w:val="center"/>
          </w:tcPr>
          <w:p>
            <w:pPr>
              <w:jc w:val="center"/>
              <w:rPr>
                <w:szCs w:val="21"/>
              </w:rPr>
            </w:pPr>
          </w:p>
        </w:tc>
        <w:tc>
          <w:tcPr>
            <w:tcW w:w="807" w:type="dxa"/>
            <w:vAlign w:val="center"/>
          </w:tcPr>
          <w:p>
            <w:pPr>
              <w:jc w:val="center"/>
              <w:rPr>
                <w:szCs w:val="21"/>
              </w:rPr>
            </w:pPr>
          </w:p>
        </w:tc>
        <w:tc>
          <w:tcPr>
            <w:tcW w:w="133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584" w:type="dxa"/>
            <w:vAlign w:val="center"/>
          </w:tcPr>
          <w:p>
            <w:pPr>
              <w:jc w:val="center"/>
              <w:rPr>
                <w:szCs w:val="21"/>
              </w:rPr>
            </w:pPr>
          </w:p>
        </w:tc>
        <w:tc>
          <w:tcPr>
            <w:tcW w:w="1127" w:type="dxa"/>
            <w:vAlign w:val="center"/>
          </w:tcPr>
          <w:p>
            <w:pPr>
              <w:jc w:val="center"/>
              <w:rPr>
                <w:szCs w:val="21"/>
              </w:rPr>
            </w:pPr>
          </w:p>
        </w:tc>
        <w:tc>
          <w:tcPr>
            <w:tcW w:w="1155" w:type="dxa"/>
            <w:vAlign w:val="center"/>
          </w:tcPr>
          <w:p>
            <w:pPr>
              <w:jc w:val="center"/>
              <w:rPr>
                <w:szCs w:val="21"/>
              </w:rPr>
            </w:pPr>
          </w:p>
        </w:tc>
        <w:tc>
          <w:tcPr>
            <w:tcW w:w="1169" w:type="dxa"/>
            <w:vAlign w:val="center"/>
          </w:tcPr>
          <w:p>
            <w:pPr>
              <w:jc w:val="center"/>
              <w:rPr>
                <w:szCs w:val="21"/>
              </w:rPr>
            </w:pPr>
          </w:p>
        </w:tc>
        <w:tc>
          <w:tcPr>
            <w:tcW w:w="1294" w:type="dxa"/>
            <w:vAlign w:val="center"/>
          </w:tcPr>
          <w:p>
            <w:pPr>
              <w:jc w:val="center"/>
              <w:rPr>
                <w:szCs w:val="21"/>
              </w:rPr>
            </w:pPr>
          </w:p>
        </w:tc>
        <w:tc>
          <w:tcPr>
            <w:tcW w:w="1001" w:type="dxa"/>
            <w:vAlign w:val="center"/>
          </w:tcPr>
          <w:p>
            <w:pPr>
              <w:jc w:val="center"/>
              <w:rPr>
                <w:szCs w:val="21"/>
              </w:rPr>
            </w:pPr>
          </w:p>
        </w:tc>
        <w:tc>
          <w:tcPr>
            <w:tcW w:w="807" w:type="dxa"/>
            <w:vAlign w:val="center"/>
          </w:tcPr>
          <w:p>
            <w:pPr>
              <w:jc w:val="center"/>
              <w:rPr>
                <w:szCs w:val="21"/>
              </w:rPr>
            </w:pPr>
          </w:p>
        </w:tc>
        <w:tc>
          <w:tcPr>
            <w:tcW w:w="1336"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329" w:type="dxa"/>
            <w:gridSpan w:val="6"/>
            <w:vAlign w:val="center"/>
          </w:tcPr>
          <w:p>
            <w:pPr>
              <w:jc w:val="center"/>
              <w:rPr>
                <w:szCs w:val="21"/>
              </w:rPr>
            </w:pPr>
            <w:r>
              <w:rPr>
                <w:rFonts w:hint="eastAsia"/>
                <w:szCs w:val="21"/>
              </w:rPr>
              <w:t>H值（代数值）</w:t>
            </w:r>
          </w:p>
        </w:tc>
        <w:tc>
          <w:tcPr>
            <w:tcW w:w="807" w:type="dxa"/>
            <w:vAlign w:val="center"/>
          </w:tcPr>
          <w:p>
            <w:pPr>
              <w:jc w:val="center"/>
              <w:rPr>
                <w:szCs w:val="21"/>
              </w:rPr>
            </w:pPr>
          </w:p>
        </w:tc>
        <w:tc>
          <w:tcPr>
            <w:tcW w:w="1336" w:type="dxa"/>
            <w:vAlign w:val="center"/>
          </w:tcPr>
          <w:p>
            <w:pPr>
              <w:jc w:val="center"/>
              <w:rPr>
                <w:szCs w:val="21"/>
              </w:rPr>
            </w:pPr>
          </w:p>
        </w:tc>
      </w:tr>
    </w:tbl>
    <w:p>
      <w:pPr>
        <w:spacing w:beforeLines="200"/>
        <w:rPr>
          <w:b/>
          <w:szCs w:val="21"/>
        </w:rPr>
      </w:pPr>
      <w:r>
        <w:rPr>
          <w:rFonts w:hint="eastAsia"/>
          <w:szCs w:val="21"/>
        </w:rPr>
        <w:t>评标委员会成员签名：                                 日期:     年     月     日</w:t>
      </w:r>
    </w:p>
    <w:p>
      <w:pPr>
        <w:rPr>
          <w:rFonts w:ascii="黑体" w:eastAsia="黑体"/>
          <w:szCs w:val="21"/>
        </w:rPr>
      </w:pPr>
    </w:p>
    <w:p>
      <w:pPr>
        <w:rPr>
          <w:rFonts w:ascii="黑体" w:eastAsia="黑体"/>
          <w:szCs w:val="21"/>
        </w:rPr>
      </w:pPr>
    </w:p>
    <w:p>
      <w:pPr>
        <w:rPr>
          <w:rFonts w:ascii="黑体" w:eastAsia="黑体"/>
          <w:szCs w:val="21"/>
        </w:rPr>
      </w:pPr>
    </w:p>
    <w:p>
      <w:pPr>
        <w:rPr>
          <w:rFonts w:ascii="黑体" w:eastAsia="黑体"/>
          <w:szCs w:val="21"/>
        </w:rPr>
      </w:pPr>
      <w:r>
        <w:rPr>
          <w:rFonts w:hint="eastAsia" w:ascii="黑体" w:eastAsia="黑体"/>
          <w:szCs w:val="21"/>
        </w:rPr>
        <w:t>附表D-7：投标报价之修正差额汇总表</w:t>
      </w:r>
    </w:p>
    <w:p>
      <w:pPr>
        <w:spacing w:beforeLines="50" w:afterLines="50"/>
        <w:jc w:val="center"/>
        <w:rPr>
          <w:rFonts w:ascii="黑体" w:eastAsia="黑体"/>
          <w:sz w:val="32"/>
          <w:szCs w:val="32"/>
        </w:rPr>
      </w:pPr>
      <w:r>
        <w:rPr>
          <w:rFonts w:hint="eastAsia" w:ascii="黑体" w:eastAsia="黑体"/>
          <w:sz w:val="32"/>
          <w:szCs w:val="32"/>
        </w:rPr>
        <w:t>投标报价之修正差额汇总表</w:t>
      </w:r>
    </w:p>
    <w:p>
      <w:pPr>
        <w:rPr>
          <w:szCs w:val="21"/>
        </w:rPr>
      </w:pPr>
      <w:r>
        <w:rPr>
          <w:rFonts w:hint="eastAsia"/>
          <w:szCs w:val="21"/>
        </w:rPr>
        <w:t>投标人名称：</w:t>
      </w: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1437"/>
        <w:gridCol w:w="1257"/>
        <w:gridCol w:w="1976"/>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98" w:type="dxa"/>
            <w:vMerge w:val="restart"/>
            <w:vAlign w:val="center"/>
          </w:tcPr>
          <w:p>
            <w:pPr>
              <w:jc w:val="center"/>
              <w:rPr>
                <w:szCs w:val="21"/>
              </w:rPr>
            </w:pPr>
            <w:r>
              <w:rPr>
                <w:rFonts w:hint="eastAsia"/>
                <w:szCs w:val="21"/>
              </w:rPr>
              <w:t>序号</w:t>
            </w:r>
          </w:p>
        </w:tc>
        <w:tc>
          <w:tcPr>
            <w:tcW w:w="1437" w:type="dxa"/>
            <w:vMerge w:val="restart"/>
            <w:vAlign w:val="center"/>
          </w:tcPr>
          <w:p>
            <w:pPr>
              <w:jc w:val="center"/>
              <w:rPr>
                <w:szCs w:val="21"/>
              </w:rPr>
            </w:pPr>
            <w:r>
              <w:rPr>
                <w:rFonts w:hint="eastAsia"/>
                <w:szCs w:val="21"/>
              </w:rPr>
              <w:t>差值代号</w:t>
            </w:r>
          </w:p>
        </w:tc>
        <w:tc>
          <w:tcPr>
            <w:tcW w:w="3233" w:type="dxa"/>
            <w:gridSpan w:val="2"/>
            <w:vAlign w:val="center"/>
          </w:tcPr>
          <w:p>
            <w:pPr>
              <w:jc w:val="center"/>
              <w:rPr>
                <w:szCs w:val="21"/>
              </w:rPr>
            </w:pPr>
            <w:r>
              <w:rPr>
                <w:rFonts w:hint="eastAsia"/>
                <w:szCs w:val="21"/>
              </w:rPr>
              <w:t>差额代数值</w:t>
            </w:r>
          </w:p>
        </w:tc>
        <w:tc>
          <w:tcPr>
            <w:tcW w:w="2910" w:type="dxa"/>
            <w:vMerge w:val="restart"/>
            <w:vAlign w:val="center"/>
          </w:tcPr>
          <w:p>
            <w:pPr>
              <w:jc w:val="center"/>
              <w:rPr>
                <w:szCs w:val="21"/>
              </w:rPr>
            </w:pPr>
            <w:r>
              <w:rPr>
                <w:rFonts w:hint="eastAsia"/>
                <w:szCs w:val="21"/>
              </w:rPr>
              <w:t>修正理由及有关事项说明</w:t>
            </w:r>
          </w:p>
        </w:tc>
      </w:tr>
      <w:tr>
        <w:tblPrEx>
          <w:tblCellMar>
            <w:top w:w="0" w:type="dxa"/>
            <w:left w:w="108" w:type="dxa"/>
            <w:bottom w:w="0" w:type="dxa"/>
            <w:right w:w="108" w:type="dxa"/>
          </w:tblCellMar>
        </w:tblPrEx>
        <w:trPr>
          <w:trHeight w:val="589" w:hRule="atLeast"/>
        </w:trPr>
        <w:tc>
          <w:tcPr>
            <w:tcW w:w="898" w:type="dxa"/>
            <w:vMerge w:val="continue"/>
            <w:vAlign w:val="center"/>
          </w:tcPr>
          <w:p>
            <w:pPr>
              <w:jc w:val="center"/>
              <w:rPr>
                <w:szCs w:val="21"/>
              </w:rPr>
            </w:pPr>
          </w:p>
        </w:tc>
        <w:tc>
          <w:tcPr>
            <w:tcW w:w="1437" w:type="dxa"/>
            <w:vMerge w:val="continue"/>
            <w:vAlign w:val="center"/>
          </w:tcPr>
          <w:p>
            <w:pPr>
              <w:jc w:val="center"/>
              <w:rPr>
                <w:szCs w:val="21"/>
              </w:rPr>
            </w:pPr>
          </w:p>
        </w:tc>
        <w:tc>
          <w:tcPr>
            <w:tcW w:w="1257" w:type="dxa"/>
            <w:vAlign w:val="center"/>
          </w:tcPr>
          <w:p>
            <w:pPr>
              <w:jc w:val="center"/>
              <w:rPr>
                <w:szCs w:val="21"/>
              </w:rPr>
            </w:pPr>
            <w:r>
              <w:rPr>
                <w:rFonts w:hint="eastAsia"/>
                <w:szCs w:val="21"/>
              </w:rPr>
              <w:t>评审后</w:t>
            </w:r>
          </w:p>
        </w:tc>
        <w:tc>
          <w:tcPr>
            <w:tcW w:w="1976" w:type="dxa"/>
            <w:vAlign w:val="center"/>
          </w:tcPr>
          <w:p>
            <w:pPr>
              <w:jc w:val="center"/>
              <w:rPr>
                <w:szCs w:val="21"/>
              </w:rPr>
            </w:pPr>
            <w:r>
              <w:rPr>
                <w:rFonts w:hint="eastAsia"/>
                <w:szCs w:val="21"/>
              </w:rPr>
              <w:t>澄清后修正</w:t>
            </w:r>
          </w:p>
        </w:tc>
        <w:tc>
          <w:tcPr>
            <w:tcW w:w="2910"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98" w:type="dxa"/>
            <w:vAlign w:val="center"/>
          </w:tcPr>
          <w:p>
            <w:pPr>
              <w:jc w:val="center"/>
              <w:rPr>
                <w:rFonts w:ascii="黑体" w:eastAsia="黑体"/>
                <w:szCs w:val="21"/>
              </w:rPr>
            </w:pPr>
            <w:r>
              <w:rPr>
                <w:rFonts w:hint="eastAsia" w:ascii="黑体" w:eastAsia="黑体"/>
                <w:szCs w:val="21"/>
              </w:rPr>
              <w:t>1</w:t>
            </w:r>
          </w:p>
        </w:tc>
        <w:tc>
          <w:tcPr>
            <w:tcW w:w="1437" w:type="dxa"/>
            <w:vAlign w:val="center"/>
          </w:tcPr>
          <w:p>
            <w:pPr>
              <w:jc w:val="center"/>
              <w:rPr>
                <w:rFonts w:ascii="黑体" w:eastAsia="黑体"/>
                <w:szCs w:val="21"/>
              </w:rPr>
            </w:pPr>
            <w:r>
              <w:rPr>
                <w:rFonts w:hint="eastAsia" w:ascii="黑体" w:eastAsia="黑体"/>
                <w:szCs w:val="21"/>
              </w:rPr>
              <w:t>A</w:t>
            </w:r>
          </w:p>
        </w:tc>
        <w:tc>
          <w:tcPr>
            <w:tcW w:w="1257" w:type="dxa"/>
            <w:vAlign w:val="center"/>
          </w:tcPr>
          <w:p>
            <w:pPr>
              <w:jc w:val="center"/>
              <w:rPr>
                <w:szCs w:val="21"/>
              </w:rPr>
            </w:pPr>
          </w:p>
        </w:tc>
        <w:tc>
          <w:tcPr>
            <w:tcW w:w="1976" w:type="dxa"/>
            <w:vAlign w:val="center"/>
          </w:tcPr>
          <w:p>
            <w:pPr>
              <w:jc w:val="center"/>
              <w:rPr>
                <w:szCs w:val="21"/>
              </w:rPr>
            </w:pPr>
          </w:p>
        </w:tc>
        <w:tc>
          <w:tcPr>
            <w:tcW w:w="291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98" w:type="dxa"/>
            <w:vAlign w:val="center"/>
          </w:tcPr>
          <w:p>
            <w:pPr>
              <w:jc w:val="center"/>
              <w:rPr>
                <w:rFonts w:ascii="黑体" w:eastAsia="黑体"/>
                <w:szCs w:val="21"/>
              </w:rPr>
            </w:pPr>
            <w:r>
              <w:rPr>
                <w:rFonts w:hint="eastAsia" w:ascii="黑体" w:eastAsia="黑体"/>
                <w:szCs w:val="21"/>
              </w:rPr>
              <w:t>2</w:t>
            </w:r>
          </w:p>
        </w:tc>
        <w:tc>
          <w:tcPr>
            <w:tcW w:w="1437" w:type="dxa"/>
            <w:vAlign w:val="center"/>
          </w:tcPr>
          <w:p>
            <w:pPr>
              <w:jc w:val="center"/>
              <w:rPr>
                <w:rFonts w:ascii="黑体" w:eastAsia="黑体"/>
                <w:szCs w:val="21"/>
              </w:rPr>
            </w:pPr>
            <w:r>
              <w:rPr>
                <w:rFonts w:hint="eastAsia" w:ascii="黑体" w:eastAsia="黑体"/>
                <w:szCs w:val="21"/>
              </w:rPr>
              <w:t>B</w:t>
            </w:r>
          </w:p>
        </w:tc>
        <w:tc>
          <w:tcPr>
            <w:tcW w:w="1257" w:type="dxa"/>
            <w:vAlign w:val="center"/>
          </w:tcPr>
          <w:p>
            <w:pPr>
              <w:jc w:val="center"/>
              <w:rPr>
                <w:szCs w:val="21"/>
              </w:rPr>
            </w:pPr>
          </w:p>
        </w:tc>
        <w:tc>
          <w:tcPr>
            <w:tcW w:w="1976" w:type="dxa"/>
            <w:vAlign w:val="center"/>
          </w:tcPr>
          <w:p>
            <w:pPr>
              <w:jc w:val="center"/>
              <w:rPr>
                <w:szCs w:val="21"/>
              </w:rPr>
            </w:pPr>
          </w:p>
        </w:tc>
        <w:tc>
          <w:tcPr>
            <w:tcW w:w="2910" w:type="dxa"/>
            <w:vAlign w:val="center"/>
          </w:tcPr>
          <w:p>
            <w:pPr>
              <w:jc w:val="center"/>
              <w:rPr>
                <w:szCs w:val="21"/>
              </w:rPr>
            </w:pPr>
          </w:p>
        </w:tc>
      </w:tr>
      <w:tr>
        <w:tblPrEx>
          <w:tblCellMar>
            <w:top w:w="0" w:type="dxa"/>
            <w:left w:w="108" w:type="dxa"/>
            <w:bottom w:w="0" w:type="dxa"/>
            <w:right w:w="108" w:type="dxa"/>
          </w:tblCellMar>
        </w:tblPrEx>
        <w:trPr>
          <w:trHeight w:val="968" w:hRule="atLeast"/>
        </w:trPr>
        <w:tc>
          <w:tcPr>
            <w:tcW w:w="898" w:type="dxa"/>
            <w:vAlign w:val="center"/>
          </w:tcPr>
          <w:p>
            <w:pPr>
              <w:jc w:val="center"/>
              <w:rPr>
                <w:rFonts w:ascii="黑体" w:eastAsia="黑体"/>
                <w:szCs w:val="21"/>
              </w:rPr>
            </w:pPr>
            <w:r>
              <w:rPr>
                <w:rFonts w:hint="eastAsia" w:ascii="黑体" w:eastAsia="黑体"/>
                <w:szCs w:val="21"/>
              </w:rPr>
              <w:t>3</w:t>
            </w:r>
          </w:p>
        </w:tc>
        <w:tc>
          <w:tcPr>
            <w:tcW w:w="1437" w:type="dxa"/>
            <w:vAlign w:val="center"/>
          </w:tcPr>
          <w:p>
            <w:pPr>
              <w:jc w:val="center"/>
              <w:rPr>
                <w:rFonts w:ascii="黑体" w:eastAsia="黑体"/>
                <w:szCs w:val="21"/>
              </w:rPr>
            </w:pPr>
            <w:r>
              <w:rPr>
                <w:rFonts w:hint="eastAsia" w:ascii="黑体" w:eastAsia="黑体"/>
                <w:szCs w:val="21"/>
              </w:rPr>
              <w:t>C</w:t>
            </w:r>
          </w:p>
        </w:tc>
        <w:tc>
          <w:tcPr>
            <w:tcW w:w="1257" w:type="dxa"/>
            <w:vAlign w:val="center"/>
          </w:tcPr>
          <w:p>
            <w:pPr>
              <w:jc w:val="center"/>
              <w:rPr>
                <w:szCs w:val="21"/>
              </w:rPr>
            </w:pPr>
          </w:p>
        </w:tc>
        <w:tc>
          <w:tcPr>
            <w:tcW w:w="1976" w:type="dxa"/>
            <w:vAlign w:val="center"/>
          </w:tcPr>
          <w:p>
            <w:pPr>
              <w:jc w:val="center"/>
              <w:rPr>
                <w:szCs w:val="21"/>
              </w:rPr>
            </w:pPr>
          </w:p>
        </w:tc>
        <w:tc>
          <w:tcPr>
            <w:tcW w:w="291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98" w:type="dxa"/>
            <w:vAlign w:val="center"/>
          </w:tcPr>
          <w:p>
            <w:pPr>
              <w:jc w:val="center"/>
              <w:rPr>
                <w:rFonts w:ascii="黑体" w:eastAsia="黑体"/>
                <w:szCs w:val="21"/>
              </w:rPr>
            </w:pPr>
            <w:r>
              <w:rPr>
                <w:rFonts w:hint="eastAsia" w:ascii="黑体" w:eastAsia="黑体"/>
                <w:szCs w:val="21"/>
              </w:rPr>
              <w:t>4</w:t>
            </w:r>
          </w:p>
        </w:tc>
        <w:tc>
          <w:tcPr>
            <w:tcW w:w="1437" w:type="dxa"/>
            <w:vAlign w:val="center"/>
          </w:tcPr>
          <w:p>
            <w:pPr>
              <w:jc w:val="center"/>
              <w:rPr>
                <w:rFonts w:ascii="黑体" w:eastAsia="黑体"/>
                <w:szCs w:val="21"/>
              </w:rPr>
            </w:pPr>
            <w:r>
              <w:rPr>
                <w:rFonts w:hint="eastAsia" w:ascii="黑体" w:eastAsia="黑体"/>
                <w:szCs w:val="21"/>
              </w:rPr>
              <w:t>D</w:t>
            </w:r>
          </w:p>
        </w:tc>
        <w:tc>
          <w:tcPr>
            <w:tcW w:w="1257" w:type="dxa"/>
            <w:vAlign w:val="center"/>
          </w:tcPr>
          <w:p>
            <w:pPr>
              <w:jc w:val="center"/>
              <w:rPr>
                <w:szCs w:val="21"/>
              </w:rPr>
            </w:pPr>
          </w:p>
        </w:tc>
        <w:tc>
          <w:tcPr>
            <w:tcW w:w="1976" w:type="dxa"/>
            <w:vAlign w:val="center"/>
          </w:tcPr>
          <w:p>
            <w:pPr>
              <w:jc w:val="center"/>
              <w:rPr>
                <w:szCs w:val="21"/>
              </w:rPr>
            </w:pPr>
          </w:p>
        </w:tc>
        <w:tc>
          <w:tcPr>
            <w:tcW w:w="291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98" w:type="dxa"/>
            <w:vAlign w:val="center"/>
          </w:tcPr>
          <w:p>
            <w:pPr>
              <w:jc w:val="center"/>
              <w:rPr>
                <w:rFonts w:ascii="黑体" w:eastAsia="黑体"/>
                <w:szCs w:val="21"/>
              </w:rPr>
            </w:pPr>
            <w:r>
              <w:rPr>
                <w:rFonts w:hint="eastAsia" w:ascii="黑体" w:eastAsia="黑体"/>
                <w:szCs w:val="21"/>
              </w:rPr>
              <w:t>5</w:t>
            </w:r>
          </w:p>
        </w:tc>
        <w:tc>
          <w:tcPr>
            <w:tcW w:w="1437" w:type="dxa"/>
            <w:vAlign w:val="center"/>
          </w:tcPr>
          <w:p>
            <w:pPr>
              <w:jc w:val="center"/>
              <w:rPr>
                <w:rFonts w:ascii="黑体" w:eastAsia="黑体"/>
                <w:szCs w:val="21"/>
              </w:rPr>
            </w:pPr>
            <w:r>
              <w:rPr>
                <w:rFonts w:hint="eastAsia" w:ascii="黑体" w:eastAsia="黑体"/>
                <w:szCs w:val="21"/>
              </w:rPr>
              <w:t>E</w:t>
            </w:r>
          </w:p>
        </w:tc>
        <w:tc>
          <w:tcPr>
            <w:tcW w:w="1257" w:type="dxa"/>
            <w:vAlign w:val="center"/>
          </w:tcPr>
          <w:p>
            <w:pPr>
              <w:jc w:val="center"/>
              <w:rPr>
                <w:szCs w:val="21"/>
              </w:rPr>
            </w:pPr>
          </w:p>
        </w:tc>
        <w:tc>
          <w:tcPr>
            <w:tcW w:w="1976" w:type="dxa"/>
            <w:vAlign w:val="center"/>
          </w:tcPr>
          <w:p>
            <w:pPr>
              <w:jc w:val="center"/>
              <w:rPr>
                <w:szCs w:val="21"/>
              </w:rPr>
            </w:pPr>
          </w:p>
        </w:tc>
        <w:tc>
          <w:tcPr>
            <w:tcW w:w="291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98" w:type="dxa"/>
            <w:vAlign w:val="center"/>
          </w:tcPr>
          <w:p>
            <w:pPr>
              <w:jc w:val="center"/>
              <w:rPr>
                <w:rFonts w:ascii="黑体" w:eastAsia="黑体"/>
                <w:szCs w:val="21"/>
              </w:rPr>
            </w:pPr>
            <w:r>
              <w:rPr>
                <w:rFonts w:hint="eastAsia" w:ascii="黑体" w:eastAsia="黑体"/>
                <w:szCs w:val="21"/>
              </w:rPr>
              <w:t>6</w:t>
            </w:r>
          </w:p>
        </w:tc>
        <w:tc>
          <w:tcPr>
            <w:tcW w:w="1437" w:type="dxa"/>
            <w:vAlign w:val="center"/>
          </w:tcPr>
          <w:p>
            <w:pPr>
              <w:jc w:val="center"/>
              <w:rPr>
                <w:rFonts w:ascii="黑体" w:eastAsia="黑体"/>
                <w:szCs w:val="21"/>
              </w:rPr>
            </w:pPr>
            <w:r>
              <w:rPr>
                <w:rFonts w:hint="eastAsia" w:ascii="黑体" w:eastAsia="黑体"/>
                <w:szCs w:val="21"/>
              </w:rPr>
              <w:t>F</w:t>
            </w:r>
          </w:p>
        </w:tc>
        <w:tc>
          <w:tcPr>
            <w:tcW w:w="1257" w:type="dxa"/>
            <w:vAlign w:val="center"/>
          </w:tcPr>
          <w:p>
            <w:pPr>
              <w:jc w:val="center"/>
              <w:rPr>
                <w:szCs w:val="21"/>
              </w:rPr>
            </w:pPr>
          </w:p>
        </w:tc>
        <w:tc>
          <w:tcPr>
            <w:tcW w:w="1976" w:type="dxa"/>
            <w:vAlign w:val="center"/>
          </w:tcPr>
          <w:p>
            <w:pPr>
              <w:jc w:val="center"/>
              <w:rPr>
                <w:szCs w:val="21"/>
              </w:rPr>
            </w:pPr>
          </w:p>
        </w:tc>
        <w:tc>
          <w:tcPr>
            <w:tcW w:w="291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898" w:type="dxa"/>
            <w:vAlign w:val="center"/>
          </w:tcPr>
          <w:p>
            <w:pPr>
              <w:jc w:val="center"/>
              <w:rPr>
                <w:rFonts w:ascii="黑体" w:eastAsia="黑体"/>
                <w:szCs w:val="21"/>
              </w:rPr>
            </w:pPr>
            <w:r>
              <w:rPr>
                <w:rFonts w:hint="eastAsia" w:ascii="黑体" w:eastAsia="黑体"/>
                <w:szCs w:val="21"/>
              </w:rPr>
              <w:t>7</w:t>
            </w:r>
          </w:p>
        </w:tc>
        <w:tc>
          <w:tcPr>
            <w:tcW w:w="1437" w:type="dxa"/>
            <w:vAlign w:val="center"/>
          </w:tcPr>
          <w:p>
            <w:pPr>
              <w:jc w:val="center"/>
              <w:rPr>
                <w:rFonts w:ascii="黑体" w:eastAsia="黑体"/>
                <w:szCs w:val="21"/>
              </w:rPr>
            </w:pPr>
            <w:r>
              <w:rPr>
                <w:rFonts w:hint="eastAsia" w:ascii="黑体" w:eastAsia="黑体"/>
                <w:szCs w:val="21"/>
              </w:rPr>
              <w:t>G</w:t>
            </w:r>
          </w:p>
        </w:tc>
        <w:tc>
          <w:tcPr>
            <w:tcW w:w="1257" w:type="dxa"/>
            <w:vAlign w:val="center"/>
          </w:tcPr>
          <w:p>
            <w:pPr>
              <w:jc w:val="center"/>
              <w:rPr>
                <w:szCs w:val="21"/>
              </w:rPr>
            </w:pPr>
          </w:p>
        </w:tc>
        <w:tc>
          <w:tcPr>
            <w:tcW w:w="1976" w:type="dxa"/>
            <w:vAlign w:val="center"/>
          </w:tcPr>
          <w:p>
            <w:pPr>
              <w:jc w:val="center"/>
              <w:rPr>
                <w:szCs w:val="21"/>
              </w:rPr>
            </w:pPr>
          </w:p>
        </w:tc>
        <w:tc>
          <w:tcPr>
            <w:tcW w:w="291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98" w:type="dxa"/>
            <w:vAlign w:val="center"/>
          </w:tcPr>
          <w:p>
            <w:pPr>
              <w:jc w:val="center"/>
              <w:rPr>
                <w:rFonts w:ascii="黑体" w:eastAsia="黑体"/>
                <w:szCs w:val="21"/>
              </w:rPr>
            </w:pPr>
            <w:r>
              <w:rPr>
                <w:rFonts w:hint="eastAsia" w:ascii="黑体" w:eastAsia="黑体"/>
                <w:szCs w:val="21"/>
              </w:rPr>
              <w:t>8</w:t>
            </w:r>
          </w:p>
        </w:tc>
        <w:tc>
          <w:tcPr>
            <w:tcW w:w="1437" w:type="dxa"/>
            <w:vAlign w:val="center"/>
          </w:tcPr>
          <w:p>
            <w:pPr>
              <w:jc w:val="center"/>
              <w:rPr>
                <w:rFonts w:ascii="黑体" w:eastAsia="黑体"/>
                <w:szCs w:val="21"/>
              </w:rPr>
            </w:pPr>
            <w:r>
              <w:rPr>
                <w:rFonts w:hint="eastAsia" w:ascii="黑体" w:eastAsia="黑体"/>
                <w:szCs w:val="21"/>
              </w:rPr>
              <w:t>H</w:t>
            </w:r>
          </w:p>
        </w:tc>
        <w:tc>
          <w:tcPr>
            <w:tcW w:w="1257" w:type="dxa"/>
            <w:vAlign w:val="center"/>
          </w:tcPr>
          <w:p>
            <w:pPr>
              <w:jc w:val="center"/>
              <w:rPr>
                <w:szCs w:val="21"/>
              </w:rPr>
            </w:pPr>
          </w:p>
        </w:tc>
        <w:tc>
          <w:tcPr>
            <w:tcW w:w="1976" w:type="dxa"/>
            <w:vAlign w:val="center"/>
          </w:tcPr>
          <w:p>
            <w:pPr>
              <w:jc w:val="center"/>
              <w:rPr>
                <w:szCs w:val="21"/>
              </w:rPr>
            </w:pPr>
          </w:p>
        </w:tc>
        <w:tc>
          <w:tcPr>
            <w:tcW w:w="291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2335" w:type="dxa"/>
            <w:gridSpan w:val="2"/>
            <w:vAlign w:val="center"/>
          </w:tcPr>
          <w:p>
            <w:pPr>
              <w:jc w:val="center"/>
              <w:rPr>
                <w:szCs w:val="21"/>
              </w:rPr>
            </w:pPr>
            <w:r>
              <w:rPr>
                <w:rFonts w:hint="eastAsia"/>
                <w:szCs w:val="21"/>
              </w:rPr>
              <w:t>合计</w:t>
            </w:r>
          </w:p>
        </w:tc>
        <w:tc>
          <w:tcPr>
            <w:tcW w:w="1257" w:type="dxa"/>
            <w:vAlign w:val="center"/>
          </w:tcPr>
          <w:p>
            <w:pPr>
              <w:rPr>
                <w:szCs w:val="21"/>
              </w:rPr>
            </w:pPr>
            <w:r>
              <w:rPr>
                <w:rFonts w:hint="eastAsia"/>
                <w:szCs w:val="21"/>
              </w:rPr>
              <w:t>Δ1：</w:t>
            </w:r>
          </w:p>
        </w:tc>
        <w:tc>
          <w:tcPr>
            <w:tcW w:w="1976" w:type="dxa"/>
            <w:vAlign w:val="center"/>
          </w:tcPr>
          <w:p>
            <w:pPr>
              <w:rPr>
                <w:szCs w:val="21"/>
              </w:rPr>
            </w:pPr>
            <w:r>
              <w:rPr>
                <w:rFonts w:hint="eastAsia"/>
                <w:szCs w:val="21"/>
              </w:rPr>
              <w:t>Δ2：</w:t>
            </w:r>
          </w:p>
        </w:tc>
        <w:tc>
          <w:tcPr>
            <w:tcW w:w="2910"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8" w:type="dxa"/>
            <w:vAlign w:val="center"/>
          </w:tcPr>
          <w:p>
            <w:pPr>
              <w:jc w:val="center"/>
              <w:rPr>
                <w:szCs w:val="21"/>
              </w:rPr>
            </w:pPr>
            <w:r>
              <w:rPr>
                <w:rFonts w:hint="eastAsia"/>
                <w:szCs w:val="21"/>
              </w:rPr>
              <w:t>备注</w:t>
            </w:r>
          </w:p>
        </w:tc>
        <w:tc>
          <w:tcPr>
            <w:tcW w:w="7580" w:type="dxa"/>
            <w:gridSpan w:val="4"/>
            <w:vAlign w:val="center"/>
          </w:tcPr>
          <w:p>
            <w:pPr>
              <w:rPr>
                <w:szCs w:val="21"/>
              </w:rPr>
            </w:pPr>
            <w:r>
              <w:rPr>
                <w:rFonts w:hint="eastAsia"/>
                <w:szCs w:val="21"/>
              </w:rPr>
              <w:t>本表修正的计算应附详细分析计算表。</w:t>
            </w:r>
          </w:p>
        </w:tc>
      </w:tr>
    </w:tbl>
    <w:p>
      <w:pPr>
        <w:spacing w:beforeLines="200"/>
        <w:rPr>
          <w:b/>
          <w:szCs w:val="21"/>
        </w:rPr>
      </w:pPr>
      <w:r>
        <w:rPr>
          <w:rFonts w:hint="eastAsia"/>
          <w:szCs w:val="21"/>
        </w:rPr>
        <w:t>评标委员会成员签名：                                  日期:     年     月     日</w:t>
      </w:r>
    </w:p>
    <w:p>
      <w:pPr>
        <w:rPr>
          <w:szCs w:val="21"/>
        </w:rPr>
      </w:pPr>
    </w:p>
    <w:p>
      <w:pPr>
        <w:rPr>
          <w:rFonts w:hint="eastAsia" w:ascii="黑体" w:eastAsia="黑体"/>
          <w:szCs w:val="21"/>
        </w:rPr>
      </w:pPr>
    </w:p>
    <w:p>
      <w:pPr>
        <w:rPr>
          <w:rFonts w:hint="eastAsia" w:ascii="黑体" w:eastAsia="黑体"/>
          <w:szCs w:val="21"/>
        </w:rPr>
      </w:pPr>
    </w:p>
    <w:p>
      <w:pPr>
        <w:rPr>
          <w:rFonts w:hint="eastAsia" w:ascii="黑体" w:eastAsia="黑体"/>
          <w:szCs w:val="21"/>
        </w:rPr>
      </w:pPr>
    </w:p>
    <w:p>
      <w:pPr>
        <w:rPr>
          <w:rFonts w:ascii="黑体" w:eastAsia="黑体"/>
          <w:szCs w:val="21"/>
        </w:rPr>
      </w:pPr>
      <w:r>
        <w:rPr>
          <w:rFonts w:hint="eastAsia" w:ascii="黑体" w:eastAsia="黑体"/>
          <w:szCs w:val="21"/>
        </w:rPr>
        <w:t>附表D-8：成本评审结论记录表</w:t>
      </w:r>
    </w:p>
    <w:p>
      <w:pPr>
        <w:spacing w:beforeLines="100" w:afterLines="100"/>
        <w:jc w:val="center"/>
        <w:rPr>
          <w:rFonts w:ascii="黑体" w:eastAsia="黑体"/>
          <w:sz w:val="32"/>
          <w:szCs w:val="32"/>
        </w:rPr>
      </w:pPr>
      <w:r>
        <w:rPr>
          <w:rFonts w:hint="eastAsia" w:ascii="黑体" w:eastAsia="黑体"/>
          <w:sz w:val="32"/>
          <w:szCs w:val="32"/>
        </w:rPr>
        <w:t>成本评审结论记录表</w:t>
      </w:r>
    </w:p>
    <w:p>
      <w:pPr>
        <w:rPr>
          <w:szCs w:val="21"/>
        </w:rPr>
      </w:pPr>
      <w:r>
        <w:rPr>
          <w:rFonts w:hint="eastAsia"/>
          <w:szCs w:val="21"/>
        </w:rPr>
        <w:t>投标人名称：</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80"/>
        <w:gridCol w:w="2340"/>
        <w:gridCol w:w="1800"/>
        <w:gridCol w:w="198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8" w:type="dxa"/>
            <w:gridSpan w:val="2"/>
            <w:vAlign w:val="center"/>
          </w:tcPr>
          <w:p>
            <w:pPr>
              <w:jc w:val="center"/>
              <w:rPr>
                <w:szCs w:val="21"/>
              </w:rPr>
            </w:pPr>
            <w:r>
              <w:rPr>
                <w:rFonts w:hint="eastAsia"/>
                <w:szCs w:val="21"/>
              </w:rPr>
              <w:t>序号</w:t>
            </w:r>
          </w:p>
        </w:tc>
        <w:tc>
          <w:tcPr>
            <w:tcW w:w="2340" w:type="dxa"/>
            <w:vAlign w:val="center"/>
          </w:tcPr>
          <w:p>
            <w:pPr>
              <w:jc w:val="center"/>
              <w:rPr>
                <w:szCs w:val="21"/>
              </w:rPr>
            </w:pPr>
            <w:r>
              <w:rPr>
                <w:rFonts w:hint="eastAsia"/>
                <w:szCs w:val="21"/>
              </w:rPr>
              <w:t>项目名称</w:t>
            </w:r>
          </w:p>
        </w:tc>
        <w:tc>
          <w:tcPr>
            <w:tcW w:w="1800" w:type="dxa"/>
            <w:vAlign w:val="center"/>
          </w:tcPr>
          <w:p>
            <w:pPr>
              <w:jc w:val="center"/>
              <w:rPr>
                <w:szCs w:val="21"/>
              </w:rPr>
            </w:pPr>
            <w:r>
              <w:rPr>
                <w:rFonts w:hint="eastAsia"/>
                <w:szCs w:val="21"/>
              </w:rPr>
              <w:t>金额（元）</w:t>
            </w:r>
          </w:p>
        </w:tc>
        <w:tc>
          <w:tcPr>
            <w:tcW w:w="1980" w:type="dxa"/>
            <w:vAlign w:val="center"/>
          </w:tcPr>
          <w:p>
            <w:pPr>
              <w:jc w:val="center"/>
              <w:rPr>
                <w:szCs w:val="21"/>
              </w:rPr>
            </w:pPr>
            <w:r>
              <w:rPr>
                <w:rFonts w:hint="eastAsia"/>
                <w:szCs w:val="21"/>
              </w:rPr>
              <w:t>比较结果</w:t>
            </w:r>
          </w:p>
        </w:tc>
        <w:tc>
          <w:tcPr>
            <w:tcW w:w="1592" w:type="dxa"/>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8" w:type="dxa"/>
            <w:gridSpan w:val="2"/>
            <w:vAlign w:val="center"/>
          </w:tcPr>
          <w:p>
            <w:pPr>
              <w:jc w:val="center"/>
              <w:rPr>
                <w:rFonts w:ascii="黑体" w:eastAsia="黑体"/>
                <w:szCs w:val="21"/>
              </w:rPr>
            </w:pPr>
            <w:r>
              <w:rPr>
                <w:rFonts w:hint="eastAsia" w:ascii="黑体" w:eastAsia="黑体"/>
                <w:szCs w:val="21"/>
              </w:rPr>
              <w:t>1</w:t>
            </w:r>
          </w:p>
        </w:tc>
        <w:tc>
          <w:tcPr>
            <w:tcW w:w="2340" w:type="dxa"/>
            <w:vAlign w:val="center"/>
          </w:tcPr>
          <w:p>
            <w:pPr>
              <w:rPr>
                <w:szCs w:val="21"/>
              </w:rPr>
            </w:pPr>
            <w:r>
              <w:rPr>
                <w:rFonts w:hint="eastAsia"/>
                <w:szCs w:val="21"/>
              </w:rPr>
              <w:t>澄清后</w:t>
            </w:r>
            <w:r>
              <w:rPr>
                <w:rFonts w:hint="eastAsia"/>
                <w:szCs w:val="21"/>
                <w:u w:val="single"/>
              </w:rPr>
              <w:t>最终差额Δ2</w:t>
            </w:r>
          </w:p>
        </w:tc>
        <w:tc>
          <w:tcPr>
            <w:tcW w:w="1800" w:type="dxa"/>
            <w:vAlign w:val="center"/>
          </w:tcPr>
          <w:p>
            <w:pPr>
              <w:jc w:val="center"/>
              <w:rPr>
                <w:szCs w:val="21"/>
              </w:rPr>
            </w:pPr>
          </w:p>
        </w:tc>
        <w:tc>
          <w:tcPr>
            <w:tcW w:w="1980" w:type="dxa"/>
            <w:vMerge w:val="restart"/>
            <w:vAlign w:val="center"/>
          </w:tcPr>
          <w:p>
            <w:pPr>
              <w:jc w:val="center"/>
              <w:rPr>
                <w:szCs w:val="21"/>
              </w:rPr>
            </w:pPr>
          </w:p>
        </w:tc>
        <w:tc>
          <w:tcPr>
            <w:tcW w:w="1592" w:type="dxa"/>
            <w:vMerge w:val="restart"/>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8" w:type="dxa"/>
            <w:gridSpan w:val="2"/>
            <w:vAlign w:val="center"/>
          </w:tcPr>
          <w:p>
            <w:pPr>
              <w:jc w:val="center"/>
              <w:rPr>
                <w:rFonts w:ascii="黑体" w:eastAsia="黑体"/>
                <w:szCs w:val="21"/>
              </w:rPr>
            </w:pPr>
            <w:r>
              <w:rPr>
                <w:rFonts w:hint="eastAsia" w:ascii="黑体" w:eastAsia="黑体"/>
                <w:szCs w:val="21"/>
              </w:rPr>
              <w:t>2</w:t>
            </w:r>
          </w:p>
        </w:tc>
        <w:tc>
          <w:tcPr>
            <w:tcW w:w="2340" w:type="dxa"/>
            <w:vAlign w:val="center"/>
          </w:tcPr>
          <w:p>
            <w:pPr>
              <w:rPr>
                <w:szCs w:val="21"/>
              </w:rPr>
            </w:pPr>
            <w:r>
              <w:rPr>
                <w:rFonts w:hint="eastAsia"/>
                <w:szCs w:val="21"/>
              </w:rPr>
              <w:t>投标利润额</w:t>
            </w:r>
          </w:p>
        </w:tc>
        <w:tc>
          <w:tcPr>
            <w:tcW w:w="1800" w:type="dxa"/>
            <w:vAlign w:val="center"/>
          </w:tcPr>
          <w:p>
            <w:pPr>
              <w:jc w:val="center"/>
              <w:rPr>
                <w:szCs w:val="21"/>
              </w:rPr>
            </w:pPr>
          </w:p>
        </w:tc>
        <w:tc>
          <w:tcPr>
            <w:tcW w:w="1980" w:type="dxa"/>
            <w:vMerge w:val="continue"/>
            <w:vAlign w:val="center"/>
          </w:tcPr>
          <w:p>
            <w:pPr>
              <w:jc w:val="center"/>
              <w:rPr>
                <w:szCs w:val="21"/>
              </w:rPr>
            </w:pPr>
          </w:p>
        </w:tc>
        <w:tc>
          <w:tcPr>
            <w:tcW w:w="1592" w:type="dxa"/>
            <w:vMerge w:val="continue"/>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6"/>
          </w:tcPr>
          <w:p>
            <w:pPr>
              <w:spacing w:beforeLines="30"/>
              <w:rPr>
                <w:szCs w:val="21"/>
              </w:rPr>
            </w:pPr>
            <w:r>
              <w:rPr>
                <w:rFonts w:hint="eastAsia"/>
                <w:szCs w:val="21"/>
              </w:rPr>
              <w:t>比较后需投标人澄清和说明的主要事项概要：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8720" w:type="dxa"/>
            <w:gridSpan w:val="6"/>
          </w:tcPr>
          <w:p>
            <w:pPr>
              <w:spacing w:beforeLines="30"/>
              <w:rPr>
                <w:szCs w:val="21"/>
              </w:rPr>
            </w:pPr>
            <w:r>
              <w:rPr>
                <w:rFonts w:hint="eastAsia"/>
                <w:szCs w:val="21"/>
              </w:rPr>
              <w:t>投标人澄清、说明、补正和提供进一步证明的情况说明：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28" w:type="dxa"/>
            <w:vAlign w:val="center"/>
          </w:tcPr>
          <w:p>
            <w:pPr>
              <w:jc w:val="center"/>
              <w:rPr>
                <w:szCs w:val="21"/>
              </w:rPr>
            </w:pPr>
            <w:r>
              <w:rPr>
                <w:rFonts w:hint="eastAsia"/>
                <w:szCs w:val="21"/>
              </w:rPr>
              <w:t>评审结论</w:t>
            </w:r>
          </w:p>
        </w:tc>
        <w:tc>
          <w:tcPr>
            <w:tcW w:w="7892" w:type="dxa"/>
            <w:gridSpan w:val="5"/>
            <w:vAlign w:val="center"/>
          </w:tcPr>
          <w:p>
            <w:pPr>
              <w:ind w:firstLine="220" w:firstLineChars="100"/>
              <w:rPr>
                <w:szCs w:val="21"/>
              </w:rPr>
            </w:pPr>
            <w:r>
              <w:rPr>
                <w:rFonts w:hint="eastAsia"/>
                <w:szCs w:val="21"/>
              </w:rPr>
              <w:t xml:space="preserve"> □低于成本     □不低于成本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828" w:type="dxa"/>
            <w:vAlign w:val="center"/>
          </w:tcPr>
          <w:p>
            <w:pPr>
              <w:jc w:val="center"/>
              <w:rPr>
                <w:szCs w:val="21"/>
              </w:rPr>
            </w:pPr>
            <w:r>
              <w:rPr>
                <w:rFonts w:hint="eastAsia"/>
                <w:szCs w:val="21"/>
              </w:rPr>
              <w:t>评</w:t>
            </w:r>
          </w:p>
          <w:p>
            <w:pPr>
              <w:jc w:val="center"/>
              <w:rPr>
                <w:szCs w:val="21"/>
              </w:rPr>
            </w:pPr>
            <w:r>
              <w:rPr>
                <w:rFonts w:hint="eastAsia"/>
                <w:szCs w:val="21"/>
              </w:rPr>
              <w:t>审</w:t>
            </w:r>
          </w:p>
          <w:p>
            <w:pPr>
              <w:jc w:val="center"/>
              <w:rPr>
                <w:szCs w:val="21"/>
              </w:rPr>
            </w:pPr>
            <w:r>
              <w:rPr>
                <w:rFonts w:hint="eastAsia"/>
                <w:szCs w:val="21"/>
              </w:rPr>
              <w:t>意</w:t>
            </w:r>
          </w:p>
          <w:p>
            <w:pPr>
              <w:jc w:val="center"/>
              <w:rPr>
                <w:szCs w:val="21"/>
              </w:rPr>
            </w:pPr>
            <w:r>
              <w:rPr>
                <w:rFonts w:hint="eastAsia"/>
                <w:szCs w:val="21"/>
              </w:rPr>
              <w:t>见</w:t>
            </w:r>
          </w:p>
          <w:p>
            <w:pPr>
              <w:jc w:val="center"/>
              <w:rPr>
                <w:szCs w:val="21"/>
              </w:rPr>
            </w:pPr>
            <w:r>
              <w:rPr>
                <w:rFonts w:hint="eastAsia"/>
                <w:szCs w:val="21"/>
              </w:rPr>
              <w:t>概</w:t>
            </w:r>
          </w:p>
          <w:p>
            <w:pPr>
              <w:jc w:val="center"/>
              <w:rPr>
                <w:szCs w:val="21"/>
              </w:rPr>
            </w:pPr>
            <w:r>
              <w:rPr>
                <w:rFonts w:hint="eastAsia"/>
                <w:szCs w:val="21"/>
              </w:rPr>
              <w:t>要</w:t>
            </w:r>
          </w:p>
        </w:tc>
        <w:tc>
          <w:tcPr>
            <w:tcW w:w="7892" w:type="dxa"/>
            <w:gridSpan w:val="5"/>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828" w:type="dxa"/>
            <w:vAlign w:val="center"/>
          </w:tcPr>
          <w:p>
            <w:pPr>
              <w:jc w:val="center"/>
              <w:rPr>
                <w:szCs w:val="21"/>
              </w:rPr>
            </w:pPr>
            <w:r>
              <w:rPr>
                <w:rFonts w:hint="eastAsia"/>
                <w:szCs w:val="21"/>
              </w:rPr>
              <w:t>评</w:t>
            </w:r>
          </w:p>
          <w:p>
            <w:pPr>
              <w:jc w:val="center"/>
              <w:rPr>
                <w:szCs w:val="21"/>
              </w:rPr>
            </w:pPr>
            <w:r>
              <w:rPr>
                <w:rFonts w:hint="eastAsia"/>
                <w:szCs w:val="21"/>
              </w:rPr>
              <w:t>标</w:t>
            </w:r>
          </w:p>
          <w:p>
            <w:pPr>
              <w:jc w:val="center"/>
              <w:rPr>
                <w:szCs w:val="21"/>
              </w:rPr>
            </w:pPr>
            <w:r>
              <w:rPr>
                <w:rFonts w:hint="eastAsia"/>
                <w:szCs w:val="21"/>
              </w:rPr>
              <w:t>委</w:t>
            </w:r>
          </w:p>
          <w:p>
            <w:pPr>
              <w:jc w:val="center"/>
              <w:rPr>
                <w:szCs w:val="21"/>
              </w:rPr>
            </w:pPr>
            <w:r>
              <w:rPr>
                <w:rFonts w:hint="eastAsia"/>
                <w:szCs w:val="21"/>
              </w:rPr>
              <w:t>员</w:t>
            </w:r>
          </w:p>
          <w:p>
            <w:pPr>
              <w:jc w:val="center"/>
              <w:rPr>
                <w:szCs w:val="21"/>
              </w:rPr>
            </w:pPr>
            <w:r>
              <w:rPr>
                <w:rFonts w:hint="eastAsia"/>
                <w:szCs w:val="21"/>
              </w:rPr>
              <w:t>会</w:t>
            </w:r>
          </w:p>
          <w:p>
            <w:pPr>
              <w:jc w:val="center"/>
              <w:rPr>
                <w:szCs w:val="21"/>
              </w:rPr>
            </w:pPr>
            <w:r>
              <w:rPr>
                <w:rFonts w:hint="eastAsia"/>
                <w:szCs w:val="21"/>
              </w:rPr>
              <w:t>全</w:t>
            </w:r>
          </w:p>
          <w:p>
            <w:pPr>
              <w:jc w:val="center"/>
              <w:rPr>
                <w:szCs w:val="21"/>
              </w:rPr>
            </w:pPr>
            <w:r>
              <w:rPr>
                <w:rFonts w:hint="eastAsia"/>
                <w:szCs w:val="21"/>
              </w:rPr>
              <w:t>体</w:t>
            </w:r>
          </w:p>
          <w:p>
            <w:pPr>
              <w:jc w:val="center"/>
              <w:rPr>
                <w:szCs w:val="21"/>
              </w:rPr>
            </w:pPr>
            <w:r>
              <w:rPr>
                <w:rFonts w:hint="eastAsia"/>
                <w:szCs w:val="21"/>
              </w:rPr>
              <w:t>成</w:t>
            </w:r>
          </w:p>
          <w:p>
            <w:pPr>
              <w:jc w:val="center"/>
              <w:rPr>
                <w:szCs w:val="21"/>
              </w:rPr>
            </w:pPr>
            <w:r>
              <w:rPr>
                <w:rFonts w:hint="eastAsia"/>
                <w:szCs w:val="21"/>
              </w:rPr>
              <w:t>员</w:t>
            </w:r>
          </w:p>
          <w:p>
            <w:pPr>
              <w:jc w:val="center"/>
              <w:rPr>
                <w:szCs w:val="21"/>
              </w:rPr>
            </w:pPr>
            <w:r>
              <w:rPr>
                <w:rFonts w:hint="eastAsia"/>
                <w:szCs w:val="21"/>
              </w:rPr>
              <w:t>签</w:t>
            </w:r>
          </w:p>
          <w:p>
            <w:pPr>
              <w:jc w:val="center"/>
              <w:rPr>
                <w:szCs w:val="21"/>
              </w:rPr>
            </w:pPr>
            <w:r>
              <w:rPr>
                <w:rFonts w:hint="eastAsia"/>
                <w:szCs w:val="21"/>
              </w:rPr>
              <w:t>名</w:t>
            </w:r>
          </w:p>
        </w:tc>
        <w:tc>
          <w:tcPr>
            <w:tcW w:w="7892" w:type="dxa"/>
            <w:gridSpan w:val="5"/>
            <w:vAlign w:val="bottom"/>
          </w:tcPr>
          <w:p>
            <w:pPr>
              <w:wordWrap w:val="0"/>
              <w:spacing w:afterLines="50"/>
              <w:jc w:val="right"/>
              <w:rPr>
                <w:szCs w:val="21"/>
              </w:rPr>
            </w:pPr>
            <w:r>
              <w:rPr>
                <w:rFonts w:hint="eastAsia"/>
                <w:szCs w:val="21"/>
              </w:rPr>
              <w:t xml:space="preserve">年   月   日       </w:t>
            </w:r>
          </w:p>
        </w:tc>
      </w:tr>
    </w:tbl>
    <w:p>
      <w:pPr>
        <w:spacing w:line="360" w:lineRule="auto"/>
        <w:jc w:val="center"/>
        <w:rPr>
          <w:color w:val="FF0000"/>
          <w:sz w:val="27"/>
        </w:rPr>
      </w:pPr>
    </w:p>
    <w:p>
      <w:pPr>
        <w:spacing w:line="360" w:lineRule="auto"/>
        <w:ind w:left="577" w:right="551"/>
        <w:jc w:val="center"/>
        <w:rPr>
          <w:b/>
          <w:sz w:val="48"/>
        </w:rPr>
      </w:pPr>
      <w:r>
        <w:rPr>
          <w:rFonts w:hint="eastAsia"/>
          <w:b/>
          <w:sz w:val="48"/>
        </w:rPr>
        <w:t>第四章</w:t>
      </w:r>
      <w:r>
        <w:rPr>
          <w:b/>
          <w:sz w:val="48"/>
        </w:rPr>
        <w:t xml:space="preserve"> </w:t>
      </w:r>
      <w:r>
        <w:rPr>
          <w:rFonts w:hint="eastAsia"/>
          <w:b/>
          <w:sz w:val="48"/>
        </w:rPr>
        <w:t>合同条款及格式</w:t>
      </w:r>
    </w:p>
    <w:p>
      <w:pPr>
        <w:spacing w:line="360" w:lineRule="auto"/>
        <w:jc w:val="center"/>
        <w:rPr>
          <w:sz w:val="48"/>
        </w:rPr>
        <w:sectPr>
          <w:footerReference r:id="rId15" w:type="default"/>
          <w:pgSz w:w="11910" w:h="16840"/>
          <w:pgMar w:top="1580" w:right="620" w:bottom="1420" w:left="1220" w:header="0" w:footer="1201" w:gutter="0"/>
          <w:cols w:space="720" w:num="1"/>
        </w:sectPr>
      </w:pPr>
    </w:p>
    <w:p>
      <w:pPr>
        <w:pStyle w:val="18"/>
        <w:spacing w:line="360" w:lineRule="auto"/>
        <w:rPr>
          <w:b/>
          <w:sz w:val="20"/>
        </w:rPr>
      </w:pPr>
    </w:p>
    <w:p>
      <w:pPr>
        <w:pStyle w:val="18"/>
        <w:spacing w:before="6" w:line="360" w:lineRule="auto"/>
        <w:rPr>
          <w:b/>
          <w:sz w:val="10"/>
        </w:rPr>
      </w:pPr>
    </w:p>
    <w:p>
      <w:pPr>
        <w:spacing w:before="58" w:line="360" w:lineRule="auto"/>
        <w:ind w:left="537"/>
        <w:rPr>
          <w:sz w:val="30"/>
        </w:rPr>
      </w:pPr>
      <w:r>
        <w:rPr>
          <w:rFonts w:hint="eastAsia"/>
          <w:sz w:val="30"/>
        </w:rPr>
        <w:t>（</w:t>
      </w:r>
      <w:r>
        <w:rPr>
          <w:sz w:val="30"/>
        </w:rPr>
        <w:t>GF—2020—2605</w:t>
      </w:r>
      <w:r>
        <w:rPr>
          <w:rFonts w:hint="eastAsia"/>
          <w:sz w:val="30"/>
        </w:rPr>
        <w:t>）</w:t>
      </w:r>
      <w:r>
        <w:rPr>
          <w:sz w:val="30"/>
        </w:rPr>
        <w:t xml:space="preserve"> </w:t>
      </w:r>
    </w:p>
    <w:p>
      <w:pPr>
        <w:pStyle w:val="18"/>
        <w:spacing w:line="360" w:lineRule="auto"/>
        <w:rPr>
          <w:sz w:val="30"/>
        </w:rPr>
      </w:pPr>
    </w:p>
    <w:p>
      <w:pPr>
        <w:pStyle w:val="18"/>
        <w:spacing w:before="6" w:line="360" w:lineRule="auto"/>
        <w:rPr>
          <w:sz w:val="40"/>
        </w:rPr>
      </w:pPr>
    </w:p>
    <w:p>
      <w:pPr>
        <w:spacing w:line="360" w:lineRule="auto"/>
        <w:ind w:left="1850" w:right="1730" w:hanging="720"/>
        <w:jc w:val="center"/>
        <w:rPr>
          <w:b/>
          <w:sz w:val="72"/>
        </w:rPr>
      </w:pPr>
      <w:r>
        <w:rPr>
          <w:rFonts w:hint="eastAsia"/>
          <w:b/>
          <w:sz w:val="72"/>
        </w:rPr>
        <w:t>园林绿化工程施工</w:t>
      </w:r>
    </w:p>
    <w:p>
      <w:pPr>
        <w:spacing w:line="360" w:lineRule="auto"/>
        <w:ind w:left="1850" w:right="1730" w:hanging="720"/>
        <w:jc w:val="center"/>
        <w:rPr>
          <w:b/>
          <w:sz w:val="72"/>
        </w:rPr>
      </w:pPr>
      <w:r>
        <w:rPr>
          <w:rFonts w:hint="eastAsia"/>
          <w:b/>
          <w:sz w:val="72"/>
        </w:rPr>
        <w:t>合同示范文本</w:t>
      </w:r>
    </w:p>
    <w:p>
      <w:pPr>
        <w:spacing w:line="360" w:lineRule="auto"/>
        <w:ind w:left="1850" w:right="1730" w:hanging="720"/>
        <w:jc w:val="center"/>
        <w:rPr>
          <w:b/>
          <w:sz w:val="72"/>
        </w:rPr>
      </w:pPr>
      <w:r>
        <w:rPr>
          <w:rFonts w:hint="eastAsia"/>
          <w:b/>
          <w:sz w:val="72"/>
        </w:rPr>
        <w:t>（试行）</w:t>
      </w: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before="1" w:line="360" w:lineRule="auto"/>
        <w:rPr>
          <w:b/>
          <w:sz w:val="22"/>
        </w:rPr>
      </w:pPr>
    </w:p>
    <w:p>
      <w:pPr>
        <w:spacing w:line="360" w:lineRule="auto"/>
        <w:ind w:left="2068"/>
        <w:rPr>
          <w:b/>
          <w:sz w:val="32"/>
        </w:rPr>
      </w:pPr>
      <w:r>
        <w:rPr>
          <w:rFonts w:hint="eastAsia"/>
          <w:b/>
          <w:sz w:val="32"/>
        </w:rPr>
        <w:t>中华人民共和国住房和城乡建设部</w:t>
      </w:r>
    </w:p>
    <w:p>
      <w:pPr>
        <w:spacing w:line="360" w:lineRule="auto"/>
        <w:ind w:left="7558"/>
        <w:rPr>
          <w:b/>
          <w:sz w:val="32"/>
        </w:rPr>
      </w:pPr>
      <w:r>
        <w:rPr>
          <w:rFonts w:hint="eastAsia"/>
          <w:b/>
          <w:sz w:val="32"/>
        </w:rPr>
        <w:t>制定</w:t>
      </w:r>
    </w:p>
    <w:p>
      <w:pPr>
        <w:tabs>
          <w:tab w:val="left" w:pos="2605"/>
          <w:tab w:val="left" w:pos="3143"/>
          <w:tab w:val="left" w:pos="3681"/>
          <w:tab w:val="left" w:pos="4218"/>
          <w:tab w:val="left" w:pos="4756"/>
          <w:tab w:val="left" w:pos="5293"/>
          <w:tab w:val="left" w:pos="5831"/>
          <w:tab w:val="left" w:pos="6369"/>
          <w:tab w:val="left" w:pos="6906"/>
        </w:tabs>
        <w:spacing w:line="360" w:lineRule="auto"/>
        <w:ind w:left="2068"/>
        <w:rPr>
          <w:b/>
          <w:sz w:val="32"/>
        </w:rPr>
      </w:pPr>
      <w:r>
        <w:rPr>
          <w:rFonts w:hint="eastAsia"/>
          <w:b/>
          <w:sz w:val="32"/>
        </w:rPr>
        <w:t>国</w:t>
      </w:r>
      <w:r>
        <w:rPr>
          <w:b/>
          <w:sz w:val="32"/>
        </w:rPr>
        <w:tab/>
      </w:r>
      <w:r>
        <w:rPr>
          <w:rFonts w:hint="eastAsia"/>
          <w:b/>
          <w:sz w:val="32"/>
        </w:rPr>
        <w:t>家</w:t>
      </w:r>
      <w:r>
        <w:rPr>
          <w:b/>
          <w:sz w:val="32"/>
        </w:rPr>
        <w:tab/>
      </w:r>
      <w:r>
        <w:rPr>
          <w:rFonts w:hint="eastAsia"/>
          <w:b/>
          <w:sz w:val="32"/>
        </w:rPr>
        <w:t>市</w:t>
      </w:r>
      <w:r>
        <w:rPr>
          <w:b/>
          <w:sz w:val="32"/>
        </w:rPr>
        <w:tab/>
      </w:r>
      <w:r>
        <w:rPr>
          <w:rFonts w:hint="eastAsia"/>
          <w:b/>
          <w:sz w:val="32"/>
        </w:rPr>
        <w:t>场</w:t>
      </w:r>
      <w:r>
        <w:rPr>
          <w:b/>
          <w:sz w:val="32"/>
        </w:rPr>
        <w:tab/>
      </w:r>
      <w:r>
        <w:rPr>
          <w:rFonts w:hint="eastAsia"/>
          <w:b/>
          <w:sz w:val="32"/>
        </w:rPr>
        <w:t>监</w:t>
      </w:r>
      <w:r>
        <w:rPr>
          <w:b/>
          <w:sz w:val="32"/>
        </w:rPr>
        <w:tab/>
      </w:r>
      <w:r>
        <w:rPr>
          <w:rFonts w:hint="eastAsia"/>
          <w:b/>
          <w:sz w:val="32"/>
        </w:rPr>
        <w:t>督</w:t>
      </w:r>
      <w:r>
        <w:rPr>
          <w:b/>
          <w:sz w:val="32"/>
        </w:rPr>
        <w:tab/>
      </w:r>
      <w:r>
        <w:rPr>
          <w:rFonts w:hint="eastAsia"/>
          <w:b/>
          <w:sz w:val="32"/>
        </w:rPr>
        <w:t>管</w:t>
      </w:r>
      <w:r>
        <w:rPr>
          <w:b/>
          <w:sz w:val="32"/>
        </w:rPr>
        <w:tab/>
      </w:r>
      <w:r>
        <w:rPr>
          <w:rFonts w:hint="eastAsia"/>
          <w:b/>
          <w:sz w:val="32"/>
        </w:rPr>
        <w:t>理</w:t>
      </w:r>
      <w:r>
        <w:rPr>
          <w:b/>
          <w:sz w:val="32"/>
        </w:rPr>
        <w:tab/>
      </w:r>
      <w:r>
        <w:rPr>
          <w:rFonts w:hint="eastAsia"/>
          <w:b/>
          <w:sz w:val="32"/>
        </w:rPr>
        <w:t>总</w:t>
      </w:r>
      <w:r>
        <w:rPr>
          <w:b/>
          <w:sz w:val="32"/>
        </w:rPr>
        <w:tab/>
      </w:r>
      <w:r>
        <w:rPr>
          <w:rFonts w:hint="eastAsia"/>
          <w:b/>
          <w:sz w:val="32"/>
        </w:rPr>
        <w:t>局</w:t>
      </w:r>
    </w:p>
    <w:p>
      <w:pPr>
        <w:spacing w:line="360" w:lineRule="auto"/>
        <w:rPr>
          <w:sz w:val="24"/>
          <w:szCs w:val="24"/>
        </w:rPr>
        <w:sectPr>
          <w:pgSz w:w="11910" w:h="16840"/>
          <w:pgMar w:top="1580" w:right="620" w:bottom="1420" w:left="1220" w:header="0" w:footer="1201" w:gutter="0"/>
          <w:cols w:space="720" w:num="1"/>
        </w:sectPr>
      </w:pPr>
    </w:p>
    <w:p>
      <w:pPr>
        <w:tabs>
          <w:tab w:val="left" w:pos="1101"/>
        </w:tabs>
        <w:spacing w:line="360" w:lineRule="auto"/>
        <w:jc w:val="center"/>
        <w:rPr>
          <w:b/>
          <w:sz w:val="32"/>
          <w:szCs w:val="32"/>
        </w:rPr>
      </w:pPr>
      <w:r>
        <w:rPr>
          <w:rFonts w:hint="eastAsia"/>
          <w:b/>
          <w:sz w:val="32"/>
          <w:szCs w:val="32"/>
        </w:rPr>
        <w:t>说</w:t>
      </w:r>
      <w:r>
        <w:rPr>
          <w:b/>
          <w:sz w:val="32"/>
          <w:szCs w:val="32"/>
        </w:rPr>
        <w:tab/>
      </w:r>
      <w:r>
        <w:rPr>
          <w:rFonts w:hint="eastAsia"/>
          <w:b/>
          <w:sz w:val="32"/>
          <w:szCs w:val="32"/>
        </w:rPr>
        <w:t>明</w:t>
      </w:r>
    </w:p>
    <w:p>
      <w:pPr>
        <w:spacing w:line="360" w:lineRule="auto"/>
        <w:ind w:firstLine="599"/>
        <w:jc w:val="both"/>
        <w:rPr>
          <w:sz w:val="24"/>
          <w:szCs w:val="24"/>
        </w:rPr>
      </w:pPr>
      <w:r>
        <w:rPr>
          <w:rFonts w:hint="eastAsia"/>
          <w:spacing w:val="-1"/>
          <w:sz w:val="24"/>
          <w:szCs w:val="24"/>
        </w:rPr>
        <w:t>为指导园林绿化工程施工合同当事人的签约行为，维护合同</w:t>
      </w:r>
      <w:r>
        <w:rPr>
          <w:rFonts w:hint="eastAsia"/>
          <w:spacing w:val="-3"/>
          <w:sz w:val="24"/>
          <w:szCs w:val="24"/>
        </w:rPr>
        <w:t>当事人的合法权益，依据《中华人民共和国民法典》《中华人民</w:t>
      </w:r>
      <w:r>
        <w:rPr>
          <w:rFonts w:hint="eastAsia"/>
          <w:spacing w:val="-8"/>
          <w:sz w:val="24"/>
          <w:szCs w:val="24"/>
        </w:rPr>
        <w:t>共和国建筑法》《中华人民共和国招标投标法》以及相关法律法</w:t>
      </w:r>
      <w:r>
        <w:rPr>
          <w:rFonts w:hint="eastAsia"/>
          <w:spacing w:val="-3"/>
          <w:sz w:val="24"/>
          <w:szCs w:val="24"/>
        </w:rPr>
        <w:t>规，住房和城乡建设部、市场监管总局组织编制了《园林绿化工</w:t>
      </w:r>
      <w:r>
        <w:rPr>
          <w:rFonts w:hint="eastAsia"/>
          <w:spacing w:val="-7"/>
          <w:sz w:val="24"/>
          <w:szCs w:val="24"/>
        </w:rPr>
        <w:t>程施工合同示范文本</w:t>
      </w:r>
      <w:r>
        <w:rPr>
          <w:rFonts w:hint="eastAsia"/>
          <w:sz w:val="24"/>
          <w:szCs w:val="24"/>
        </w:rPr>
        <w:t>（试行</w:t>
      </w:r>
      <w:r>
        <w:rPr>
          <w:rFonts w:hint="eastAsia"/>
          <w:spacing w:val="-149"/>
          <w:sz w:val="24"/>
          <w:szCs w:val="24"/>
        </w:rPr>
        <w:t>）</w:t>
      </w:r>
      <w:r>
        <w:rPr>
          <w:rFonts w:hint="eastAsia"/>
          <w:spacing w:val="-190"/>
          <w:sz w:val="24"/>
          <w:szCs w:val="24"/>
        </w:rPr>
        <w:t>》</w:t>
      </w:r>
      <w:r>
        <w:rPr>
          <w:rFonts w:hint="eastAsia"/>
          <w:sz w:val="24"/>
          <w:szCs w:val="24"/>
        </w:rPr>
        <w:t>（</w:t>
      </w:r>
      <w:r>
        <w:rPr>
          <w:spacing w:val="-2"/>
          <w:sz w:val="24"/>
          <w:szCs w:val="24"/>
        </w:rPr>
        <w:t>G</w:t>
      </w:r>
      <w:r>
        <w:rPr>
          <w:spacing w:val="-1"/>
          <w:sz w:val="24"/>
          <w:szCs w:val="24"/>
        </w:rPr>
        <w:t>F</w:t>
      </w:r>
      <w:r>
        <w:rPr>
          <w:sz w:val="24"/>
          <w:szCs w:val="24"/>
        </w:rPr>
        <w:t>—20</w:t>
      </w:r>
      <w:r>
        <w:rPr>
          <w:spacing w:val="-2"/>
          <w:sz w:val="24"/>
          <w:szCs w:val="24"/>
        </w:rPr>
        <w:t>2</w:t>
      </w:r>
      <w:r>
        <w:rPr>
          <w:spacing w:val="-1"/>
          <w:sz w:val="24"/>
          <w:szCs w:val="24"/>
        </w:rPr>
        <w:t>0</w:t>
      </w:r>
      <w:r>
        <w:rPr>
          <w:spacing w:val="2"/>
          <w:sz w:val="24"/>
          <w:szCs w:val="24"/>
        </w:rPr>
        <w:t>—</w:t>
      </w:r>
      <w:r>
        <w:rPr>
          <w:spacing w:val="-2"/>
          <w:sz w:val="24"/>
          <w:szCs w:val="24"/>
        </w:rPr>
        <w:t>2</w:t>
      </w:r>
      <w:r>
        <w:rPr>
          <w:sz w:val="24"/>
          <w:szCs w:val="24"/>
        </w:rPr>
        <w:t>6</w:t>
      </w:r>
      <w:r>
        <w:rPr>
          <w:spacing w:val="-2"/>
          <w:sz w:val="24"/>
          <w:szCs w:val="24"/>
        </w:rPr>
        <w:t>0</w:t>
      </w:r>
      <w:r>
        <w:rPr>
          <w:spacing w:val="1"/>
          <w:sz w:val="24"/>
          <w:szCs w:val="24"/>
        </w:rPr>
        <w:t>5</w:t>
      </w:r>
      <w:r>
        <w:rPr>
          <w:rFonts w:hint="eastAsia"/>
          <w:spacing w:val="-190"/>
          <w:sz w:val="24"/>
          <w:szCs w:val="24"/>
        </w:rPr>
        <w:t>）</w:t>
      </w:r>
      <w:r>
        <w:rPr>
          <w:rFonts w:hint="eastAsia"/>
          <w:sz w:val="24"/>
          <w:szCs w:val="24"/>
        </w:rPr>
        <w:t>（</w:t>
      </w:r>
      <w:r>
        <w:rPr>
          <w:rFonts w:hint="eastAsia"/>
          <w:spacing w:val="-9"/>
          <w:sz w:val="24"/>
          <w:szCs w:val="24"/>
        </w:rPr>
        <w:t>以下简称《合</w:t>
      </w:r>
      <w:r>
        <w:rPr>
          <w:rFonts w:hint="eastAsia"/>
          <w:spacing w:val="-33"/>
          <w:sz w:val="24"/>
          <w:szCs w:val="24"/>
        </w:rPr>
        <w:t>同示范文本》</w:t>
      </w:r>
      <w:r>
        <w:rPr>
          <w:rFonts w:hint="eastAsia"/>
          <w:spacing w:val="-152"/>
          <w:sz w:val="24"/>
          <w:szCs w:val="24"/>
        </w:rPr>
        <w:t>）</w:t>
      </w:r>
      <w:r>
        <w:rPr>
          <w:rFonts w:hint="eastAsia"/>
          <w:spacing w:val="-14"/>
          <w:sz w:val="24"/>
          <w:szCs w:val="24"/>
        </w:rPr>
        <w:t>。为便于合同当事人使用，现就有关问题说明如下：</w:t>
      </w:r>
    </w:p>
    <w:p>
      <w:pPr>
        <w:spacing w:line="360" w:lineRule="auto"/>
        <w:rPr>
          <w:sz w:val="24"/>
          <w:szCs w:val="24"/>
        </w:rPr>
      </w:pPr>
      <w:r>
        <w:rPr>
          <w:rFonts w:hint="eastAsia"/>
          <w:sz w:val="24"/>
          <w:szCs w:val="24"/>
        </w:rPr>
        <w:t>一、《合同示范文本》的组成</w:t>
      </w:r>
    </w:p>
    <w:p>
      <w:pPr>
        <w:spacing w:line="360" w:lineRule="auto"/>
        <w:ind w:firstLine="599"/>
        <w:rPr>
          <w:sz w:val="24"/>
          <w:szCs w:val="24"/>
        </w:rPr>
      </w:pPr>
      <w:r>
        <w:rPr>
          <w:rFonts w:hint="eastAsia"/>
          <w:spacing w:val="-3"/>
          <w:sz w:val="24"/>
          <w:szCs w:val="24"/>
        </w:rPr>
        <w:t>《合同示范文本》由合同协议书、通用合同条款和专用合同</w:t>
      </w:r>
      <w:r>
        <w:rPr>
          <w:rFonts w:hint="eastAsia"/>
          <w:sz w:val="24"/>
          <w:szCs w:val="24"/>
        </w:rPr>
        <w:t>条款三部分组成。</w:t>
      </w:r>
    </w:p>
    <w:p>
      <w:pPr>
        <w:spacing w:line="360" w:lineRule="auto"/>
        <w:rPr>
          <w:sz w:val="24"/>
          <w:szCs w:val="24"/>
        </w:rPr>
      </w:pPr>
      <w:r>
        <w:rPr>
          <w:rFonts w:hint="eastAsia"/>
          <w:spacing w:val="-1"/>
          <w:sz w:val="24"/>
          <w:szCs w:val="24"/>
        </w:rPr>
        <w:t>（</w:t>
      </w:r>
      <w:r>
        <w:rPr>
          <w:rFonts w:hint="eastAsia"/>
          <w:sz w:val="24"/>
          <w:szCs w:val="24"/>
        </w:rPr>
        <w:t>一）合同协议书</w:t>
      </w:r>
    </w:p>
    <w:p>
      <w:pPr>
        <w:spacing w:line="360" w:lineRule="auto"/>
        <w:ind w:firstLine="599"/>
        <w:jc w:val="both"/>
        <w:rPr>
          <w:sz w:val="24"/>
          <w:szCs w:val="24"/>
        </w:rPr>
      </w:pPr>
      <w:r>
        <w:rPr>
          <w:rFonts w:hint="eastAsia"/>
          <w:sz w:val="24"/>
          <w:szCs w:val="24"/>
        </w:rPr>
        <w:t>合同协议书共计</w:t>
      </w:r>
      <w:r>
        <w:rPr>
          <w:sz w:val="24"/>
          <w:szCs w:val="24"/>
        </w:rPr>
        <w:t xml:space="preserve"> 16 </w:t>
      </w:r>
      <w:r>
        <w:rPr>
          <w:rFonts w:hint="eastAsia"/>
          <w:sz w:val="24"/>
          <w:szCs w:val="24"/>
        </w:rPr>
        <w:t>条，主要包括：工程概况、合同工期、质量标准、签约合同价与合同价格形式、承包人项目负责人、预付款、绿化种植及养护要求、其他要求、合同文件构成、承诺以及合同生效条件等重要内容，集中约定了合同当事人基本的合同权利义务。</w:t>
      </w:r>
    </w:p>
    <w:p>
      <w:pPr>
        <w:spacing w:line="360" w:lineRule="auto"/>
        <w:rPr>
          <w:sz w:val="24"/>
          <w:szCs w:val="24"/>
        </w:rPr>
      </w:pPr>
      <w:r>
        <w:rPr>
          <w:rFonts w:hint="eastAsia"/>
          <w:sz w:val="24"/>
          <w:szCs w:val="24"/>
        </w:rPr>
        <w:t>（二）通用合同条款</w:t>
      </w:r>
    </w:p>
    <w:p>
      <w:pPr>
        <w:spacing w:line="360" w:lineRule="auto"/>
        <w:ind w:firstLine="599"/>
        <w:rPr>
          <w:sz w:val="24"/>
          <w:szCs w:val="24"/>
        </w:rPr>
      </w:pPr>
      <w:r>
        <w:rPr>
          <w:rFonts w:hint="eastAsia"/>
          <w:spacing w:val="-1"/>
          <w:sz w:val="24"/>
          <w:szCs w:val="24"/>
        </w:rPr>
        <w:t>通用合同条款共计</w:t>
      </w:r>
      <w:r>
        <w:rPr>
          <w:spacing w:val="-1"/>
          <w:sz w:val="24"/>
          <w:szCs w:val="24"/>
        </w:rPr>
        <w:t xml:space="preserve"> </w:t>
      </w:r>
      <w:r>
        <w:rPr>
          <w:sz w:val="24"/>
          <w:szCs w:val="24"/>
        </w:rPr>
        <w:t>20</w:t>
      </w:r>
      <w:r>
        <w:rPr>
          <w:spacing w:val="-2"/>
          <w:sz w:val="24"/>
          <w:szCs w:val="24"/>
        </w:rPr>
        <w:t xml:space="preserve"> </w:t>
      </w:r>
      <w:r>
        <w:rPr>
          <w:rFonts w:hint="eastAsia"/>
          <w:spacing w:val="-2"/>
          <w:sz w:val="24"/>
          <w:szCs w:val="24"/>
        </w:rPr>
        <w:t>条，采用《建设工程施工合同</w:t>
      </w:r>
      <w:r>
        <w:rPr>
          <w:rFonts w:hint="eastAsia"/>
          <w:sz w:val="24"/>
          <w:szCs w:val="24"/>
        </w:rPr>
        <w:t>（</w:t>
      </w:r>
      <w:r>
        <w:rPr>
          <w:rFonts w:hint="eastAsia"/>
          <w:spacing w:val="-8"/>
          <w:sz w:val="24"/>
          <w:szCs w:val="24"/>
        </w:rPr>
        <w:t>示范</w:t>
      </w:r>
      <w:r>
        <w:rPr>
          <w:rFonts w:hint="eastAsia"/>
          <w:sz w:val="24"/>
          <w:szCs w:val="24"/>
        </w:rPr>
        <w:t>文本</w:t>
      </w:r>
      <w:r>
        <w:rPr>
          <w:rFonts w:hint="eastAsia"/>
          <w:spacing w:val="-152"/>
          <w:sz w:val="24"/>
          <w:szCs w:val="24"/>
        </w:rPr>
        <w:t>）》</w:t>
      </w:r>
      <w:r>
        <w:rPr>
          <w:rFonts w:hint="eastAsia"/>
          <w:sz w:val="24"/>
          <w:szCs w:val="24"/>
        </w:rPr>
        <w:t>（</w:t>
      </w:r>
      <w:r>
        <w:rPr>
          <w:sz w:val="24"/>
          <w:szCs w:val="24"/>
        </w:rPr>
        <w:t>GF-2017-0201</w:t>
      </w:r>
      <w:r>
        <w:rPr>
          <w:rFonts w:hint="eastAsia"/>
          <w:sz w:val="24"/>
          <w:szCs w:val="24"/>
        </w:rPr>
        <w:t>）</w:t>
      </w:r>
      <w:r>
        <w:rPr>
          <w:rFonts w:hint="eastAsia"/>
          <w:spacing w:val="-16"/>
          <w:sz w:val="24"/>
          <w:szCs w:val="24"/>
        </w:rPr>
        <w:t>的“通用合同条款”。</w:t>
      </w:r>
    </w:p>
    <w:p>
      <w:pPr>
        <w:spacing w:line="360" w:lineRule="auto"/>
        <w:rPr>
          <w:sz w:val="24"/>
          <w:szCs w:val="24"/>
        </w:rPr>
      </w:pPr>
      <w:r>
        <w:rPr>
          <w:rFonts w:hint="eastAsia"/>
          <w:sz w:val="24"/>
          <w:szCs w:val="24"/>
        </w:rPr>
        <w:t>（三）专用合同条款</w:t>
      </w:r>
    </w:p>
    <w:p>
      <w:pPr>
        <w:spacing w:line="360" w:lineRule="auto"/>
        <w:ind w:firstLine="599"/>
        <w:jc w:val="both"/>
        <w:rPr>
          <w:sz w:val="24"/>
          <w:szCs w:val="24"/>
        </w:rPr>
      </w:pPr>
      <w:r>
        <w:rPr>
          <w:rFonts w:hint="eastAsia"/>
          <w:sz w:val="24"/>
          <w:szCs w:val="24"/>
        </w:rPr>
        <w:t>专用合同条款共计</w:t>
      </w:r>
      <w:r>
        <w:rPr>
          <w:sz w:val="24"/>
          <w:szCs w:val="24"/>
        </w:rPr>
        <w:t xml:space="preserve"> 20 </w:t>
      </w:r>
      <w:r>
        <w:rPr>
          <w:rFonts w:hint="eastAsia"/>
          <w:sz w:val="24"/>
          <w:szCs w:val="24"/>
        </w:rPr>
        <w:t>条，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pStyle w:val="58"/>
        <w:tabs>
          <w:tab w:val="left" w:pos="1450"/>
        </w:tabs>
        <w:spacing w:line="360" w:lineRule="auto"/>
        <w:ind w:left="0" w:firstLine="512" w:firstLineChars="200"/>
        <w:rPr>
          <w:sz w:val="24"/>
          <w:szCs w:val="24"/>
        </w:rPr>
      </w:pPr>
      <w:r>
        <w:rPr>
          <w:spacing w:val="8"/>
          <w:sz w:val="24"/>
          <w:szCs w:val="24"/>
          <w:lang w:val="en-US"/>
        </w:rPr>
        <w:t>1.</w:t>
      </w:r>
      <w:r>
        <w:rPr>
          <w:rFonts w:hint="eastAsia"/>
          <w:spacing w:val="8"/>
          <w:sz w:val="24"/>
          <w:szCs w:val="24"/>
        </w:rPr>
        <w:t>专用合同条款的编号应与相应的通用合同条款的编号一致；</w:t>
      </w:r>
    </w:p>
    <w:p>
      <w:pPr>
        <w:pStyle w:val="58"/>
        <w:tabs>
          <w:tab w:val="left" w:pos="1440"/>
        </w:tabs>
        <w:spacing w:line="360" w:lineRule="auto"/>
        <w:ind w:left="0" w:firstLine="472" w:firstLineChars="200"/>
        <w:rPr>
          <w:sz w:val="24"/>
          <w:szCs w:val="24"/>
        </w:rPr>
      </w:pPr>
      <w:r>
        <w:rPr>
          <w:spacing w:val="-2"/>
          <w:sz w:val="24"/>
          <w:szCs w:val="24"/>
          <w:lang w:val="en-US"/>
        </w:rPr>
        <w:t>2.</w:t>
      </w:r>
      <w:r>
        <w:rPr>
          <w:rFonts w:hint="eastAsia"/>
          <w:spacing w:val="-2"/>
          <w:sz w:val="24"/>
          <w:szCs w:val="24"/>
        </w:rPr>
        <w:t>合同当事人可以通过对专用合同条款的修改，满足具体建</w:t>
      </w:r>
      <w:r>
        <w:rPr>
          <w:rFonts w:hint="eastAsia"/>
          <w:sz w:val="24"/>
          <w:szCs w:val="24"/>
        </w:rPr>
        <w:t>设工程的特殊要求，避免直接修改通用合同条款；</w:t>
      </w:r>
    </w:p>
    <w:p>
      <w:pPr>
        <w:pStyle w:val="58"/>
        <w:tabs>
          <w:tab w:val="left" w:pos="1440"/>
        </w:tabs>
        <w:spacing w:line="360" w:lineRule="auto"/>
        <w:ind w:left="0" w:firstLine="472" w:firstLineChars="200"/>
        <w:jc w:val="both"/>
        <w:rPr>
          <w:sz w:val="24"/>
          <w:szCs w:val="24"/>
        </w:rPr>
      </w:pPr>
      <w:r>
        <w:rPr>
          <w:spacing w:val="-2"/>
          <w:sz w:val="24"/>
          <w:szCs w:val="24"/>
          <w:lang w:val="en-US"/>
        </w:rPr>
        <w:t>3.</w:t>
      </w:r>
      <w:r>
        <w:rPr>
          <w:rFonts w:hint="eastAsia"/>
          <w:spacing w:val="-2"/>
          <w:sz w:val="24"/>
          <w:szCs w:val="24"/>
        </w:rPr>
        <w:t>在专用合同条款中有横道线的地方，合同当事人可针对相</w:t>
      </w:r>
      <w:r>
        <w:rPr>
          <w:rFonts w:hint="eastAsia"/>
          <w:spacing w:val="-4"/>
          <w:sz w:val="24"/>
          <w:szCs w:val="24"/>
        </w:rPr>
        <w:t>应的通用合同条款进行细化、完善、补充、修改或另行约定；如</w:t>
      </w:r>
      <w:r>
        <w:rPr>
          <w:rFonts w:hint="eastAsia"/>
          <w:spacing w:val="-14"/>
          <w:sz w:val="24"/>
          <w:szCs w:val="24"/>
        </w:rPr>
        <w:t>无细化、完善、补充、修改或另行约定，则填写“无”或划“</w:t>
      </w:r>
      <w:r>
        <w:rPr>
          <w:spacing w:val="1"/>
          <w:sz w:val="24"/>
          <w:szCs w:val="24"/>
        </w:rPr>
        <w:t>/</w:t>
      </w:r>
      <w:r>
        <w:rPr>
          <w:rFonts w:hint="eastAsia"/>
          <w:spacing w:val="-158"/>
          <w:sz w:val="24"/>
          <w:szCs w:val="24"/>
        </w:rPr>
        <w:t>”。</w:t>
      </w:r>
    </w:p>
    <w:p>
      <w:pPr>
        <w:spacing w:line="360" w:lineRule="auto"/>
        <w:rPr>
          <w:sz w:val="24"/>
          <w:szCs w:val="24"/>
        </w:rPr>
      </w:pPr>
      <w:r>
        <w:rPr>
          <w:rFonts w:hint="eastAsia"/>
          <w:sz w:val="24"/>
          <w:szCs w:val="24"/>
        </w:rPr>
        <w:t>二、《合同示范文本》的性质和适用范围</w:t>
      </w:r>
    </w:p>
    <w:p>
      <w:pPr>
        <w:spacing w:line="360" w:lineRule="auto"/>
        <w:ind w:firstLine="480" w:firstLineChars="200"/>
        <w:jc w:val="both"/>
        <w:rPr>
          <w:sz w:val="24"/>
          <w:szCs w:val="24"/>
        </w:rPr>
      </w:pPr>
      <w:r>
        <w:rPr>
          <w:rFonts w:hint="eastAsia"/>
          <w:sz w:val="24"/>
          <w:szCs w:val="24"/>
        </w:rPr>
        <w:t>《合同示范文本》为非强制性使用文本。《合同示范文本》适用于园林绿化工程的施工承发包活动</w:t>
      </w:r>
      <w:r>
        <w:rPr>
          <w:sz w:val="24"/>
          <w:szCs w:val="24"/>
        </w:rPr>
        <w:t>,</w:t>
      </w:r>
      <w:r>
        <w:rPr>
          <w:rFonts w:hint="eastAsia"/>
          <w:sz w:val="24"/>
          <w:szCs w:val="24"/>
        </w:rPr>
        <w:t>合同当事人可结合园林绿化工程具体情况，参照本合同示范文本订立合同，并按照法律法规规定和合同约定承担相应的法律责任及合同权利义务。</w:t>
      </w:r>
    </w:p>
    <w:p>
      <w:pPr>
        <w:spacing w:line="360" w:lineRule="auto"/>
        <w:ind w:firstLine="599"/>
        <w:rPr>
          <w:sz w:val="24"/>
          <w:szCs w:val="24"/>
        </w:rPr>
      </w:pPr>
      <w:r>
        <w:rPr>
          <w:rFonts w:hint="eastAsia"/>
          <w:sz w:val="24"/>
          <w:szCs w:val="24"/>
        </w:rPr>
        <w:t>《合同示范文本》中引用的规范、标准中，未备注编制年号的，均采用现行最新版本。</w:t>
      </w:r>
    </w:p>
    <w:p>
      <w:pPr>
        <w:spacing w:line="360" w:lineRule="auto"/>
        <w:rPr>
          <w:sz w:val="24"/>
          <w:szCs w:val="24"/>
        </w:rPr>
        <w:sectPr>
          <w:footerReference r:id="rId16" w:type="default"/>
          <w:pgSz w:w="11910" w:h="16840"/>
          <w:pgMar w:top="1580" w:right="620" w:bottom="1600" w:left="1220" w:header="0" w:footer="1410" w:gutter="0"/>
          <w:cols w:space="720" w:num="1"/>
        </w:sectPr>
      </w:pPr>
    </w:p>
    <w:p>
      <w:pPr>
        <w:spacing w:before="607" w:line="360" w:lineRule="auto"/>
        <w:ind w:left="536" w:right="598"/>
        <w:jc w:val="center"/>
        <w:rPr>
          <w:b/>
          <w:sz w:val="44"/>
          <w:szCs w:val="44"/>
        </w:rPr>
      </w:pPr>
      <w:r>
        <w:rPr>
          <w:rFonts w:hint="eastAsia"/>
          <w:b/>
          <w:sz w:val="44"/>
          <w:szCs w:val="44"/>
        </w:rPr>
        <w:t>第一部分</w:t>
      </w:r>
      <w:r>
        <w:rPr>
          <w:b/>
          <w:sz w:val="44"/>
          <w:szCs w:val="44"/>
        </w:rPr>
        <w:t xml:space="preserve"> </w:t>
      </w:r>
      <w:r>
        <w:rPr>
          <w:rFonts w:hint="eastAsia"/>
          <w:b/>
          <w:sz w:val="44"/>
          <w:szCs w:val="44"/>
        </w:rPr>
        <w:t>合同协议书</w:t>
      </w:r>
    </w:p>
    <w:p>
      <w:pPr>
        <w:tabs>
          <w:tab w:val="left" w:pos="9001"/>
        </w:tabs>
        <w:spacing w:line="360" w:lineRule="auto"/>
        <w:rPr>
          <w:sz w:val="24"/>
          <w:szCs w:val="24"/>
        </w:rPr>
      </w:pPr>
      <w:r>
        <w:rPr>
          <w:rFonts w:hint="eastAsia"/>
          <w:sz w:val="24"/>
          <w:szCs w:val="24"/>
        </w:rPr>
        <w:t>发包人（全</w:t>
      </w:r>
      <w:r>
        <w:rPr>
          <w:rFonts w:hint="eastAsia"/>
          <w:spacing w:val="2"/>
          <w:sz w:val="24"/>
          <w:szCs w:val="24"/>
        </w:rPr>
        <w:t>称</w:t>
      </w:r>
      <w:r>
        <w:rPr>
          <w:rFonts w:hint="eastAsia"/>
          <w:spacing w:val="-152"/>
          <w:sz w:val="24"/>
          <w:szCs w:val="24"/>
        </w:rPr>
        <w:t>）</w:t>
      </w:r>
      <w:r>
        <w:rPr>
          <w:rFonts w:hint="eastAsia"/>
          <w:spacing w:val="3"/>
          <w:sz w:val="24"/>
          <w:szCs w:val="24"/>
        </w:rPr>
        <w:t>：</w:t>
      </w:r>
      <w:r>
        <w:rPr>
          <w:sz w:val="24"/>
          <w:szCs w:val="24"/>
          <w:u w:val="single"/>
        </w:rPr>
        <w:tab/>
      </w:r>
    </w:p>
    <w:p>
      <w:pPr>
        <w:tabs>
          <w:tab w:val="left" w:pos="9001"/>
        </w:tabs>
        <w:spacing w:line="360" w:lineRule="auto"/>
        <w:rPr>
          <w:sz w:val="24"/>
          <w:szCs w:val="24"/>
        </w:rPr>
      </w:pPr>
      <w:r>
        <w:rPr>
          <w:rFonts w:hint="eastAsia"/>
          <w:sz w:val="24"/>
          <w:szCs w:val="24"/>
        </w:rPr>
        <w:t>承包人（全</w:t>
      </w:r>
      <w:r>
        <w:rPr>
          <w:rFonts w:hint="eastAsia"/>
          <w:spacing w:val="2"/>
          <w:sz w:val="24"/>
          <w:szCs w:val="24"/>
        </w:rPr>
        <w:t>称</w:t>
      </w:r>
      <w:r>
        <w:rPr>
          <w:rFonts w:hint="eastAsia"/>
          <w:spacing w:val="-152"/>
          <w:sz w:val="24"/>
          <w:szCs w:val="24"/>
        </w:rPr>
        <w:t>）</w:t>
      </w:r>
      <w:r>
        <w:rPr>
          <w:rFonts w:hint="eastAsia"/>
          <w:spacing w:val="3"/>
          <w:sz w:val="24"/>
          <w:szCs w:val="24"/>
        </w:rPr>
        <w:t>：</w:t>
      </w:r>
      <w:r>
        <w:rPr>
          <w:sz w:val="24"/>
          <w:szCs w:val="24"/>
          <w:u w:val="single"/>
        </w:rPr>
        <w:tab/>
      </w:r>
    </w:p>
    <w:p>
      <w:pPr>
        <w:tabs>
          <w:tab w:val="left" w:pos="4135"/>
        </w:tabs>
        <w:spacing w:line="360" w:lineRule="auto"/>
        <w:ind w:firstLine="599"/>
        <w:rPr>
          <w:sz w:val="24"/>
          <w:szCs w:val="24"/>
        </w:rPr>
      </w:pPr>
      <w:r>
        <w:rPr>
          <w:rFonts w:hint="eastAsia"/>
          <w:sz w:val="24"/>
          <w:szCs w:val="24"/>
        </w:rPr>
        <w:t>根据《中华人民共和国民法典</w:t>
      </w:r>
      <w:r>
        <w:rPr>
          <w:rFonts w:hint="eastAsia"/>
          <w:spacing w:val="-152"/>
          <w:sz w:val="24"/>
          <w:szCs w:val="24"/>
        </w:rPr>
        <w:t>》</w:t>
      </w:r>
      <w:r>
        <w:rPr>
          <w:rFonts w:hint="eastAsia"/>
          <w:sz w:val="24"/>
          <w:szCs w:val="24"/>
        </w:rPr>
        <w:t>《中华人民共和国建筑法》及有关法律规定</w:t>
      </w:r>
      <w:r>
        <w:rPr>
          <w:rFonts w:hint="eastAsia"/>
          <w:spacing w:val="-3"/>
          <w:sz w:val="24"/>
          <w:szCs w:val="24"/>
        </w:rPr>
        <w:t>，</w:t>
      </w:r>
      <w:r>
        <w:rPr>
          <w:rFonts w:hint="eastAsia"/>
          <w:sz w:val="24"/>
          <w:szCs w:val="24"/>
        </w:rPr>
        <w:t>遵循平等</w:t>
      </w:r>
      <w:r>
        <w:rPr>
          <w:rFonts w:hint="eastAsia"/>
          <w:spacing w:val="-3"/>
          <w:sz w:val="24"/>
          <w:szCs w:val="24"/>
        </w:rPr>
        <w:t>、</w:t>
      </w:r>
      <w:r>
        <w:rPr>
          <w:rFonts w:hint="eastAsia"/>
          <w:sz w:val="24"/>
          <w:szCs w:val="24"/>
        </w:rPr>
        <w:t>自愿</w:t>
      </w:r>
      <w:r>
        <w:rPr>
          <w:rFonts w:hint="eastAsia"/>
          <w:spacing w:val="-3"/>
          <w:sz w:val="24"/>
          <w:szCs w:val="24"/>
        </w:rPr>
        <w:t>、</w:t>
      </w:r>
      <w:r>
        <w:rPr>
          <w:rFonts w:hint="eastAsia"/>
          <w:sz w:val="24"/>
          <w:szCs w:val="24"/>
        </w:rPr>
        <w:t>公平和诚实信用的原则</w:t>
      </w:r>
      <w:r>
        <w:rPr>
          <w:rFonts w:hint="eastAsia"/>
          <w:spacing w:val="-3"/>
          <w:sz w:val="24"/>
          <w:szCs w:val="24"/>
        </w:rPr>
        <w:t>，</w:t>
      </w:r>
      <w:r>
        <w:rPr>
          <w:rFonts w:hint="eastAsia"/>
          <w:spacing w:val="-11"/>
          <w:sz w:val="24"/>
          <w:szCs w:val="24"/>
        </w:rPr>
        <w:t>双</w:t>
      </w:r>
      <w:r>
        <w:rPr>
          <w:rFonts w:hint="eastAsia"/>
          <w:sz w:val="24"/>
          <w:szCs w:val="24"/>
        </w:rPr>
        <w:t>方就</w:t>
      </w:r>
      <w:r>
        <w:rPr>
          <w:sz w:val="24"/>
          <w:szCs w:val="24"/>
          <w:u w:val="single"/>
        </w:rPr>
        <w:tab/>
      </w:r>
      <w:r>
        <w:rPr>
          <w:rFonts w:hint="eastAsia"/>
          <w:sz w:val="24"/>
          <w:szCs w:val="24"/>
        </w:rPr>
        <w:t>工程施工及有关事项协商一致</w:t>
      </w:r>
      <w:r>
        <w:rPr>
          <w:rFonts w:hint="eastAsia"/>
          <w:spacing w:val="-8"/>
          <w:sz w:val="24"/>
          <w:szCs w:val="24"/>
        </w:rPr>
        <w:t>，</w:t>
      </w:r>
      <w:r>
        <w:rPr>
          <w:rFonts w:hint="eastAsia"/>
          <w:sz w:val="24"/>
          <w:szCs w:val="24"/>
        </w:rPr>
        <w:t>共</w:t>
      </w:r>
      <w:r>
        <w:rPr>
          <w:rFonts w:hint="eastAsia"/>
          <w:spacing w:val="-16"/>
          <w:sz w:val="24"/>
          <w:szCs w:val="24"/>
        </w:rPr>
        <w:t>同</w:t>
      </w:r>
      <w:r>
        <w:rPr>
          <w:rFonts w:hint="eastAsia"/>
          <w:sz w:val="24"/>
          <w:szCs w:val="24"/>
        </w:rPr>
        <w:t>达成如下协议：</w:t>
      </w:r>
    </w:p>
    <w:p>
      <w:pPr>
        <w:pStyle w:val="2"/>
        <w:spacing w:line="360" w:lineRule="auto"/>
        <w:ind w:left="0"/>
        <w:rPr>
          <w:b/>
          <w:bCs/>
          <w:sz w:val="28"/>
          <w:szCs w:val="28"/>
        </w:rPr>
      </w:pPr>
      <w:r>
        <w:rPr>
          <w:rFonts w:hint="eastAsia"/>
          <w:b/>
          <w:bCs/>
          <w:sz w:val="28"/>
          <w:szCs w:val="28"/>
        </w:rPr>
        <w:t>一、工程概况</w:t>
      </w:r>
    </w:p>
    <w:p>
      <w:pPr>
        <w:pStyle w:val="58"/>
        <w:tabs>
          <w:tab w:val="left" w:pos="1428"/>
          <w:tab w:val="left" w:pos="8782"/>
        </w:tabs>
        <w:spacing w:line="360" w:lineRule="auto"/>
        <w:ind w:left="0" w:firstLine="480" w:firstLineChars="200"/>
        <w:rPr>
          <w:sz w:val="24"/>
          <w:szCs w:val="24"/>
        </w:rPr>
      </w:pPr>
      <w:r>
        <w:rPr>
          <w:sz w:val="24"/>
          <w:szCs w:val="24"/>
          <w:lang w:val="en-US"/>
        </w:rPr>
        <w:t>1</w:t>
      </w:r>
      <w:r>
        <w:rPr>
          <w:rFonts w:hint="eastAsia"/>
          <w:sz w:val="24"/>
          <w:szCs w:val="24"/>
          <w:lang w:val="en-US"/>
        </w:rPr>
        <w:t>、</w:t>
      </w:r>
      <w:r>
        <w:rPr>
          <w:rFonts w:hint="eastAsia"/>
          <w:sz w:val="24"/>
          <w:szCs w:val="24"/>
        </w:rPr>
        <w:t>工程名称：</w:t>
      </w:r>
      <w:r>
        <w:rPr>
          <w:sz w:val="24"/>
          <w:szCs w:val="24"/>
          <w:u w:val="single"/>
          <w:lang w:val="en-US"/>
        </w:rPr>
        <w:t xml:space="preserve">                           </w:t>
      </w:r>
      <w:r>
        <w:rPr>
          <w:rFonts w:hint="eastAsia"/>
          <w:sz w:val="24"/>
          <w:szCs w:val="24"/>
        </w:rPr>
        <w:t>。</w:t>
      </w:r>
    </w:p>
    <w:p>
      <w:pPr>
        <w:pStyle w:val="58"/>
        <w:tabs>
          <w:tab w:val="left" w:pos="1428"/>
          <w:tab w:val="left" w:pos="8782"/>
        </w:tabs>
        <w:spacing w:line="360" w:lineRule="auto"/>
        <w:ind w:left="0" w:firstLine="480" w:firstLineChars="200"/>
        <w:rPr>
          <w:sz w:val="24"/>
          <w:szCs w:val="24"/>
        </w:rPr>
      </w:pPr>
      <w:r>
        <w:rPr>
          <w:sz w:val="24"/>
          <w:szCs w:val="24"/>
          <w:lang w:val="en-US"/>
        </w:rPr>
        <w:t>2</w:t>
      </w:r>
      <w:r>
        <w:rPr>
          <w:rFonts w:hint="eastAsia"/>
          <w:sz w:val="24"/>
          <w:szCs w:val="24"/>
          <w:lang w:val="en-US"/>
        </w:rPr>
        <w:t>、</w:t>
      </w:r>
      <w:r>
        <w:rPr>
          <w:rFonts w:hint="eastAsia"/>
          <w:sz w:val="24"/>
          <w:szCs w:val="24"/>
        </w:rPr>
        <w:t>工程地点：</w:t>
      </w:r>
      <w:r>
        <w:rPr>
          <w:sz w:val="24"/>
          <w:szCs w:val="24"/>
          <w:u w:val="single"/>
          <w:lang w:val="en-US"/>
        </w:rPr>
        <w:t xml:space="preserve">                           </w:t>
      </w:r>
      <w:r>
        <w:rPr>
          <w:rFonts w:hint="eastAsia"/>
          <w:sz w:val="24"/>
          <w:szCs w:val="24"/>
          <w:lang w:val="en-US"/>
        </w:rPr>
        <w:t>。</w:t>
      </w:r>
    </w:p>
    <w:p>
      <w:pPr>
        <w:pStyle w:val="58"/>
        <w:tabs>
          <w:tab w:val="left" w:pos="1428"/>
          <w:tab w:val="left" w:pos="8782"/>
        </w:tabs>
        <w:spacing w:line="360" w:lineRule="auto"/>
        <w:ind w:left="0" w:firstLine="480" w:firstLineChars="200"/>
        <w:rPr>
          <w:sz w:val="24"/>
          <w:szCs w:val="24"/>
        </w:rPr>
      </w:pPr>
      <w:r>
        <w:rPr>
          <w:sz w:val="24"/>
          <w:szCs w:val="24"/>
          <w:lang w:val="en-US"/>
        </w:rPr>
        <w:t>3</w:t>
      </w:r>
      <w:r>
        <w:rPr>
          <w:rFonts w:hint="eastAsia"/>
          <w:sz w:val="24"/>
          <w:szCs w:val="24"/>
          <w:lang w:val="en-US"/>
        </w:rPr>
        <w:t>、</w:t>
      </w:r>
      <w:r>
        <w:rPr>
          <w:rFonts w:hint="eastAsia"/>
          <w:sz w:val="24"/>
          <w:szCs w:val="24"/>
        </w:rPr>
        <w:t>工程立项批准文号：</w:t>
      </w:r>
      <w:r>
        <w:rPr>
          <w:sz w:val="24"/>
          <w:szCs w:val="24"/>
          <w:u w:val="single"/>
          <w:lang w:val="en-US"/>
        </w:rPr>
        <w:t xml:space="preserve">                   </w:t>
      </w:r>
      <w:r>
        <w:rPr>
          <w:rFonts w:hint="eastAsia"/>
          <w:sz w:val="24"/>
          <w:szCs w:val="24"/>
        </w:rPr>
        <w:t>。</w:t>
      </w:r>
    </w:p>
    <w:p>
      <w:pPr>
        <w:pStyle w:val="58"/>
        <w:tabs>
          <w:tab w:val="left" w:pos="1428"/>
          <w:tab w:val="left" w:pos="8782"/>
        </w:tabs>
        <w:spacing w:line="360" w:lineRule="auto"/>
        <w:ind w:left="0" w:firstLine="480" w:firstLineChars="200"/>
        <w:rPr>
          <w:sz w:val="24"/>
          <w:szCs w:val="24"/>
        </w:rPr>
      </w:pPr>
      <w:r>
        <w:rPr>
          <w:sz w:val="24"/>
          <w:szCs w:val="24"/>
          <w:lang w:val="en-US"/>
        </w:rPr>
        <w:t>4</w:t>
      </w:r>
      <w:r>
        <w:rPr>
          <w:rFonts w:hint="eastAsia"/>
          <w:sz w:val="24"/>
          <w:szCs w:val="24"/>
          <w:lang w:val="en-US"/>
        </w:rPr>
        <w:t>、</w:t>
      </w:r>
      <w:r>
        <w:rPr>
          <w:rFonts w:hint="eastAsia"/>
          <w:sz w:val="24"/>
          <w:szCs w:val="24"/>
        </w:rPr>
        <w:t>资金来源：</w:t>
      </w:r>
      <w:r>
        <w:rPr>
          <w:sz w:val="24"/>
          <w:szCs w:val="24"/>
          <w:u w:val="single"/>
          <w:lang w:val="en-US"/>
        </w:rPr>
        <w:t xml:space="preserve">                           </w:t>
      </w:r>
      <w:r>
        <w:rPr>
          <w:rFonts w:hint="eastAsia"/>
          <w:sz w:val="24"/>
          <w:szCs w:val="24"/>
        </w:rPr>
        <w:t>。</w:t>
      </w:r>
    </w:p>
    <w:p>
      <w:pPr>
        <w:pStyle w:val="58"/>
        <w:tabs>
          <w:tab w:val="left" w:pos="1428"/>
          <w:tab w:val="left" w:pos="8782"/>
        </w:tabs>
        <w:spacing w:line="360" w:lineRule="auto"/>
        <w:ind w:left="0" w:firstLine="480" w:firstLineChars="200"/>
        <w:rPr>
          <w:sz w:val="24"/>
          <w:szCs w:val="24"/>
        </w:rPr>
      </w:pPr>
      <w:r>
        <w:rPr>
          <w:sz w:val="24"/>
          <w:szCs w:val="24"/>
          <w:lang w:val="en-US"/>
        </w:rPr>
        <w:t>5</w:t>
      </w:r>
      <w:r>
        <w:rPr>
          <w:rFonts w:hint="eastAsia"/>
          <w:sz w:val="24"/>
          <w:szCs w:val="24"/>
          <w:lang w:val="en-US"/>
        </w:rPr>
        <w:t>、</w:t>
      </w:r>
      <w:r>
        <w:rPr>
          <w:rFonts w:hint="eastAsia"/>
          <w:sz w:val="24"/>
          <w:szCs w:val="24"/>
        </w:rPr>
        <w:t>工程规模：</w:t>
      </w:r>
      <w:r>
        <w:rPr>
          <w:sz w:val="24"/>
          <w:szCs w:val="24"/>
          <w:u w:val="single"/>
          <w:lang w:val="en-US"/>
        </w:rPr>
        <w:t xml:space="preserve">                           </w:t>
      </w:r>
      <w:r>
        <w:rPr>
          <w:rFonts w:hint="eastAsia"/>
          <w:sz w:val="24"/>
          <w:szCs w:val="24"/>
        </w:rPr>
        <w:t>。</w:t>
      </w:r>
    </w:p>
    <w:p>
      <w:pPr>
        <w:spacing w:line="360" w:lineRule="auto"/>
        <w:ind w:firstLine="448" w:firstLineChars="200"/>
        <w:rPr>
          <w:sz w:val="24"/>
          <w:szCs w:val="24"/>
        </w:rPr>
      </w:pPr>
      <w:r>
        <w:rPr>
          <w:rFonts w:hint="eastAsia"/>
          <w:spacing w:val="-8"/>
          <w:sz w:val="24"/>
          <w:szCs w:val="24"/>
        </w:rPr>
        <w:t>群体工程应附《承包人承揽工程项目一览表》</w:t>
      </w:r>
      <w:r>
        <w:rPr>
          <w:rFonts w:hint="eastAsia"/>
          <w:sz w:val="24"/>
          <w:szCs w:val="24"/>
        </w:rPr>
        <w:t>（</w:t>
      </w:r>
      <w:r>
        <w:rPr>
          <w:rFonts w:hint="eastAsia"/>
          <w:spacing w:val="-25"/>
          <w:sz w:val="24"/>
          <w:szCs w:val="24"/>
        </w:rPr>
        <w:t>附件</w:t>
      </w:r>
      <w:r>
        <w:rPr>
          <w:spacing w:val="-25"/>
          <w:sz w:val="24"/>
          <w:szCs w:val="24"/>
        </w:rPr>
        <w:t xml:space="preserve"> </w:t>
      </w:r>
      <w:r>
        <w:rPr>
          <w:spacing w:val="1"/>
          <w:sz w:val="24"/>
          <w:szCs w:val="24"/>
        </w:rPr>
        <w:t>1</w:t>
      </w:r>
      <w:r>
        <w:rPr>
          <w:rFonts w:hint="eastAsia"/>
          <w:spacing w:val="-152"/>
          <w:sz w:val="24"/>
          <w:szCs w:val="24"/>
        </w:rPr>
        <w:t>）</w:t>
      </w:r>
    </w:p>
    <w:p>
      <w:pPr>
        <w:pStyle w:val="58"/>
        <w:tabs>
          <w:tab w:val="left" w:pos="1428"/>
          <w:tab w:val="left" w:pos="8782"/>
        </w:tabs>
        <w:spacing w:line="360" w:lineRule="auto"/>
        <w:ind w:left="0" w:firstLine="480" w:firstLineChars="200"/>
        <w:rPr>
          <w:sz w:val="30"/>
        </w:rPr>
      </w:pPr>
      <w:r>
        <w:rPr>
          <w:sz w:val="24"/>
          <w:szCs w:val="24"/>
          <w:lang w:val="en-US"/>
        </w:rPr>
        <w:t>6</w:t>
      </w:r>
      <w:r>
        <w:rPr>
          <w:rFonts w:hint="eastAsia"/>
          <w:sz w:val="24"/>
          <w:szCs w:val="24"/>
          <w:lang w:val="en-US"/>
        </w:rPr>
        <w:t>、</w:t>
      </w:r>
      <w:r>
        <w:rPr>
          <w:rFonts w:hint="eastAsia"/>
          <w:sz w:val="24"/>
          <w:szCs w:val="24"/>
        </w:rPr>
        <w:t>工程承包范围：</w:t>
      </w:r>
      <w:r>
        <w:rPr>
          <w:sz w:val="24"/>
          <w:szCs w:val="24"/>
          <w:u w:val="single"/>
          <w:lang w:val="en-US"/>
        </w:rPr>
        <w:t xml:space="preserve">                       </w:t>
      </w:r>
      <w:r>
        <w:rPr>
          <w:rFonts w:hint="eastAsia"/>
          <w:sz w:val="24"/>
          <w:szCs w:val="24"/>
        </w:rPr>
        <w:t>。</w:t>
      </w:r>
    </w:p>
    <w:p>
      <w:pPr>
        <w:pStyle w:val="2"/>
        <w:spacing w:before="124" w:line="360" w:lineRule="auto"/>
        <w:ind w:left="0" w:right="296"/>
        <w:jc w:val="both"/>
        <w:rPr>
          <w:b/>
          <w:bCs/>
          <w:sz w:val="28"/>
          <w:szCs w:val="28"/>
        </w:rPr>
      </w:pPr>
      <w:bookmarkStart w:id="64" w:name="_TOC_250031"/>
      <w:bookmarkEnd w:id="64"/>
      <w:r>
        <w:rPr>
          <w:rFonts w:hint="eastAsia"/>
          <w:b/>
          <w:bCs/>
          <w:sz w:val="28"/>
          <w:szCs w:val="28"/>
        </w:rPr>
        <w:t>二、合同工期</w:t>
      </w:r>
    </w:p>
    <w:p>
      <w:pPr>
        <w:tabs>
          <w:tab w:val="left" w:pos="4435"/>
          <w:tab w:val="left" w:pos="5335"/>
          <w:tab w:val="left" w:pos="6235"/>
        </w:tabs>
        <w:spacing w:line="360" w:lineRule="auto"/>
        <w:ind w:firstLine="480" w:firstLineChars="200"/>
        <w:rPr>
          <w:sz w:val="24"/>
          <w:szCs w:val="24"/>
        </w:rPr>
      </w:pPr>
      <w:r>
        <w:rPr>
          <w:rFonts w:hint="eastAsia"/>
          <w:sz w:val="24"/>
          <w:szCs w:val="24"/>
        </w:rPr>
        <w:t>计划开工日期</w:t>
      </w:r>
      <w:r>
        <w:rPr>
          <w:rFonts w:hint="eastAsia"/>
          <w:spacing w:val="3"/>
          <w:sz w:val="24"/>
          <w:szCs w:val="24"/>
        </w:rPr>
        <w:t>：</w:t>
      </w:r>
      <w:r>
        <w:rPr>
          <w:spacing w:val="3"/>
          <w:sz w:val="24"/>
          <w:szCs w:val="24"/>
          <w:u w:val="single"/>
        </w:rPr>
        <w:tab/>
      </w:r>
      <w:r>
        <w:rPr>
          <w:rFonts w:hint="eastAsia"/>
          <w:sz w:val="24"/>
          <w:szCs w:val="24"/>
        </w:rPr>
        <w:t>年</w:t>
      </w:r>
      <w:r>
        <w:rPr>
          <w:sz w:val="24"/>
          <w:szCs w:val="24"/>
          <w:u w:val="single"/>
        </w:rPr>
        <w:tab/>
      </w:r>
      <w:r>
        <w:rPr>
          <w:rFonts w:hint="eastAsia"/>
          <w:sz w:val="24"/>
          <w:szCs w:val="24"/>
        </w:rPr>
        <w:t>月</w:t>
      </w:r>
      <w:r>
        <w:rPr>
          <w:sz w:val="24"/>
          <w:szCs w:val="24"/>
          <w:u w:val="single"/>
        </w:rPr>
        <w:tab/>
      </w:r>
      <w:r>
        <w:rPr>
          <w:rFonts w:hint="eastAsia"/>
          <w:sz w:val="24"/>
          <w:szCs w:val="24"/>
        </w:rPr>
        <w:t>日。</w:t>
      </w:r>
    </w:p>
    <w:p>
      <w:pPr>
        <w:tabs>
          <w:tab w:val="left" w:pos="4435"/>
          <w:tab w:val="left" w:pos="5335"/>
          <w:tab w:val="left" w:pos="6235"/>
        </w:tabs>
        <w:spacing w:line="360" w:lineRule="auto"/>
        <w:ind w:firstLine="480" w:firstLineChars="200"/>
        <w:rPr>
          <w:sz w:val="24"/>
          <w:szCs w:val="24"/>
        </w:rPr>
      </w:pPr>
      <w:r>
        <w:rPr>
          <w:rFonts w:hint="eastAsia"/>
          <w:sz w:val="24"/>
          <w:szCs w:val="24"/>
        </w:rPr>
        <w:t>计划竣工日期</w:t>
      </w:r>
      <w:r>
        <w:rPr>
          <w:rFonts w:hint="eastAsia"/>
          <w:spacing w:val="3"/>
          <w:sz w:val="24"/>
          <w:szCs w:val="24"/>
        </w:rPr>
        <w:t>：</w:t>
      </w:r>
      <w:r>
        <w:rPr>
          <w:spacing w:val="3"/>
          <w:sz w:val="24"/>
          <w:szCs w:val="24"/>
          <w:u w:val="single"/>
        </w:rPr>
        <w:tab/>
      </w:r>
      <w:r>
        <w:rPr>
          <w:rFonts w:hint="eastAsia"/>
          <w:sz w:val="24"/>
          <w:szCs w:val="24"/>
        </w:rPr>
        <w:t>年</w:t>
      </w:r>
      <w:r>
        <w:rPr>
          <w:sz w:val="24"/>
          <w:szCs w:val="24"/>
          <w:u w:val="single"/>
        </w:rPr>
        <w:tab/>
      </w:r>
      <w:r>
        <w:rPr>
          <w:rFonts w:hint="eastAsia"/>
          <w:sz w:val="24"/>
          <w:szCs w:val="24"/>
        </w:rPr>
        <w:t>月</w:t>
      </w:r>
      <w:r>
        <w:rPr>
          <w:sz w:val="24"/>
          <w:szCs w:val="24"/>
          <w:u w:val="single"/>
        </w:rPr>
        <w:tab/>
      </w:r>
      <w:r>
        <w:rPr>
          <w:rFonts w:hint="eastAsia"/>
          <w:sz w:val="24"/>
          <w:szCs w:val="24"/>
        </w:rPr>
        <w:t>日。</w:t>
      </w:r>
    </w:p>
    <w:p>
      <w:pPr>
        <w:spacing w:line="360" w:lineRule="auto"/>
        <w:ind w:firstLine="480" w:firstLineChars="200"/>
        <w:rPr>
          <w:sz w:val="24"/>
          <w:szCs w:val="24"/>
          <w:u w:val="single"/>
          <w:lang w:val="en-US"/>
        </w:rPr>
      </w:pPr>
      <w:r>
        <w:rPr>
          <w:rFonts w:hint="eastAsia"/>
          <w:sz w:val="24"/>
          <w:szCs w:val="24"/>
        </w:rPr>
        <w:t>工期总日历天数：</w:t>
      </w:r>
      <w:r>
        <w:rPr>
          <w:sz w:val="24"/>
          <w:szCs w:val="24"/>
          <w:u w:val="single"/>
        </w:rPr>
        <w:tab/>
      </w:r>
      <w:r>
        <w:rPr>
          <w:rFonts w:hint="eastAsia"/>
          <w:sz w:val="24"/>
          <w:szCs w:val="24"/>
        </w:rPr>
        <w:t>天</w:t>
      </w:r>
      <w:r>
        <w:rPr>
          <w:rFonts w:hint="eastAsia"/>
          <w:spacing w:val="-3"/>
          <w:sz w:val="24"/>
          <w:szCs w:val="24"/>
        </w:rPr>
        <w:t>，</w:t>
      </w:r>
      <w:r>
        <w:rPr>
          <w:rFonts w:hint="eastAsia"/>
          <w:sz w:val="24"/>
          <w:szCs w:val="24"/>
        </w:rPr>
        <w:t>阶段性工期：</w:t>
      </w:r>
      <w:r>
        <w:rPr>
          <w:sz w:val="24"/>
          <w:szCs w:val="24"/>
          <w:u w:val="single"/>
        </w:rPr>
        <w:tab/>
      </w:r>
      <w:r>
        <w:rPr>
          <w:sz w:val="24"/>
          <w:szCs w:val="24"/>
          <w:u w:val="single"/>
          <w:lang w:val="en-US"/>
        </w:rPr>
        <w:t xml:space="preserve">            </w:t>
      </w:r>
    </w:p>
    <w:p>
      <w:pPr>
        <w:spacing w:line="360" w:lineRule="auto"/>
        <w:ind w:firstLine="480" w:firstLineChars="200"/>
        <w:rPr>
          <w:sz w:val="24"/>
          <w:szCs w:val="24"/>
        </w:rPr>
      </w:pPr>
      <w:r>
        <w:rPr>
          <w:rFonts w:hint="eastAsia"/>
          <w:sz w:val="24"/>
          <w:szCs w:val="24"/>
        </w:rPr>
        <w:t>工期总日历天数与根据前述计划开竣工日期计算的工期天数不一致的，以工期总日历天数为准。</w:t>
      </w:r>
    </w:p>
    <w:p>
      <w:pPr>
        <w:pStyle w:val="2"/>
        <w:spacing w:line="360" w:lineRule="auto"/>
        <w:ind w:left="0" w:right="296"/>
        <w:jc w:val="both"/>
        <w:rPr>
          <w:b/>
          <w:bCs/>
          <w:sz w:val="28"/>
          <w:szCs w:val="28"/>
        </w:rPr>
      </w:pPr>
      <w:bookmarkStart w:id="65" w:name="_TOC_250030"/>
      <w:bookmarkEnd w:id="65"/>
      <w:r>
        <w:rPr>
          <w:rFonts w:hint="eastAsia"/>
          <w:b/>
          <w:bCs/>
          <w:sz w:val="28"/>
          <w:szCs w:val="28"/>
        </w:rPr>
        <w:t>三、质量标准</w:t>
      </w:r>
    </w:p>
    <w:p>
      <w:pPr>
        <w:tabs>
          <w:tab w:val="left" w:pos="7052"/>
        </w:tabs>
        <w:spacing w:line="360" w:lineRule="auto"/>
        <w:ind w:firstLine="480" w:firstLineChars="200"/>
        <w:rPr>
          <w:sz w:val="24"/>
          <w:szCs w:val="24"/>
        </w:rPr>
      </w:pPr>
      <w:r>
        <w:rPr>
          <w:rFonts w:hint="eastAsia"/>
          <w:sz w:val="24"/>
          <w:szCs w:val="24"/>
        </w:rPr>
        <w:t>工程质量符</w:t>
      </w:r>
      <w:r>
        <w:rPr>
          <w:rFonts w:hint="eastAsia"/>
          <w:spacing w:val="3"/>
          <w:sz w:val="24"/>
          <w:szCs w:val="24"/>
        </w:rPr>
        <w:t>合</w:t>
      </w:r>
      <w:r>
        <w:rPr>
          <w:spacing w:val="3"/>
          <w:sz w:val="24"/>
          <w:szCs w:val="24"/>
          <w:u w:val="single"/>
        </w:rPr>
        <w:tab/>
      </w:r>
      <w:r>
        <w:rPr>
          <w:rFonts w:hint="eastAsia"/>
          <w:sz w:val="24"/>
          <w:szCs w:val="24"/>
        </w:rPr>
        <w:t>标准；</w:t>
      </w:r>
    </w:p>
    <w:p>
      <w:pPr>
        <w:tabs>
          <w:tab w:val="left" w:pos="5167"/>
          <w:tab w:val="left" w:pos="7877"/>
        </w:tabs>
        <w:spacing w:line="360" w:lineRule="auto"/>
        <w:ind w:firstLine="480" w:firstLineChars="200"/>
        <w:rPr>
          <w:sz w:val="30"/>
        </w:rPr>
      </w:pPr>
      <w:r>
        <w:rPr>
          <w:rFonts w:hint="eastAsia"/>
          <w:sz w:val="24"/>
          <w:szCs w:val="24"/>
        </w:rPr>
        <w:t>园林绿化养护质量符合</w:t>
      </w:r>
      <w:r>
        <w:rPr>
          <w:rFonts w:hint="eastAsia"/>
          <w:spacing w:val="-4"/>
          <w:sz w:val="24"/>
          <w:szCs w:val="24"/>
        </w:rPr>
        <w:t></w:t>
      </w:r>
      <w:r>
        <w:rPr>
          <w:rFonts w:hint="eastAsia"/>
          <w:sz w:val="24"/>
          <w:szCs w:val="24"/>
        </w:rPr>
        <w:t>《园林绿化养护标准</w:t>
      </w:r>
      <w:r>
        <w:rPr>
          <w:rFonts w:hint="eastAsia"/>
          <w:spacing w:val="-150"/>
          <w:sz w:val="24"/>
          <w:szCs w:val="24"/>
        </w:rPr>
        <w:t>》</w:t>
      </w:r>
      <w:r>
        <w:rPr>
          <w:rFonts w:hint="eastAsia"/>
          <w:sz w:val="24"/>
          <w:szCs w:val="24"/>
        </w:rPr>
        <w:t>（</w:t>
      </w:r>
      <w:r>
        <w:rPr>
          <w:sz w:val="24"/>
          <w:szCs w:val="24"/>
        </w:rPr>
        <w:t>CJJ/T287</w:t>
      </w:r>
      <w:r>
        <w:rPr>
          <w:rFonts w:hint="eastAsia"/>
          <w:sz w:val="24"/>
          <w:szCs w:val="24"/>
        </w:rPr>
        <w:t>）</w:t>
      </w:r>
      <w:r>
        <w:rPr>
          <w:sz w:val="24"/>
          <w:szCs w:val="24"/>
        </w:rPr>
        <w:t xml:space="preserve"> </w:t>
      </w:r>
      <w:r>
        <w:rPr>
          <w:rFonts w:hint="eastAsia"/>
          <w:sz w:val="24"/>
          <w:szCs w:val="24"/>
        </w:rPr>
        <w:t>或</w:t>
      </w:r>
      <w:r>
        <w:rPr>
          <w:rFonts w:ascii="Times New Roman" w:hAnsi="Times New Roman" w:cs="Times New Roman"/>
          <w:sz w:val="24"/>
          <w:szCs w:val="24"/>
          <w:u w:val="single"/>
        </w:rPr>
        <w:t></w:t>
      </w:r>
      <w:r>
        <w:rPr>
          <w:rFonts w:hint="eastAsia"/>
          <w:sz w:val="24"/>
          <w:szCs w:val="24"/>
          <w:u w:val="single"/>
        </w:rPr>
        <w:t>（</w:t>
      </w:r>
      <w:r>
        <w:rPr>
          <w:rFonts w:hint="eastAsia"/>
          <w:sz w:val="24"/>
          <w:szCs w:val="24"/>
        </w:rPr>
        <w:t>地方标准</w:t>
      </w:r>
      <w:r>
        <w:rPr>
          <w:rFonts w:hint="eastAsia"/>
          <w:spacing w:val="-137"/>
          <w:sz w:val="24"/>
          <w:szCs w:val="24"/>
        </w:rPr>
        <w:t>）</w:t>
      </w:r>
      <w:r>
        <w:rPr>
          <w:rFonts w:hint="eastAsia"/>
          <w:sz w:val="24"/>
          <w:szCs w:val="24"/>
        </w:rPr>
        <w:t>中</w:t>
      </w:r>
      <w:r>
        <w:rPr>
          <w:sz w:val="24"/>
          <w:szCs w:val="24"/>
          <w:u w:val="single"/>
        </w:rPr>
        <w:tab/>
      </w:r>
      <w:r>
        <w:rPr>
          <w:rFonts w:hint="eastAsia"/>
          <w:sz w:val="24"/>
          <w:szCs w:val="24"/>
        </w:rPr>
        <w:t>级标准</w:t>
      </w:r>
      <w:r>
        <w:rPr>
          <w:rFonts w:hint="eastAsia"/>
          <w:spacing w:val="-17"/>
          <w:sz w:val="24"/>
          <w:szCs w:val="24"/>
        </w:rPr>
        <w:t>。</w:t>
      </w:r>
    </w:p>
    <w:p>
      <w:pPr>
        <w:pStyle w:val="2"/>
        <w:spacing w:line="360" w:lineRule="auto"/>
        <w:ind w:left="0" w:right="398"/>
        <w:jc w:val="both"/>
        <w:rPr>
          <w:b/>
          <w:bCs/>
          <w:sz w:val="28"/>
          <w:szCs w:val="28"/>
        </w:rPr>
      </w:pPr>
      <w:bookmarkStart w:id="66" w:name="_TOC_250029"/>
      <w:bookmarkEnd w:id="66"/>
      <w:r>
        <w:rPr>
          <w:rFonts w:hint="eastAsia"/>
          <w:b/>
          <w:bCs/>
          <w:sz w:val="28"/>
          <w:szCs w:val="28"/>
        </w:rPr>
        <w:t>四、签约合同价与合同价格形式</w:t>
      </w:r>
    </w:p>
    <w:p>
      <w:pPr>
        <w:autoSpaceDE/>
        <w:autoSpaceDN/>
        <w:spacing w:line="360" w:lineRule="auto"/>
        <w:ind w:firstLine="480" w:firstLineChars="200"/>
        <w:rPr>
          <w:sz w:val="24"/>
          <w:szCs w:val="24"/>
        </w:rPr>
      </w:pPr>
      <w:r>
        <w:rPr>
          <w:sz w:val="24"/>
          <w:szCs w:val="24"/>
        </w:rPr>
        <w:t xml:space="preserve">1. </w:t>
      </w:r>
      <w:r>
        <w:rPr>
          <w:rFonts w:hint="eastAsia"/>
          <w:sz w:val="24"/>
          <w:szCs w:val="24"/>
        </w:rPr>
        <w:t>签约合同价（含税）为：</w:t>
      </w:r>
    </w:p>
    <w:p>
      <w:pPr>
        <w:autoSpaceDE/>
        <w:autoSpaceDN/>
        <w:spacing w:line="360" w:lineRule="auto"/>
        <w:ind w:firstLine="480" w:firstLineChars="200"/>
        <w:rPr>
          <w:sz w:val="24"/>
          <w:szCs w:val="24"/>
        </w:rPr>
      </w:pPr>
      <w:r>
        <w:rPr>
          <w:rFonts w:hint="eastAsia"/>
          <w:sz w:val="24"/>
          <w:szCs w:val="24"/>
        </w:rPr>
        <w:t>人民币（大写</w:t>
      </w:r>
      <w:r>
        <w:rPr>
          <w:sz w:val="24"/>
          <w:szCs w:val="24"/>
        </w:rPr>
        <w:t xml:space="preserve">) </w:t>
      </w:r>
      <w:r>
        <w:rPr>
          <w:sz w:val="24"/>
          <w:szCs w:val="24"/>
          <w:u w:val="single"/>
        </w:rPr>
        <w:t xml:space="preserve">                </w:t>
      </w:r>
      <w:r>
        <w:rPr>
          <w:rFonts w:hint="eastAsia"/>
          <w:sz w:val="24"/>
          <w:szCs w:val="24"/>
        </w:rPr>
        <w:t>（</w:t>
      </w:r>
      <w:r>
        <w:rPr>
          <w:sz w:val="24"/>
          <w:szCs w:val="24"/>
        </w:rPr>
        <w:t>¥</w:t>
      </w:r>
      <w:r>
        <w:rPr>
          <w:sz w:val="24"/>
          <w:szCs w:val="24"/>
          <w:u w:val="single"/>
        </w:rPr>
        <w:t xml:space="preserve">              </w:t>
      </w:r>
      <w:r>
        <w:rPr>
          <w:rFonts w:hint="eastAsia"/>
          <w:sz w:val="24"/>
          <w:szCs w:val="24"/>
        </w:rPr>
        <w:t>元）。</w:t>
      </w:r>
    </w:p>
    <w:p>
      <w:pPr>
        <w:autoSpaceDE/>
        <w:autoSpaceDN/>
        <w:spacing w:line="360" w:lineRule="auto"/>
        <w:ind w:firstLine="480" w:firstLineChars="200"/>
        <w:rPr>
          <w:sz w:val="24"/>
          <w:szCs w:val="24"/>
        </w:rPr>
      </w:pPr>
      <w:r>
        <w:rPr>
          <w:rFonts w:hint="eastAsia"/>
          <w:sz w:val="24"/>
          <w:szCs w:val="24"/>
        </w:rPr>
        <w:t>具体构成详见价格清单。其中：</w:t>
      </w:r>
      <w:r>
        <w:rPr>
          <w:sz w:val="24"/>
          <w:szCs w:val="24"/>
        </w:rPr>
        <w:t xml:space="preserve"> </w:t>
      </w:r>
    </w:p>
    <w:p>
      <w:pPr>
        <w:autoSpaceDE/>
        <w:autoSpaceDN/>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设计费（含税）：</w:t>
      </w:r>
    </w:p>
    <w:p>
      <w:pPr>
        <w:autoSpaceDE/>
        <w:autoSpaceDN/>
        <w:spacing w:line="360" w:lineRule="auto"/>
        <w:ind w:firstLine="480" w:firstLineChars="200"/>
        <w:rPr>
          <w:sz w:val="24"/>
          <w:szCs w:val="24"/>
        </w:rPr>
      </w:pPr>
      <w:r>
        <w:rPr>
          <w:rFonts w:hint="eastAsia"/>
          <w:sz w:val="24"/>
          <w:szCs w:val="24"/>
        </w:rPr>
        <w:t>人民币（大写</w:t>
      </w:r>
      <w:r>
        <w:rPr>
          <w:sz w:val="24"/>
          <w:szCs w:val="24"/>
        </w:rPr>
        <w:t xml:space="preserve">) </w:t>
      </w:r>
      <w:r>
        <w:rPr>
          <w:sz w:val="24"/>
          <w:szCs w:val="24"/>
          <w:u w:val="single"/>
        </w:rPr>
        <w:t xml:space="preserve">            </w:t>
      </w:r>
      <w:r>
        <w:rPr>
          <w:rFonts w:hint="eastAsia"/>
          <w:sz w:val="24"/>
          <w:szCs w:val="24"/>
        </w:rPr>
        <w:t>（</w:t>
      </w:r>
      <w:r>
        <w:rPr>
          <w:sz w:val="24"/>
          <w:szCs w:val="24"/>
        </w:rPr>
        <w:t>¥</w:t>
      </w:r>
      <w:r>
        <w:rPr>
          <w:sz w:val="24"/>
          <w:szCs w:val="24"/>
          <w:u w:val="single"/>
        </w:rPr>
        <w:t xml:space="preserve">         </w:t>
      </w:r>
      <w:r>
        <w:rPr>
          <w:rFonts w:hint="eastAsia"/>
          <w:sz w:val="24"/>
          <w:szCs w:val="24"/>
        </w:rPr>
        <w:t>元）；适用税率：</w:t>
      </w:r>
      <w:r>
        <w:rPr>
          <w:sz w:val="24"/>
          <w:szCs w:val="24"/>
          <w:u w:val="single"/>
        </w:rPr>
        <w:t xml:space="preserve">    </w:t>
      </w:r>
      <w:r>
        <w:rPr>
          <w:sz w:val="24"/>
          <w:szCs w:val="24"/>
        </w:rPr>
        <w:t>%</w:t>
      </w:r>
      <w:r>
        <w:rPr>
          <w:rFonts w:hint="eastAsia"/>
          <w:sz w:val="24"/>
          <w:szCs w:val="24"/>
        </w:rPr>
        <w:t>，税金为人民币（大写</w:t>
      </w:r>
      <w:r>
        <w:rPr>
          <w:sz w:val="24"/>
          <w:szCs w:val="24"/>
        </w:rPr>
        <w:t>)</w:t>
      </w:r>
      <w:r>
        <w:rPr>
          <w:sz w:val="24"/>
          <w:szCs w:val="24"/>
          <w:u w:val="single"/>
        </w:rPr>
        <w:t xml:space="preserve">           </w:t>
      </w:r>
      <w:r>
        <w:rPr>
          <w:rFonts w:hint="eastAsia"/>
          <w:sz w:val="24"/>
          <w:szCs w:val="24"/>
        </w:rPr>
        <w:t>（</w:t>
      </w:r>
      <w:r>
        <w:rPr>
          <w:sz w:val="24"/>
          <w:szCs w:val="24"/>
        </w:rPr>
        <w:t>¥</w:t>
      </w:r>
      <w:r>
        <w:rPr>
          <w:sz w:val="24"/>
          <w:szCs w:val="24"/>
          <w:u w:val="single"/>
        </w:rPr>
        <w:t xml:space="preserve">          </w:t>
      </w:r>
      <w:r>
        <w:rPr>
          <w:rFonts w:hint="eastAsia"/>
          <w:sz w:val="24"/>
          <w:szCs w:val="24"/>
        </w:rPr>
        <w:t>元）；</w:t>
      </w:r>
      <w:r>
        <w:rPr>
          <w:sz w:val="24"/>
          <w:szCs w:val="24"/>
        </w:rPr>
        <w:t xml:space="preserve"> </w:t>
      </w:r>
    </w:p>
    <w:p>
      <w:pPr>
        <w:autoSpaceDE/>
        <w:autoSpaceDN/>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设备购置费（含税）：</w:t>
      </w:r>
    </w:p>
    <w:p>
      <w:pPr>
        <w:autoSpaceDE/>
        <w:autoSpaceDN/>
        <w:spacing w:line="360" w:lineRule="auto"/>
        <w:ind w:firstLine="480" w:firstLineChars="200"/>
        <w:rPr>
          <w:sz w:val="24"/>
          <w:szCs w:val="24"/>
        </w:rPr>
      </w:pPr>
      <w:r>
        <w:rPr>
          <w:rFonts w:hint="eastAsia"/>
          <w:sz w:val="24"/>
          <w:szCs w:val="24"/>
        </w:rPr>
        <w:t>人民币（大写</w:t>
      </w:r>
      <w:r>
        <w:rPr>
          <w:sz w:val="24"/>
          <w:szCs w:val="24"/>
        </w:rPr>
        <w:t xml:space="preserve">) </w:t>
      </w:r>
      <w:r>
        <w:rPr>
          <w:sz w:val="24"/>
          <w:szCs w:val="24"/>
          <w:u w:val="single"/>
        </w:rPr>
        <w:t xml:space="preserve">            </w:t>
      </w:r>
      <w:r>
        <w:rPr>
          <w:rFonts w:hint="eastAsia"/>
          <w:sz w:val="24"/>
          <w:szCs w:val="24"/>
        </w:rPr>
        <w:t>（</w:t>
      </w:r>
      <w:r>
        <w:rPr>
          <w:sz w:val="24"/>
          <w:szCs w:val="24"/>
        </w:rPr>
        <w:t>¥</w:t>
      </w:r>
      <w:r>
        <w:rPr>
          <w:sz w:val="24"/>
          <w:szCs w:val="24"/>
          <w:u w:val="single"/>
        </w:rPr>
        <w:t xml:space="preserve">        </w:t>
      </w:r>
      <w:r>
        <w:rPr>
          <w:rFonts w:hint="eastAsia"/>
          <w:sz w:val="24"/>
          <w:szCs w:val="24"/>
        </w:rPr>
        <w:t>元）；适用税率：</w:t>
      </w:r>
      <w:r>
        <w:rPr>
          <w:sz w:val="24"/>
          <w:szCs w:val="24"/>
          <w:u w:val="single"/>
        </w:rPr>
        <w:t xml:space="preserve">   </w:t>
      </w:r>
      <w:r>
        <w:rPr>
          <w:sz w:val="24"/>
          <w:szCs w:val="24"/>
        </w:rPr>
        <w:t>%</w:t>
      </w:r>
      <w:r>
        <w:rPr>
          <w:rFonts w:hint="eastAsia"/>
          <w:sz w:val="24"/>
          <w:szCs w:val="24"/>
        </w:rPr>
        <w:t>，税金为人民币（大写</w:t>
      </w:r>
      <w:r>
        <w:rPr>
          <w:sz w:val="24"/>
          <w:szCs w:val="24"/>
        </w:rPr>
        <w:t>)</w:t>
      </w:r>
      <w:r>
        <w:rPr>
          <w:sz w:val="24"/>
          <w:szCs w:val="24"/>
          <w:u w:val="single"/>
        </w:rPr>
        <w:t xml:space="preserve">          </w:t>
      </w:r>
      <w:r>
        <w:rPr>
          <w:rFonts w:hint="eastAsia"/>
          <w:sz w:val="24"/>
          <w:szCs w:val="24"/>
        </w:rPr>
        <w:t>（</w:t>
      </w:r>
      <w:r>
        <w:rPr>
          <w:sz w:val="24"/>
          <w:szCs w:val="24"/>
        </w:rPr>
        <w:t>¥</w:t>
      </w:r>
      <w:r>
        <w:rPr>
          <w:sz w:val="24"/>
          <w:szCs w:val="24"/>
          <w:u w:val="single"/>
        </w:rPr>
        <w:t xml:space="preserve">        </w:t>
      </w:r>
      <w:r>
        <w:rPr>
          <w:rFonts w:hint="eastAsia"/>
          <w:sz w:val="24"/>
          <w:szCs w:val="24"/>
        </w:rPr>
        <w:t>元）；</w:t>
      </w:r>
      <w:r>
        <w:rPr>
          <w:sz w:val="24"/>
          <w:szCs w:val="24"/>
        </w:rPr>
        <w:t xml:space="preserve"> </w:t>
      </w:r>
    </w:p>
    <w:p>
      <w:pPr>
        <w:autoSpaceDE/>
        <w:autoSpaceDN/>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建筑安装工程费（含税）：</w:t>
      </w:r>
    </w:p>
    <w:p>
      <w:pPr>
        <w:autoSpaceDE/>
        <w:autoSpaceDN/>
        <w:spacing w:line="360" w:lineRule="auto"/>
        <w:ind w:firstLine="480" w:firstLineChars="200"/>
        <w:rPr>
          <w:sz w:val="24"/>
          <w:szCs w:val="24"/>
        </w:rPr>
      </w:pPr>
      <w:r>
        <w:rPr>
          <w:rFonts w:hint="eastAsia"/>
          <w:sz w:val="24"/>
          <w:szCs w:val="24"/>
        </w:rPr>
        <w:t>人民币（大写</w:t>
      </w:r>
      <w:r>
        <w:rPr>
          <w:sz w:val="24"/>
          <w:szCs w:val="24"/>
        </w:rPr>
        <w:t>)</w:t>
      </w:r>
      <w:r>
        <w:rPr>
          <w:sz w:val="24"/>
          <w:szCs w:val="24"/>
          <w:u w:val="single"/>
        </w:rPr>
        <w:t xml:space="preserve">             </w:t>
      </w:r>
      <w:r>
        <w:rPr>
          <w:rFonts w:hint="eastAsia"/>
          <w:sz w:val="24"/>
          <w:szCs w:val="24"/>
        </w:rPr>
        <w:t>（</w:t>
      </w:r>
      <w:r>
        <w:rPr>
          <w:sz w:val="24"/>
          <w:szCs w:val="24"/>
        </w:rPr>
        <w:t>¥</w:t>
      </w:r>
      <w:r>
        <w:rPr>
          <w:sz w:val="24"/>
          <w:szCs w:val="24"/>
          <w:u w:val="single"/>
        </w:rPr>
        <w:t xml:space="preserve">        </w:t>
      </w:r>
      <w:r>
        <w:rPr>
          <w:rFonts w:hint="eastAsia"/>
          <w:sz w:val="24"/>
          <w:szCs w:val="24"/>
        </w:rPr>
        <w:t>元）；适用税率：</w:t>
      </w:r>
      <w:r>
        <w:rPr>
          <w:sz w:val="24"/>
          <w:szCs w:val="24"/>
          <w:u w:val="single"/>
        </w:rPr>
        <w:t xml:space="preserve">   </w:t>
      </w:r>
      <w:r>
        <w:rPr>
          <w:sz w:val="24"/>
          <w:szCs w:val="24"/>
        </w:rPr>
        <w:t>%</w:t>
      </w:r>
      <w:r>
        <w:rPr>
          <w:rFonts w:hint="eastAsia"/>
          <w:sz w:val="24"/>
          <w:szCs w:val="24"/>
        </w:rPr>
        <w:t>，税金为人民币（大写</w:t>
      </w:r>
      <w:r>
        <w:rPr>
          <w:sz w:val="24"/>
          <w:szCs w:val="24"/>
        </w:rPr>
        <w:t>)</w:t>
      </w:r>
      <w:r>
        <w:rPr>
          <w:sz w:val="24"/>
          <w:szCs w:val="24"/>
          <w:u w:val="single"/>
        </w:rPr>
        <w:t xml:space="preserve">          </w:t>
      </w:r>
      <w:r>
        <w:rPr>
          <w:rFonts w:hint="eastAsia"/>
          <w:sz w:val="24"/>
          <w:szCs w:val="24"/>
        </w:rPr>
        <w:t>（</w:t>
      </w:r>
      <w:r>
        <w:rPr>
          <w:sz w:val="24"/>
          <w:szCs w:val="24"/>
        </w:rPr>
        <w:t>¥</w:t>
      </w:r>
      <w:r>
        <w:rPr>
          <w:sz w:val="24"/>
          <w:szCs w:val="24"/>
          <w:u w:val="single"/>
        </w:rPr>
        <w:t xml:space="preserve">        </w:t>
      </w:r>
      <w:r>
        <w:rPr>
          <w:rFonts w:hint="eastAsia"/>
          <w:sz w:val="24"/>
          <w:szCs w:val="24"/>
        </w:rPr>
        <w:t>元）；</w:t>
      </w:r>
      <w:r>
        <w:rPr>
          <w:sz w:val="24"/>
          <w:szCs w:val="24"/>
        </w:rPr>
        <w:t xml:space="preserve"> </w:t>
      </w:r>
    </w:p>
    <w:p>
      <w:pPr>
        <w:autoSpaceDE/>
        <w:autoSpaceDN/>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暂估价（含税）：</w:t>
      </w:r>
    </w:p>
    <w:p>
      <w:pPr>
        <w:autoSpaceDE/>
        <w:autoSpaceDN/>
        <w:spacing w:line="360" w:lineRule="auto"/>
        <w:ind w:firstLine="480" w:firstLineChars="200"/>
        <w:rPr>
          <w:sz w:val="24"/>
          <w:szCs w:val="24"/>
        </w:rPr>
      </w:pPr>
      <w:r>
        <w:rPr>
          <w:rFonts w:hint="eastAsia"/>
          <w:sz w:val="24"/>
          <w:szCs w:val="24"/>
        </w:rPr>
        <w:t>人民币（大写</w:t>
      </w:r>
      <w:r>
        <w:rPr>
          <w:sz w:val="24"/>
          <w:szCs w:val="24"/>
        </w:rPr>
        <w:t>)</w:t>
      </w:r>
      <w:r>
        <w:rPr>
          <w:sz w:val="24"/>
          <w:szCs w:val="24"/>
          <w:u w:val="single"/>
        </w:rPr>
        <w:t xml:space="preserve">                 </w:t>
      </w:r>
      <w:r>
        <w:rPr>
          <w:rFonts w:hint="eastAsia"/>
          <w:sz w:val="24"/>
          <w:szCs w:val="24"/>
        </w:rPr>
        <w:t>（</w:t>
      </w:r>
      <w:r>
        <w:rPr>
          <w:sz w:val="24"/>
          <w:szCs w:val="24"/>
        </w:rPr>
        <w:t>¥</w:t>
      </w:r>
      <w:r>
        <w:rPr>
          <w:sz w:val="24"/>
          <w:szCs w:val="24"/>
          <w:u w:val="single"/>
        </w:rPr>
        <w:t xml:space="preserve">            </w:t>
      </w:r>
      <w:r>
        <w:rPr>
          <w:rFonts w:hint="eastAsia"/>
          <w:sz w:val="24"/>
          <w:szCs w:val="24"/>
        </w:rPr>
        <w:t>元）。</w:t>
      </w:r>
    </w:p>
    <w:p>
      <w:pPr>
        <w:autoSpaceDE/>
        <w:autoSpaceDN/>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暂列金额（含税）：</w:t>
      </w:r>
    </w:p>
    <w:p>
      <w:pPr>
        <w:autoSpaceDE/>
        <w:autoSpaceDN/>
        <w:spacing w:line="360" w:lineRule="auto"/>
        <w:ind w:firstLine="480" w:firstLineChars="200"/>
        <w:rPr>
          <w:sz w:val="24"/>
          <w:szCs w:val="24"/>
        </w:rPr>
      </w:pPr>
      <w:r>
        <w:rPr>
          <w:rFonts w:hint="eastAsia"/>
          <w:sz w:val="24"/>
          <w:szCs w:val="24"/>
        </w:rPr>
        <w:t>人民币（大写</w:t>
      </w:r>
      <w:r>
        <w:rPr>
          <w:sz w:val="24"/>
          <w:szCs w:val="24"/>
        </w:rPr>
        <w:t>)</w:t>
      </w:r>
      <w:r>
        <w:rPr>
          <w:sz w:val="24"/>
          <w:szCs w:val="24"/>
          <w:u w:val="single"/>
        </w:rPr>
        <w:t xml:space="preserve">                 </w:t>
      </w:r>
      <w:r>
        <w:rPr>
          <w:rFonts w:hint="eastAsia"/>
          <w:sz w:val="24"/>
          <w:szCs w:val="24"/>
        </w:rPr>
        <w:t>（</w:t>
      </w:r>
      <w:r>
        <w:rPr>
          <w:sz w:val="24"/>
          <w:szCs w:val="24"/>
        </w:rPr>
        <w:t>¥</w:t>
      </w:r>
      <w:r>
        <w:rPr>
          <w:sz w:val="24"/>
          <w:szCs w:val="24"/>
          <w:u w:val="single"/>
        </w:rPr>
        <w:t xml:space="preserve">            </w:t>
      </w:r>
      <w:r>
        <w:rPr>
          <w:rFonts w:hint="eastAsia"/>
          <w:sz w:val="24"/>
          <w:szCs w:val="24"/>
        </w:rPr>
        <w:t>元）。</w:t>
      </w:r>
    </w:p>
    <w:p>
      <w:pPr>
        <w:autoSpaceDE/>
        <w:autoSpaceDN/>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双方约定的其他费用（含税）：</w:t>
      </w:r>
    </w:p>
    <w:p>
      <w:pPr>
        <w:tabs>
          <w:tab w:val="left" w:pos="2188"/>
          <w:tab w:val="left" w:pos="2385"/>
          <w:tab w:val="left" w:pos="3633"/>
          <w:tab w:val="left" w:pos="4882"/>
          <w:tab w:val="left" w:pos="6130"/>
          <w:tab w:val="left" w:pos="7379"/>
          <w:tab w:val="left" w:pos="8627"/>
        </w:tabs>
        <w:spacing w:line="360" w:lineRule="auto"/>
        <w:ind w:firstLine="480" w:firstLineChars="200"/>
        <w:rPr>
          <w:sz w:val="30"/>
        </w:rPr>
      </w:pPr>
      <w:r>
        <w:rPr>
          <w:rFonts w:hint="eastAsia"/>
          <w:sz w:val="24"/>
          <w:szCs w:val="24"/>
        </w:rPr>
        <w:t>人民币（大写</w:t>
      </w:r>
      <w:r>
        <w:rPr>
          <w:sz w:val="24"/>
          <w:szCs w:val="24"/>
        </w:rPr>
        <w:t>)</w:t>
      </w:r>
      <w:r>
        <w:rPr>
          <w:sz w:val="24"/>
          <w:szCs w:val="24"/>
          <w:u w:val="single"/>
        </w:rPr>
        <w:t xml:space="preserve">                </w:t>
      </w:r>
      <w:r>
        <w:rPr>
          <w:rFonts w:hint="eastAsia"/>
          <w:sz w:val="24"/>
          <w:szCs w:val="24"/>
        </w:rPr>
        <w:t>（</w:t>
      </w:r>
      <w:r>
        <w:rPr>
          <w:sz w:val="24"/>
          <w:szCs w:val="24"/>
        </w:rPr>
        <w:t>¥</w:t>
      </w:r>
      <w:r>
        <w:rPr>
          <w:sz w:val="24"/>
          <w:szCs w:val="24"/>
          <w:u w:val="single"/>
        </w:rPr>
        <w:t xml:space="preserve">          </w:t>
      </w:r>
      <w:r>
        <w:rPr>
          <w:rFonts w:hint="eastAsia"/>
          <w:sz w:val="24"/>
          <w:szCs w:val="24"/>
        </w:rPr>
        <w:t>元）；适用税率：</w:t>
      </w:r>
      <w:r>
        <w:rPr>
          <w:sz w:val="24"/>
          <w:szCs w:val="24"/>
          <w:u w:val="single"/>
        </w:rPr>
        <w:t xml:space="preserve">         </w:t>
      </w:r>
      <w:r>
        <w:rPr>
          <w:sz w:val="24"/>
          <w:szCs w:val="24"/>
        </w:rPr>
        <w:t>%</w:t>
      </w:r>
      <w:r>
        <w:rPr>
          <w:rFonts w:hint="eastAsia"/>
          <w:sz w:val="24"/>
          <w:szCs w:val="24"/>
        </w:rPr>
        <w:t>，税金为人民币（大写</w:t>
      </w:r>
      <w:r>
        <w:rPr>
          <w:sz w:val="24"/>
          <w:szCs w:val="24"/>
        </w:rPr>
        <w:t>)</w:t>
      </w:r>
      <w:r>
        <w:rPr>
          <w:sz w:val="24"/>
          <w:szCs w:val="24"/>
          <w:u w:val="single"/>
        </w:rPr>
        <w:t xml:space="preserve">                 </w:t>
      </w:r>
      <w:r>
        <w:rPr>
          <w:rFonts w:hint="eastAsia"/>
          <w:sz w:val="24"/>
          <w:szCs w:val="24"/>
        </w:rPr>
        <w:t>（</w:t>
      </w:r>
      <w:r>
        <w:rPr>
          <w:sz w:val="24"/>
          <w:szCs w:val="24"/>
        </w:rPr>
        <w:t>¥</w:t>
      </w:r>
      <w:r>
        <w:rPr>
          <w:sz w:val="24"/>
          <w:szCs w:val="24"/>
          <w:u w:val="single"/>
        </w:rPr>
        <w:t xml:space="preserve">            </w:t>
      </w:r>
      <w:r>
        <w:rPr>
          <w:rFonts w:hint="eastAsia"/>
          <w:sz w:val="24"/>
          <w:szCs w:val="24"/>
        </w:rPr>
        <w:t>元）。</w:t>
      </w:r>
    </w:p>
    <w:p>
      <w:pPr>
        <w:tabs>
          <w:tab w:val="left" w:pos="3796"/>
          <w:tab w:val="left" w:pos="8780"/>
        </w:tabs>
        <w:spacing w:line="360" w:lineRule="auto"/>
        <w:ind w:firstLine="480" w:firstLineChars="200"/>
        <w:rPr>
          <w:sz w:val="24"/>
          <w:szCs w:val="24"/>
        </w:rPr>
      </w:pPr>
      <w:r>
        <w:rPr>
          <w:sz w:val="24"/>
          <w:szCs w:val="24"/>
        </w:rPr>
        <w:t xml:space="preserve">2. </w:t>
      </w:r>
      <w:r>
        <w:rPr>
          <w:rFonts w:hint="eastAsia"/>
          <w:sz w:val="24"/>
          <w:szCs w:val="24"/>
        </w:rPr>
        <w:t>合同价格形式：</w:t>
      </w:r>
    </w:p>
    <w:p>
      <w:pPr>
        <w:spacing w:line="360" w:lineRule="auto"/>
        <w:ind w:firstLine="480" w:firstLineChars="200"/>
        <w:rPr>
          <w:color w:val="FF0000"/>
          <w:sz w:val="24"/>
          <w:szCs w:val="24"/>
        </w:rPr>
      </w:pPr>
      <w:r>
        <w:rPr>
          <w:rFonts w:hint="eastAsia"/>
          <w:sz w:val="24"/>
          <w:szCs w:val="24"/>
        </w:rPr>
        <w:t>合同价格形式：</w:t>
      </w:r>
      <w:r>
        <w:rPr>
          <w:sz w:val="24"/>
          <w:szCs w:val="24"/>
          <w:u w:val="single"/>
        </w:rPr>
        <w:t xml:space="preserve">               </w:t>
      </w:r>
      <w:r>
        <w:rPr>
          <w:rFonts w:hint="eastAsia"/>
          <w:sz w:val="24"/>
          <w:szCs w:val="24"/>
        </w:rPr>
        <w:t>（总价</w:t>
      </w:r>
      <w:r>
        <w:rPr>
          <w:sz w:val="24"/>
          <w:szCs w:val="24"/>
        </w:rPr>
        <w:t>/</w:t>
      </w:r>
      <w:r>
        <w:rPr>
          <w:rFonts w:hint="eastAsia"/>
          <w:sz w:val="24"/>
          <w:szCs w:val="24"/>
        </w:rPr>
        <w:t>单价）</w:t>
      </w:r>
    </w:p>
    <w:p>
      <w:pPr>
        <w:tabs>
          <w:tab w:val="left" w:pos="3796"/>
          <w:tab w:val="left" w:pos="8780"/>
        </w:tabs>
        <w:spacing w:line="360" w:lineRule="auto"/>
        <w:ind w:firstLine="480" w:firstLineChars="200"/>
        <w:rPr>
          <w:sz w:val="24"/>
          <w:szCs w:val="24"/>
        </w:rPr>
      </w:pPr>
      <w:r>
        <w:rPr>
          <w:rFonts w:hint="eastAsia"/>
          <w:sz w:val="24"/>
          <w:szCs w:val="24"/>
        </w:rPr>
        <w:t>合同当事人对合同价格形式的其他约定：</w:t>
      </w:r>
      <w:r>
        <w:rPr>
          <w:sz w:val="24"/>
          <w:szCs w:val="24"/>
          <w:u w:val="single"/>
        </w:rPr>
        <w:t xml:space="preserve">               </w:t>
      </w:r>
      <w:r>
        <w:rPr>
          <w:rFonts w:hint="eastAsia"/>
          <w:sz w:val="24"/>
          <w:szCs w:val="24"/>
        </w:rPr>
        <w:t>。</w:t>
      </w:r>
    </w:p>
    <w:p>
      <w:pPr>
        <w:tabs>
          <w:tab w:val="left" w:pos="3796"/>
          <w:tab w:val="left" w:pos="8780"/>
        </w:tabs>
        <w:spacing w:line="360" w:lineRule="auto"/>
        <w:rPr>
          <w:sz w:val="24"/>
          <w:szCs w:val="24"/>
        </w:rPr>
      </w:pPr>
      <w:r>
        <w:rPr>
          <w:rFonts w:hint="eastAsia"/>
          <w:b/>
          <w:bCs/>
          <w:sz w:val="28"/>
          <w:szCs w:val="28"/>
        </w:rPr>
        <w:t>五、工程总承包项目经理</w:t>
      </w:r>
    </w:p>
    <w:p>
      <w:pPr>
        <w:tabs>
          <w:tab w:val="left" w:pos="3796"/>
          <w:tab w:val="left" w:pos="8780"/>
        </w:tabs>
        <w:spacing w:line="360" w:lineRule="auto"/>
        <w:ind w:firstLine="480" w:firstLineChars="200"/>
        <w:rPr>
          <w:sz w:val="24"/>
          <w:szCs w:val="24"/>
        </w:rPr>
      </w:pPr>
      <w:r>
        <w:rPr>
          <w:rFonts w:hint="eastAsia"/>
          <w:sz w:val="24"/>
          <w:szCs w:val="24"/>
        </w:rPr>
        <w:t>工程总承包项目经理：</w:t>
      </w:r>
      <w:r>
        <w:rPr>
          <w:sz w:val="24"/>
          <w:szCs w:val="24"/>
          <w:u w:val="single"/>
        </w:rPr>
        <w:t xml:space="preserve">                              </w:t>
      </w:r>
      <w:r>
        <w:rPr>
          <w:rFonts w:hint="eastAsia"/>
          <w:sz w:val="24"/>
          <w:szCs w:val="24"/>
        </w:rPr>
        <w:t>。</w:t>
      </w:r>
    </w:p>
    <w:p>
      <w:pPr>
        <w:tabs>
          <w:tab w:val="left" w:pos="3796"/>
          <w:tab w:val="left" w:pos="8780"/>
        </w:tabs>
        <w:spacing w:line="360" w:lineRule="auto"/>
        <w:rPr>
          <w:b/>
          <w:bCs/>
          <w:sz w:val="28"/>
          <w:szCs w:val="28"/>
        </w:rPr>
      </w:pPr>
      <w:r>
        <w:rPr>
          <w:rFonts w:hint="eastAsia"/>
          <w:b/>
          <w:bCs/>
          <w:sz w:val="28"/>
          <w:szCs w:val="28"/>
        </w:rPr>
        <w:t>六、合同文件构成</w:t>
      </w:r>
    </w:p>
    <w:p>
      <w:pPr>
        <w:tabs>
          <w:tab w:val="left" w:pos="3796"/>
          <w:tab w:val="left" w:pos="8780"/>
        </w:tabs>
        <w:spacing w:line="360" w:lineRule="auto"/>
        <w:ind w:firstLine="480" w:firstLineChars="200"/>
        <w:rPr>
          <w:sz w:val="24"/>
          <w:szCs w:val="24"/>
        </w:rPr>
      </w:pPr>
      <w:r>
        <w:rPr>
          <w:rFonts w:hint="eastAsia"/>
          <w:sz w:val="24"/>
          <w:szCs w:val="24"/>
        </w:rPr>
        <w:t>本协议书与下列文件一起构成合同文件：</w:t>
      </w:r>
      <w:r>
        <w:rPr>
          <w:sz w:val="24"/>
          <w:szCs w:val="24"/>
        </w:rPr>
        <w:t xml:space="preserve"> </w:t>
      </w:r>
    </w:p>
    <w:p>
      <w:pPr>
        <w:tabs>
          <w:tab w:val="left" w:pos="3796"/>
          <w:tab w:val="left" w:pos="8780"/>
        </w:tabs>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中标通知书（如果有）；</w:t>
      </w:r>
    </w:p>
    <w:p>
      <w:pPr>
        <w:tabs>
          <w:tab w:val="left" w:pos="3796"/>
          <w:tab w:val="left" w:pos="8780"/>
        </w:tabs>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投标函及投标函附录（如果有）；</w:t>
      </w:r>
    </w:p>
    <w:p>
      <w:pPr>
        <w:tabs>
          <w:tab w:val="left" w:pos="3796"/>
          <w:tab w:val="left" w:pos="8780"/>
        </w:tabs>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专用合同条件及《发包人要求》等附件；</w:t>
      </w:r>
    </w:p>
    <w:p>
      <w:pPr>
        <w:tabs>
          <w:tab w:val="left" w:pos="3796"/>
          <w:tab w:val="left" w:pos="8780"/>
        </w:tabs>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通用合同条件；</w:t>
      </w:r>
    </w:p>
    <w:p>
      <w:pPr>
        <w:tabs>
          <w:tab w:val="left" w:pos="3796"/>
          <w:tab w:val="left" w:pos="8780"/>
        </w:tabs>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承包人建议书；</w:t>
      </w:r>
      <w:r>
        <w:rPr>
          <w:sz w:val="24"/>
          <w:szCs w:val="24"/>
        </w:rPr>
        <w:t xml:space="preserve"> </w:t>
      </w:r>
    </w:p>
    <w:p>
      <w:pPr>
        <w:tabs>
          <w:tab w:val="left" w:pos="3796"/>
          <w:tab w:val="left" w:pos="8780"/>
        </w:tabs>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价格清单；</w:t>
      </w:r>
    </w:p>
    <w:p>
      <w:pPr>
        <w:tabs>
          <w:tab w:val="left" w:pos="3796"/>
          <w:tab w:val="left" w:pos="8780"/>
        </w:tabs>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w:t>
      </w:r>
      <w:r>
        <w:rPr>
          <w:sz w:val="24"/>
          <w:szCs w:val="24"/>
        </w:rPr>
        <w:t xml:space="preserve"> </w:t>
      </w:r>
      <w:r>
        <w:rPr>
          <w:rFonts w:hint="eastAsia"/>
          <w:sz w:val="24"/>
          <w:szCs w:val="24"/>
        </w:rPr>
        <w:t>双方约定的其他合同文件。</w:t>
      </w:r>
    </w:p>
    <w:p>
      <w:pPr>
        <w:tabs>
          <w:tab w:val="left" w:pos="3796"/>
          <w:tab w:val="left" w:pos="8780"/>
        </w:tabs>
        <w:spacing w:line="360" w:lineRule="auto"/>
        <w:ind w:firstLine="480" w:firstLineChars="200"/>
        <w:rPr>
          <w:sz w:val="30"/>
        </w:rPr>
      </w:pPr>
      <w:r>
        <w:rPr>
          <w:rFonts w:hint="eastAsia"/>
          <w:sz w:val="24"/>
          <w:szCs w:val="24"/>
        </w:rPr>
        <w:t>上述各项合同文件包括双方就该项合同文件所作出的补充和修改，属于同一类内容的合同文件应以最新签署的为准。专用合同条件及其附件须经合同当事人签字或盖章。</w:t>
      </w:r>
    </w:p>
    <w:p>
      <w:pPr>
        <w:spacing w:line="360" w:lineRule="auto"/>
        <w:rPr>
          <w:b/>
          <w:bCs/>
          <w:sz w:val="28"/>
          <w:szCs w:val="28"/>
        </w:rPr>
      </w:pPr>
      <w:bookmarkStart w:id="67" w:name="_TOC_250027"/>
      <w:bookmarkEnd w:id="67"/>
      <w:r>
        <w:rPr>
          <w:rFonts w:hint="eastAsia"/>
          <w:b/>
          <w:bCs/>
          <w:sz w:val="28"/>
          <w:szCs w:val="28"/>
          <w:lang w:val="en-US"/>
        </w:rPr>
        <w:t>七</w:t>
      </w:r>
      <w:r>
        <w:rPr>
          <w:rFonts w:hint="eastAsia"/>
          <w:b/>
          <w:bCs/>
          <w:sz w:val="28"/>
          <w:szCs w:val="28"/>
        </w:rPr>
        <w:t>、预付款</w:t>
      </w:r>
    </w:p>
    <w:p>
      <w:pPr>
        <w:tabs>
          <w:tab w:val="left" w:pos="5928"/>
        </w:tabs>
        <w:spacing w:line="360" w:lineRule="auto"/>
        <w:ind w:firstLine="480" w:firstLineChars="200"/>
        <w:rPr>
          <w:sz w:val="24"/>
          <w:szCs w:val="24"/>
        </w:rPr>
      </w:pPr>
      <w:r>
        <w:rPr>
          <w:rFonts w:hint="eastAsia"/>
          <w:sz w:val="24"/>
          <w:szCs w:val="24"/>
        </w:rPr>
        <w:t>预付款</w:t>
      </w:r>
      <w:r>
        <w:rPr>
          <w:rFonts w:hint="eastAsia"/>
          <w:spacing w:val="-5"/>
          <w:sz w:val="24"/>
          <w:szCs w:val="24"/>
        </w:rPr>
        <w:t>：</w:t>
      </w:r>
      <w:r>
        <w:rPr>
          <w:rFonts w:hint="eastAsia"/>
          <w:sz w:val="24"/>
          <w:szCs w:val="24"/>
        </w:rPr>
        <w:t>发包人在合同签订后</w:t>
      </w:r>
      <w:r>
        <w:rPr>
          <w:rFonts w:hint="eastAsia"/>
          <w:spacing w:val="-3"/>
          <w:sz w:val="24"/>
          <w:szCs w:val="24"/>
        </w:rPr>
        <w:t>，</w:t>
      </w:r>
      <w:r>
        <w:rPr>
          <w:spacing w:val="-3"/>
          <w:sz w:val="24"/>
          <w:szCs w:val="24"/>
          <w:u w:val="single"/>
        </w:rPr>
        <w:tab/>
      </w:r>
      <w:r>
        <w:rPr>
          <w:rFonts w:hint="eastAsia"/>
          <w:sz w:val="24"/>
          <w:szCs w:val="24"/>
        </w:rPr>
        <w:t>个工作日内支付合同价的</w:t>
      </w:r>
      <w:r>
        <w:rPr>
          <w:sz w:val="24"/>
          <w:szCs w:val="24"/>
          <w:u w:val="single"/>
          <w:lang w:val="en-US"/>
        </w:rPr>
        <w:t xml:space="preserve">   </w:t>
      </w:r>
      <w:r>
        <w:rPr>
          <w:sz w:val="24"/>
          <w:szCs w:val="24"/>
        </w:rPr>
        <w:t>%</w:t>
      </w:r>
      <w:r>
        <w:rPr>
          <w:rFonts w:hint="eastAsia"/>
          <w:sz w:val="24"/>
          <w:szCs w:val="24"/>
        </w:rPr>
        <w:t>作为工程预付款。</w:t>
      </w:r>
    </w:p>
    <w:p>
      <w:pPr>
        <w:spacing w:before="227" w:line="360" w:lineRule="auto"/>
        <w:rPr>
          <w:b/>
          <w:bCs/>
          <w:sz w:val="28"/>
          <w:szCs w:val="28"/>
        </w:rPr>
      </w:pPr>
      <w:bookmarkStart w:id="68" w:name="_TOC_250026"/>
      <w:bookmarkEnd w:id="68"/>
      <w:r>
        <w:rPr>
          <w:rFonts w:hint="eastAsia"/>
          <w:b/>
          <w:bCs/>
          <w:sz w:val="28"/>
          <w:szCs w:val="28"/>
          <w:lang w:val="en-US"/>
        </w:rPr>
        <w:t>八</w:t>
      </w:r>
      <w:r>
        <w:rPr>
          <w:rFonts w:hint="eastAsia"/>
          <w:b/>
          <w:bCs/>
          <w:sz w:val="28"/>
          <w:szCs w:val="28"/>
        </w:rPr>
        <w:t>、绿化种植及养护要求</w:t>
      </w:r>
    </w:p>
    <w:p>
      <w:pPr>
        <w:pStyle w:val="58"/>
        <w:tabs>
          <w:tab w:val="left" w:pos="1440"/>
        </w:tabs>
        <w:spacing w:line="360" w:lineRule="auto"/>
        <w:ind w:left="0" w:firstLine="472" w:firstLineChars="200"/>
        <w:rPr>
          <w:sz w:val="24"/>
          <w:szCs w:val="24"/>
        </w:rPr>
      </w:pPr>
      <w:r>
        <w:rPr>
          <w:spacing w:val="-2"/>
          <w:sz w:val="24"/>
          <w:szCs w:val="24"/>
          <w:lang w:val="en-US"/>
        </w:rPr>
        <w:t>1</w:t>
      </w:r>
      <w:r>
        <w:rPr>
          <w:rFonts w:hint="eastAsia"/>
          <w:spacing w:val="-2"/>
          <w:sz w:val="24"/>
          <w:szCs w:val="24"/>
          <w:lang w:val="en-US"/>
        </w:rPr>
        <w:t>、</w:t>
      </w:r>
      <w:r>
        <w:rPr>
          <w:rFonts w:hint="eastAsia"/>
          <w:spacing w:val="-2"/>
          <w:sz w:val="24"/>
          <w:szCs w:val="24"/>
        </w:rPr>
        <w:t>在施工过程及绿化养护期内植物死亡，须按原设计品种和</w:t>
      </w:r>
      <w:r>
        <w:rPr>
          <w:rFonts w:hint="eastAsia"/>
          <w:sz w:val="24"/>
          <w:szCs w:val="24"/>
        </w:rPr>
        <w:t>规格更换，更换费用由承包人承担。</w:t>
      </w:r>
    </w:p>
    <w:p>
      <w:pPr>
        <w:pStyle w:val="58"/>
        <w:tabs>
          <w:tab w:val="left" w:pos="1440"/>
        </w:tabs>
        <w:spacing w:line="360" w:lineRule="auto"/>
        <w:ind w:left="0" w:firstLine="452" w:firstLineChars="200"/>
        <w:rPr>
          <w:sz w:val="24"/>
          <w:szCs w:val="24"/>
          <w:u w:val="single"/>
          <w:lang w:val="en-US"/>
        </w:rPr>
      </w:pPr>
      <w:r>
        <w:rPr>
          <w:spacing w:val="-7"/>
          <w:sz w:val="24"/>
          <w:szCs w:val="24"/>
          <w:lang w:val="en-US"/>
        </w:rPr>
        <w:t>2</w:t>
      </w:r>
      <w:r>
        <w:rPr>
          <w:rFonts w:hint="eastAsia"/>
          <w:spacing w:val="-7"/>
          <w:sz w:val="24"/>
          <w:szCs w:val="24"/>
          <w:lang w:val="en-US"/>
        </w:rPr>
        <w:t>、</w:t>
      </w:r>
      <w:r>
        <w:rPr>
          <w:rFonts w:hint="eastAsia"/>
          <w:spacing w:val="-7"/>
          <w:sz w:val="24"/>
          <w:szCs w:val="24"/>
        </w:rPr>
        <w:t>竣工验收时苗木成活率约定</w:t>
      </w:r>
      <w:r>
        <w:rPr>
          <w:rFonts w:hint="eastAsia"/>
          <w:sz w:val="24"/>
          <w:szCs w:val="24"/>
        </w:rPr>
        <w:t>（</w:t>
      </w:r>
      <w:r>
        <w:rPr>
          <w:rFonts w:hint="eastAsia"/>
          <w:spacing w:val="-22"/>
          <w:sz w:val="24"/>
          <w:szCs w:val="24"/>
        </w:rPr>
        <w:t>乔木、灌木、地被、草坪</w:t>
      </w:r>
      <w:r>
        <w:rPr>
          <w:rFonts w:hint="eastAsia"/>
          <w:sz w:val="24"/>
          <w:szCs w:val="24"/>
        </w:rPr>
        <w:t>等）：</w:t>
      </w:r>
      <w:r>
        <w:rPr>
          <w:sz w:val="24"/>
          <w:szCs w:val="24"/>
          <w:u w:val="single"/>
          <w:lang w:val="en-US"/>
        </w:rPr>
        <w:t xml:space="preserve">                 </w:t>
      </w:r>
    </w:p>
    <w:p>
      <w:pPr>
        <w:pStyle w:val="58"/>
        <w:tabs>
          <w:tab w:val="left" w:pos="1440"/>
        </w:tabs>
        <w:spacing w:line="360" w:lineRule="auto"/>
        <w:ind w:left="0" w:firstLine="476" w:firstLineChars="200"/>
        <w:rPr>
          <w:spacing w:val="-17"/>
          <w:sz w:val="24"/>
          <w:szCs w:val="24"/>
        </w:rPr>
      </w:pPr>
      <w:r>
        <w:rPr>
          <w:spacing w:val="-1"/>
          <w:sz w:val="24"/>
          <w:szCs w:val="24"/>
          <w:lang w:val="en-US"/>
        </w:rPr>
        <w:t>3</w:t>
      </w:r>
      <w:r>
        <w:rPr>
          <w:rFonts w:hint="eastAsia"/>
          <w:spacing w:val="-1"/>
          <w:sz w:val="24"/>
          <w:szCs w:val="24"/>
          <w:lang w:val="en-US"/>
        </w:rPr>
        <w:t>、</w:t>
      </w:r>
      <w:r>
        <w:rPr>
          <w:rFonts w:hint="eastAsia"/>
          <w:spacing w:val="-1"/>
          <w:sz w:val="24"/>
          <w:szCs w:val="24"/>
        </w:rPr>
        <w:t>养护期满移交时苗木成活率约定</w:t>
      </w:r>
      <w:r>
        <w:rPr>
          <w:rFonts w:hint="eastAsia"/>
          <w:sz w:val="24"/>
          <w:szCs w:val="24"/>
        </w:rPr>
        <w:t>（</w:t>
      </w:r>
      <w:r>
        <w:rPr>
          <w:rFonts w:hint="eastAsia"/>
          <w:spacing w:val="-3"/>
          <w:sz w:val="24"/>
          <w:szCs w:val="24"/>
        </w:rPr>
        <w:t>乔木、灌木、地被、草</w:t>
      </w:r>
      <w:r>
        <w:rPr>
          <w:rFonts w:hint="eastAsia"/>
          <w:sz w:val="24"/>
          <w:szCs w:val="24"/>
        </w:rPr>
        <w:t>坪</w:t>
      </w:r>
      <w:r>
        <w:rPr>
          <w:rFonts w:hint="eastAsia"/>
          <w:spacing w:val="2"/>
          <w:sz w:val="24"/>
          <w:szCs w:val="24"/>
        </w:rPr>
        <w:t>等</w:t>
      </w:r>
      <w:r>
        <w:rPr>
          <w:rFonts w:hint="eastAsia"/>
          <w:spacing w:val="-152"/>
          <w:sz w:val="24"/>
          <w:szCs w:val="24"/>
        </w:rPr>
        <w:t>）</w:t>
      </w:r>
      <w:r>
        <w:rPr>
          <w:rFonts w:hint="eastAsia"/>
          <w:spacing w:val="-7"/>
          <w:sz w:val="24"/>
          <w:szCs w:val="24"/>
        </w:rPr>
        <w:t>：</w:t>
      </w:r>
      <w:r>
        <w:rPr>
          <w:spacing w:val="-7"/>
          <w:sz w:val="24"/>
          <w:szCs w:val="24"/>
          <w:u w:val="single"/>
          <w:lang w:val="en-US"/>
        </w:rPr>
        <w:t xml:space="preserve">             </w:t>
      </w:r>
      <w:r>
        <w:rPr>
          <w:rFonts w:hint="eastAsia"/>
          <w:spacing w:val="-17"/>
          <w:sz w:val="24"/>
          <w:szCs w:val="24"/>
        </w:rPr>
        <w:t>。</w:t>
      </w:r>
    </w:p>
    <w:p>
      <w:pPr>
        <w:tabs>
          <w:tab w:val="left" w:pos="8720"/>
          <w:tab w:val="left" w:pos="8782"/>
        </w:tabs>
        <w:spacing w:line="360" w:lineRule="auto"/>
        <w:jc w:val="both"/>
        <w:rPr>
          <w:sz w:val="21"/>
        </w:rPr>
      </w:pPr>
      <w:r>
        <w:rPr>
          <w:rFonts w:hint="eastAsia"/>
          <w:b/>
          <w:bCs/>
          <w:sz w:val="24"/>
          <w:szCs w:val="24"/>
          <w:lang w:val="en-US"/>
        </w:rPr>
        <w:t>九、</w:t>
      </w:r>
      <w:r>
        <w:rPr>
          <w:rFonts w:hint="eastAsia"/>
          <w:b/>
          <w:bCs/>
          <w:sz w:val="24"/>
          <w:szCs w:val="24"/>
        </w:rPr>
        <w:t>其他要求</w:t>
      </w:r>
      <w:r>
        <w:rPr>
          <w:rFonts w:hint="eastAsia"/>
          <w:sz w:val="32"/>
        </w:rPr>
        <w:t>：</w:t>
      </w:r>
      <w:r>
        <w:rPr>
          <w:sz w:val="32"/>
          <w:u w:val="single"/>
          <w:lang w:val="en-US"/>
        </w:rPr>
        <w:t xml:space="preserve">              </w:t>
      </w:r>
      <w:r>
        <w:rPr>
          <w:rFonts w:hint="eastAsia"/>
          <w:sz w:val="21"/>
        </w:rPr>
        <w:t>。</w:t>
      </w:r>
    </w:p>
    <w:p>
      <w:pPr>
        <w:tabs>
          <w:tab w:val="left" w:pos="8720"/>
          <w:tab w:val="left" w:pos="8782"/>
        </w:tabs>
        <w:spacing w:line="360" w:lineRule="auto"/>
        <w:jc w:val="both"/>
        <w:rPr>
          <w:b/>
          <w:bCs/>
          <w:sz w:val="28"/>
          <w:szCs w:val="28"/>
        </w:rPr>
      </w:pPr>
      <w:r>
        <w:rPr>
          <w:rFonts w:hint="eastAsia"/>
          <w:b/>
          <w:bCs/>
          <w:sz w:val="28"/>
          <w:szCs w:val="28"/>
          <w:lang w:val="en-US"/>
        </w:rPr>
        <w:t>十</w:t>
      </w:r>
      <w:r>
        <w:rPr>
          <w:rFonts w:hint="eastAsia"/>
          <w:b/>
          <w:bCs/>
          <w:sz w:val="28"/>
          <w:szCs w:val="28"/>
        </w:rPr>
        <w:t>、合</w:t>
      </w:r>
      <w:r>
        <w:rPr>
          <w:rFonts w:hint="eastAsia"/>
          <w:b/>
          <w:bCs/>
          <w:spacing w:val="3"/>
          <w:sz w:val="28"/>
          <w:szCs w:val="28"/>
        </w:rPr>
        <w:t>同</w:t>
      </w:r>
      <w:r>
        <w:rPr>
          <w:rFonts w:hint="eastAsia"/>
          <w:b/>
          <w:bCs/>
          <w:sz w:val="28"/>
          <w:szCs w:val="28"/>
        </w:rPr>
        <w:t>文件构成</w:t>
      </w:r>
    </w:p>
    <w:p>
      <w:pPr>
        <w:spacing w:line="360" w:lineRule="auto"/>
        <w:ind w:firstLine="480" w:firstLineChars="200"/>
        <w:rPr>
          <w:sz w:val="24"/>
          <w:szCs w:val="24"/>
        </w:rPr>
      </w:pPr>
      <w:r>
        <w:rPr>
          <w:rFonts w:hint="eastAsia"/>
          <w:sz w:val="24"/>
          <w:szCs w:val="24"/>
        </w:rPr>
        <w:t>本协议书与下列文件一起构成合同文件：</w:t>
      </w:r>
    </w:p>
    <w:p>
      <w:pPr>
        <w:spacing w:line="360" w:lineRule="auto"/>
        <w:ind w:firstLine="488" w:firstLineChars="200"/>
        <w:rPr>
          <w:sz w:val="24"/>
          <w:szCs w:val="24"/>
        </w:rPr>
      </w:pPr>
      <w:r>
        <w:rPr>
          <w:rFonts w:hint="eastAsia"/>
          <w:spacing w:val="2"/>
          <w:sz w:val="24"/>
          <w:szCs w:val="24"/>
        </w:rPr>
        <w:t>（</w:t>
      </w:r>
      <w:r>
        <w:rPr>
          <w:spacing w:val="-2"/>
          <w:sz w:val="24"/>
          <w:szCs w:val="24"/>
        </w:rPr>
        <w:t>1</w:t>
      </w:r>
      <w:r>
        <w:rPr>
          <w:rFonts w:hint="eastAsia"/>
          <w:spacing w:val="-63"/>
          <w:sz w:val="24"/>
          <w:szCs w:val="24"/>
        </w:rPr>
        <w:t>）</w:t>
      </w:r>
      <w:r>
        <w:rPr>
          <w:rFonts w:hint="eastAsia"/>
          <w:spacing w:val="-13"/>
          <w:sz w:val="24"/>
          <w:szCs w:val="24"/>
        </w:rPr>
        <w:t>中标通知书</w:t>
      </w:r>
      <w:r>
        <w:rPr>
          <w:rFonts w:hint="eastAsia"/>
          <w:sz w:val="24"/>
          <w:szCs w:val="24"/>
        </w:rPr>
        <w:t>（如果有</w:t>
      </w:r>
      <w:r>
        <w:rPr>
          <w:rFonts w:hint="eastAsia"/>
          <w:spacing w:val="-152"/>
          <w:sz w:val="24"/>
          <w:szCs w:val="24"/>
        </w:rPr>
        <w:t>）</w:t>
      </w:r>
      <w:r>
        <w:rPr>
          <w:rFonts w:hint="eastAsia"/>
          <w:spacing w:val="-214"/>
          <w:sz w:val="24"/>
          <w:szCs w:val="24"/>
        </w:rPr>
        <w:t>；</w:t>
      </w:r>
      <w:r>
        <w:rPr>
          <w:rFonts w:hint="eastAsia"/>
          <w:spacing w:val="3"/>
          <w:sz w:val="24"/>
          <w:szCs w:val="24"/>
        </w:rPr>
        <w:t>（</w:t>
      </w:r>
      <w:r>
        <w:rPr>
          <w:spacing w:val="-2"/>
          <w:sz w:val="24"/>
          <w:szCs w:val="24"/>
        </w:rPr>
        <w:t>2</w:t>
      </w:r>
      <w:r>
        <w:rPr>
          <w:rFonts w:hint="eastAsia"/>
          <w:spacing w:val="-63"/>
          <w:sz w:val="24"/>
          <w:szCs w:val="24"/>
        </w:rPr>
        <w:t>）</w:t>
      </w:r>
      <w:r>
        <w:rPr>
          <w:rFonts w:hint="eastAsia"/>
          <w:spacing w:val="-9"/>
          <w:sz w:val="24"/>
          <w:szCs w:val="24"/>
        </w:rPr>
        <w:t>投标函及其附录</w:t>
      </w:r>
      <w:r>
        <w:rPr>
          <w:rFonts w:hint="eastAsia"/>
          <w:sz w:val="24"/>
          <w:szCs w:val="24"/>
        </w:rPr>
        <w:t>（如果有）；</w:t>
      </w:r>
      <w:r>
        <w:rPr>
          <w:rFonts w:hint="eastAsia"/>
          <w:spacing w:val="-14"/>
          <w:sz w:val="24"/>
          <w:szCs w:val="24"/>
        </w:rPr>
        <w:t>（</w:t>
      </w:r>
      <w:r>
        <w:rPr>
          <w:spacing w:val="-14"/>
          <w:sz w:val="24"/>
          <w:szCs w:val="24"/>
          <w:lang w:val="en-US"/>
        </w:rPr>
        <w:t>3</w:t>
      </w:r>
      <w:r>
        <w:rPr>
          <w:rFonts w:hint="eastAsia"/>
          <w:spacing w:val="-14"/>
          <w:sz w:val="24"/>
          <w:szCs w:val="24"/>
          <w:lang w:val="en-US"/>
        </w:rPr>
        <w:t>）</w:t>
      </w:r>
      <w:r>
        <w:rPr>
          <w:rFonts w:hint="eastAsia"/>
          <w:spacing w:val="-14"/>
          <w:sz w:val="24"/>
          <w:szCs w:val="24"/>
        </w:rPr>
        <w:t>专用合同条款及其附件；</w:t>
      </w:r>
      <w:r>
        <w:rPr>
          <w:rFonts w:hint="eastAsia"/>
          <w:spacing w:val="1"/>
          <w:sz w:val="24"/>
          <w:szCs w:val="24"/>
        </w:rPr>
        <w:t>（</w:t>
      </w:r>
      <w:r>
        <w:rPr>
          <w:spacing w:val="-2"/>
          <w:sz w:val="24"/>
          <w:szCs w:val="24"/>
        </w:rPr>
        <w:t>4</w:t>
      </w:r>
      <w:r>
        <w:rPr>
          <w:rFonts w:hint="eastAsia"/>
          <w:sz w:val="24"/>
          <w:szCs w:val="24"/>
        </w:rPr>
        <w:t>）</w:t>
      </w:r>
      <w:r>
        <w:rPr>
          <w:rFonts w:hint="eastAsia"/>
          <w:spacing w:val="-22"/>
          <w:sz w:val="24"/>
          <w:szCs w:val="24"/>
        </w:rPr>
        <w:t>通用合同条款；</w:t>
      </w:r>
      <w:r>
        <w:rPr>
          <w:rFonts w:hint="eastAsia"/>
          <w:sz w:val="24"/>
          <w:szCs w:val="24"/>
        </w:rPr>
        <w:t>（</w:t>
      </w:r>
      <w:r>
        <w:rPr>
          <w:spacing w:val="-2"/>
          <w:sz w:val="24"/>
          <w:szCs w:val="24"/>
        </w:rPr>
        <w:t>5</w:t>
      </w:r>
      <w:r>
        <w:rPr>
          <w:rFonts w:hint="eastAsia"/>
          <w:sz w:val="24"/>
          <w:szCs w:val="24"/>
        </w:rPr>
        <w:t>）技术标</w:t>
      </w:r>
      <w:r>
        <w:rPr>
          <w:rFonts w:hint="eastAsia"/>
          <w:spacing w:val="-31"/>
          <w:sz w:val="24"/>
          <w:szCs w:val="24"/>
        </w:rPr>
        <w:t>准和要求；</w:t>
      </w:r>
      <w:r>
        <w:rPr>
          <w:rFonts w:hint="eastAsia"/>
          <w:spacing w:val="2"/>
          <w:sz w:val="24"/>
          <w:szCs w:val="24"/>
        </w:rPr>
        <w:t>（</w:t>
      </w:r>
      <w:r>
        <w:rPr>
          <w:spacing w:val="-1"/>
          <w:sz w:val="24"/>
          <w:szCs w:val="24"/>
        </w:rPr>
        <w:t>6</w:t>
      </w:r>
      <w:r>
        <w:rPr>
          <w:rFonts w:hint="eastAsia"/>
          <w:spacing w:val="-3"/>
          <w:sz w:val="24"/>
          <w:szCs w:val="24"/>
        </w:rPr>
        <w:t>）</w:t>
      </w:r>
      <w:r>
        <w:rPr>
          <w:rFonts w:hint="eastAsia"/>
          <w:spacing w:val="-51"/>
          <w:sz w:val="24"/>
          <w:szCs w:val="24"/>
        </w:rPr>
        <w:t>图纸；</w:t>
      </w:r>
      <w:r>
        <w:rPr>
          <w:rFonts w:hint="eastAsia"/>
          <w:sz w:val="24"/>
          <w:szCs w:val="24"/>
        </w:rPr>
        <w:t>（</w:t>
      </w:r>
      <w:r>
        <w:rPr>
          <w:spacing w:val="1"/>
          <w:sz w:val="24"/>
          <w:szCs w:val="24"/>
        </w:rPr>
        <w:t>7</w:t>
      </w:r>
      <w:r>
        <w:rPr>
          <w:rFonts w:hint="eastAsia"/>
          <w:spacing w:val="-3"/>
          <w:sz w:val="24"/>
          <w:szCs w:val="24"/>
        </w:rPr>
        <w:t>）</w:t>
      </w:r>
      <w:r>
        <w:rPr>
          <w:rFonts w:hint="eastAsia"/>
          <w:spacing w:val="-12"/>
          <w:sz w:val="24"/>
          <w:szCs w:val="24"/>
        </w:rPr>
        <w:t>已标价工程量清单或预算书；</w:t>
      </w:r>
      <w:r>
        <w:rPr>
          <w:rFonts w:hint="eastAsia"/>
          <w:spacing w:val="1"/>
          <w:sz w:val="24"/>
          <w:szCs w:val="24"/>
        </w:rPr>
        <w:t>（</w:t>
      </w:r>
      <w:r>
        <w:rPr>
          <w:spacing w:val="1"/>
          <w:sz w:val="24"/>
          <w:szCs w:val="24"/>
        </w:rPr>
        <w:t>8</w:t>
      </w:r>
      <w:r>
        <w:rPr>
          <w:rFonts w:hint="eastAsia"/>
          <w:spacing w:val="-3"/>
          <w:sz w:val="24"/>
          <w:szCs w:val="24"/>
        </w:rPr>
        <w:t>）</w:t>
      </w:r>
      <w:r>
        <w:rPr>
          <w:rFonts w:hint="eastAsia"/>
          <w:spacing w:val="-15"/>
          <w:sz w:val="24"/>
          <w:szCs w:val="24"/>
        </w:rPr>
        <w:t>其</w:t>
      </w:r>
      <w:r>
        <w:rPr>
          <w:rFonts w:hint="eastAsia"/>
          <w:sz w:val="24"/>
          <w:szCs w:val="24"/>
        </w:rPr>
        <w:t>他合同文件。</w:t>
      </w:r>
    </w:p>
    <w:p>
      <w:pPr>
        <w:spacing w:line="360" w:lineRule="auto"/>
        <w:ind w:firstLine="480" w:firstLineChars="200"/>
        <w:rPr>
          <w:sz w:val="24"/>
          <w:szCs w:val="24"/>
        </w:rPr>
      </w:pPr>
      <w:r>
        <w:rPr>
          <w:rFonts w:hint="eastAsia"/>
          <w:sz w:val="24"/>
          <w:szCs w:val="24"/>
        </w:rPr>
        <w:t>在合同订立及履行过程中形成的与合同有关的文件均构成合同文件组成部分。</w:t>
      </w:r>
    </w:p>
    <w:p>
      <w:pPr>
        <w:spacing w:line="360" w:lineRule="auto"/>
        <w:ind w:firstLine="480" w:firstLineChars="200"/>
        <w:jc w:val="both"/>
        <w:rPr>
          <w:sz w:val="24"/>
          <w:szCs w:val="24"/>
        </w:rPr>
      </w:pPr>
      <w:r>
        <w:rPr>
          <w:rFonts w:hint="eastAsia"/>
          <w:sz w:val="24"/>
          <w:szCs w:val="24"/>
        </w:rPr>
        <w:t>上述各项合同文件包括合同当事人就该项合同文件所作出的补充和修改，属于同一类内容的文件，应以最新签署的为准。专用合同条款及其附件须经合同当事人签字或盖章。</w:t>
      </w:r>
    </w:p>
    <w:p>
      <w:pPr>
        <w:spacing w:line="360" w:lineRule="auto"/>
        <w:rPr>
          <w:b/>
          <w:bCs/>
          <w:sz w:val="28"/>
          <w:szCs w:val="28"/>
        </w:rPr>
      </w:pPr>
      <w:bookmarkStart w:id="69" w:name="_TOC_250025"/>
      <w:bookmarkEnd w:id="69"/>
      <w:r>
        <w:rPr>
          <w:rFonts w:hint="eastAsia"/>
          <w:b/>
          <w:bCs/>
          <w:sz w:val="28"/>
          <w:szCs w:val="28"/>
        </w:rPr>
        <w:t>十、承诺</w:t>
      </w:r>
    </w:p>
    <w:p>
      <w:pPr>
        <w:pStyle w:val="58"/>
        <w:tabs>
          <w:tab w:val="left" w:pos="1440"/>
        </w:tabs>
        <w:spacing w:line="360" w:lineRule="auto"/>
        <w:ind w:left="0" w:firstLine="472" w:firstLineChars="200"/>
        <w:jc w:val="both"/>
        <w:rPr>
          <w:sz w:val="24"/>
          <w:szCs w:val="24"/>
        </w:rPr>
      </w:pPr>
      <w:r>
        <w:rPr>
          <w:spacing w:val="-2"/>
          <w:sz w:val="24"/>
          <w:szCs w:val="24"/>
          <w:lang w:val="en-US"/>
        </w:rPr>
        <w:t>1</w:t>
      </w:r>
      <w:r>
        <w:rPr>
          <w:rFonts w:hint="eastAsia"/>
          <w:spacing w:val="-2"/>
          <w:sz w:val="24"/>
          <w:szCs w:val="24"/>
          <w:lang w:val="en-US"/>
        </w:rPr>
        <w:t>、</w:t>
      </w:r>
      <w:r>
        <w:rPr>
          <w:rFonts w:hint="eastAsia"/>
          <w:spacing w:val="-2"/>
          <w:sz w:val="24"/>
          <w:szCs w:val="24"/>
        </w:rPr>
        <w:t>发包人承诺按照法律规定履行项目审批手续、筹集工程建设资金并按照合同约定的期限和方式支付合同价款，及时足额支付人工费用至农民工工资专用账户，并加强对施工总承包单位按</w:t>
      </w:r>
      <w:r>
        <w:rPr>
          <w:rFonts w:hint="eastAsia"/>
          <w:sz w:val="24"/>
          <w:szCs w:val="24"/>
        </w:rPr>
        <w:t>时足额支付农民工工资的监督。</w:t>
      </w:r>
    </w:p>
    <w:p>
      <w:pPr>
        <w:pStyle w:val="58"/>
        <w:tabs>
          <w:tab w:val="left" w:pos="1440"/>
        </w:tabs>
        <w:spacing w:line="360" w:lineRule="auto"/>
        <w:ind w:left="0" w:firstLine="476" w:firstLineChars="200"/>
        <w:rPr>
          <w:sz w:val="24"/>
          <w:szCs w:val="24"/>
        </w:rPr>
      </w:pPr>
      <w:r>
        <w:rPr>
          <w:spacing w:val="-1"/>
          <w:sz w:val="24"/>
          <w:szCs w:val="24"/>
          <w:lang w:val="en-US"/>
        </w:rPr>
        <w:t>2</w:t>
      </w:r>
      <w:r>
        <w:rPr>
          <w:rFonts w:hint="eastAsia"/>
          <w:spacing w:val="-1"/>
          <w:sz w:val="24"/>
          <w:szCs w:val="24"/>
          <w:lang w:val="en-US"/>
        </w:rPr>
        <w:t>、</w:t>
      </w:r>
      <w:r>
        <w:rPr>
          <w:rFonts w:hint="eastAsia"/>
          <w:spacing w:val="-1"/>
          <w:sz w:val="24"/>
          <w:szCs w:val="24"/>
        </w:rPr>
        <w:t>承包人承诺按照法律规定及合同约定组织完成工程施工，</w:t>
      </w:r>
      <w:r>
        <w:rPr>
          <w:spacing w:val="-1"/>
          <w:sz w:val="24"/>
          <w:szCs w:val="24"/>
        </w:rPr>
        <w:t xml:space="preserve"> </w:t>
      </w:r>
      <w:r>
        <w:rPr>
          <w:rFonts w:hint="eastAsia"/>
          <w:spacing w:val="-2"/>
          <w:sz w:val="24"/>
          <w:szCs w:val="24"/>
        </w:rPr>
        <w:t>确保工程质量和安全，不进行转包及违法分包，并在缺陷责任期及保修期内承担相应的工程维修责任；按照有关规定开设农民工</w:t>
      </w:r>
      <w:r>
        <w:rPr>
          <w:rFonts w:hint="eastAsia"/>
          <w:spacing w:val="-3"/>
          <w:sz w:val="24"/>
          <w:szCs w:val="24"/>
        </w:rPr>
        <w:t>工资专用账户，专项用于支付本工程农民工工资。农民工工资拨</w:t>
      </w:r>
      <w:r>
        <w:rPr>
          <w:rFonts w:hint="eastAsia"/>
          <w:spacing w:val="-11"/>
          <w:sz w:val="24"/>
          <w:szCs w:val="24"/>
        </w:rPr>
        <w:t>付周期不超过</w:t>
      </w:r>
      <w:r>
        <w:rPr>
          <w:spacing w:val="-11"/>
          <w:sz w:val="24"/>
          <w:szCs w:val="24"/>
        </w:rPr>
        <w:t xml:space="preserve"> </w:t>
      </w:r>
      <w:r>
        <w:rPr>
          <w:sz w:val="24"/>
          <w:szCs w:val="24"/>
        </w:rPr>
        <w:t>1</w:t>
      </w:r>
      <w:r>
        <w:rPr>
          <w:spacing w:val="-20"/>
          <w:sz w:val="24"/>
          <w:szCs w:val="24"/>
        </w:rPr>
        <w:t xml:space="preserve"> </w:t>
      </w:r>
      <w:r>
        <w:rPr>
          <w:rFonts w:hint="eastAsia"/>
          <w:spacing w:val="-20"/>
          <w:sz w:val="24"/>
          <w:szCs w:val="24"/>
        </w:rPr>
        <w:t>个月。</w:t>
      </w:r>
    </w:p>
    <w:p>
      <w:pPr>
        <w:pStyle w:val="58"/>
        <w:tabs>
          <w:tab w:val="left" w:pos="1440"/>
        </w:tabs>
        <w:spacing w:line="360" w:lineRule="auto"/>
        <w:ind w:left="0" w:firstLine="476" w:firstLineChars="200"/>
        <w:rPr>
          <w:sz w:val="24"/>
          <w:szCs w:val="24"/>
        </w:rPr>
      </w:pPr>
      <w:r>
        <w:rPr>
          <w:spacing w:val="-1"/>
          <w:sz w:val="24"/>
          <w:szCs w:val="24"/>
          <w:lang w:val="en-US"/>
        </w:rPr>
        <w:t>3</w:t>
      </w:r>
      <w:r>
        <w:rPr>
          <w:rFonts w:hint="eastAsia"/>
          <w:spacing w:val="-1"/>
          <w:sz w:val="24"/>
          <w:szCs w:val="24"/>
          <w:lang w:val="en-US"/>
        </w:rPr>
        <w:t>、</w:t>
      </w:r>
      <w:r>
        <w:rPr>
          <w:rFonts w:hint="eastAsia"/>
          <w:spacing w:val="-1"/>
          <w:sz w:val="24"/>
          <w:szCs w:val="24"/>
        </w:rPr>
        <w:t>发包人和承包人通过招投标形式签订合同的，双方理解并</w:t>
      </w:r>
      <w:r>
        <w:rPr>
          <w:rFonts w:hint="eastAsia"/>
          <w:spacing w:val="-2"/>
          <w:sz w:val="24"/>
          <w:szCs w:val="24"/>
        </w:rPr>
        <w:t>承诺不再就同一工程另行签订与合同实质性内容相背离的协议。</w:t>
      </w:r>
    </w:p>
    <w:p>
      <w:pPr>
        <w:spacing w:line="360" w:lineRule="auto"/>
        <w:rPr>
          <w:b/>
          <w:bCs/>
          <w:sz w:val="28"/>
          <w:szCs w:val="28"/>
        </w:rPr>
      </w:pPr>
      <w:bookmarkStart w:id="70" w:name="_TOC_250024"/>
      <w:bookmarkEnd w:id="70"/>
      <w:r>
        <w:rPr>
          <w:rFonts w:hint="eastAsia"/>
          <w:b/>
          <w:bCs/>
          <w:sz w:val="28"/>
          <w:szCs w:val="28"/>
        </w:rPr>
        <w:t>十一、词语含义</w:t>
      </w:r>
    </w:p>
    <w:p>
      <w:pPr>
        <w:spacing w:before="227" w:line="360" w:lineRule="auto"/>
        <w:ind w:left="1137"/>
        <w:rPr>
          <w:sz w:val="24"/>
          <w:szCs w:val="24"/>
        </w:rPr>
      </w:pPr>
      <w:r>
        <w:rPr>
          <w:rFonts w:hint="eastAsia"/>
          <w:sz w:val="24"/>
          <w:szCs w:val="24"/>
        </w:rPr>
        <w:t>本协议书中词语含义与通用合同条款、专用合同条款中赋予的含义相同。</w:t>
      </w:r>
    </w:p>
    <w:p>
      <w:pPr>
        <w:spacing w:before="227" w:line="360" w:lineRule="auto"/>
        <w:rPr>
          <w:b/>
          <w:bCs/>
          <w:sz w:val="28"/>
          <w:szCs w:val="28"/>
        </w:rPr>
      </w:pPr>
      <w:r>
        <w:rPr>
          <w:rFonts w:hint="eastAsia"/>
          <w:b/>
          <w:bCs/>
          <w:sz w:val="28"/>
          <w:szCs w:val="28"/>
        </w:rPr>
        <w:t>十二、签订时间</w:t>
      </w:r>
    </w:p>
    <w:p>
      <w:pPr>
        <w:tabs>
          <w:tab w:val="left" w:pos="3537"/>
          <w:tab w:val="left" w:pos="4435"/>
          <w:tab w:val="left" w:pos="5335"/>
        </w:tabs>
        <w:spacing w:line="360" w:lineRule="auto"/>
        <w:ind w:firstLine="480" w:firstLineChars="200"/>
        <w:rPr>
          <w:sz w:val="24"/>
          <w:szCs w:val="24"/>
        </w:rPr>
      </w:pPr>
      <w:r>
        <w:rPr>
          <w:rFonts w:hint="eastAsia"/>
          <w:sz w:val="24"/>
          <w:szCs w:val="24"/>
        </w:rPr>
        <w:t>本合同</w:t>
      </w:r>
      <w:r>
        <w:rPr>
          <w:rFonts w:hint="eastAsia"/>
          <w:spacing w:val="3"/>
          <w:sz w:val="24"/>
          <w:szCs w:val="24"/>
        </w:rPr>
        <w:t>于</w:t>
      </w:r>
      <w:r>
        <w:rPr>
          <w:spacing w:val="3"/>
          <w:sz w:val="24"/>
          <w:szCs w:val="24"/>
          <w:u w:val="single"/>
        </w:rPr>
        <w:tab/>
      </w:r>
      <w:r>
        <w:rPr>
          <w:rFonts w:hint="eastAsia"/>
          <w:sz w:val="24"/>
          <w:szCs w:val="24"/>
        </w:rPr>
        <w:t>年</w:t>
      </w:r>
      <w:r>
        <w:rPr>
          <w:sz w:val="24"/>
          <w:szCs w:val="24"/>
          <w:u w:val="single"/>
        </w:rPr>
        <w:tab/>
      </w:r>
      <w:r>
        <w:rPr>
          <w:rFonts w:hint="eastAsia"/>
          <w:sz w:val="24"/>
          <w:szCs w:val="24"/>
        </w:rPr>
        <w:t>月</w:t>
      </w:r>
      <w:r>
        <w:rPr>
          <w:sz w:val="24"/>
          <w:szCs w:val="24"/>
          <w:u w:val="single"/>
        </w:rPr>
        <w:tab/>
      </w:r>
      <w:r>
        <w:rPr>
          <w:rFonts w:hint="eastAsia"/>
          <w:sz w:val="24"/>
          <w:szCs w:val="24"/>
        </w:rPr>
        <w:t>日签订。</w:t>
      </w:r>
    </w:p>
    <w:p>
      <w:pPr>
        <w:pStyle w:val="2"/>
        <w:spacing w:before="123" w:line="360" w:lineRule="auto"/>
        <w:ind w:left="0" w:right="298"/>
        <w:jc w:val="both"/>
        <w:rPr>
          <w:b/>
          <w:bCs/>
          <w:sz w:val="28"/>
          <w:szCs w:val="28"/>
        </w:rPr>
      </w:pPr>
      <w:bookmarkStart w:id="71" w:name="_TOC_250022"/>
      <w:bookmarkEnd w:id="71"/>
      <w:r>
        <w:rPr>
          <w:rFonts w:hint="eastAsia"/>
          <w:b/>
          <w:bCs/>
          <w:sz w:val="28"/>
          <w:szCs w:val="28"/>
        </w:rPr>
        <w:t>十三、签订地点</w:t>
      </w:r>
    </w:p>
    <w:p>
      <w:pPr>
        <w:tabs>
          <w:tab w:val="left" w:pos="8633"/>
        </w:tabs>
        <w:spacing w:line="360" w:lineRule="auto"/>
        <w:ind w:firstLine="524" w:firstLineChars="200"/>
        <w:rPr>
          <w:sz w:val="28"/>
          <w:szCs w:val="28"/>
        </w:rPr>
      </w:pPr>
      <w:r>
        <w:rPr>
          <w:rFonts w:hint="eastAsia"/>
          <w:spacing w:val="11"/>
          <w:sz w:val="24"/>
          <w:szCs w:val="24"/>
        </w:rPr>
        <w:t>本</w:t>
      </w:r>
      <w:r>
        <w:rPr>
          <w:rFonts w:hint="eastAsia"/>
          <w:spacing w:val="9"/>
          <w:sz w:val="24"/>
          <w:szCs w:val="24"/>
        </w:rPr>
        <w:t>合同</w:t>
      </w:r>
      <w:r>
        <w:rPr>
          <w:rFonts w:hint="eastAsia"/>
          <w:spacing w:val="13"/>
          <w:sz w:val="24"/>
          <w:szCs w:val="24"/>
        </w:rPr>
        <w:t>在</w:t>
      </w:r>
      <w:r>
        <w:rPr>
          <w:spacing w:val="13"/>
          <w:sz w:val="24"/>
          <w:szCs w:val="24"/>
          <w:u w:val="single"/>
        </w:rPr>
        <w:tab/>
      </w:r>
      <w:r>
        <w:rPr>
          <w:rFonts w:hint="eastAsia"/>
          <w:sz w:val="24"/>
          <w:szCs w:val="24"/>
        </w:rPr>
        <w:t>签订。</w:t>
      </w:r>
    </w:p>
    <w:p>
      <w:pPr>
        <w:pStyle w:val="2"/>
        <w:spacing w:before="123" w:line="360" w:lineRule="auto"/>
        <w:ind w:left="0" w:right="298"/>
        <w:jc w:val="both"/>
        <w:rPr>
          <w:b/>
          <w:bCs/>
          <w:sz w:val="28"/>
          <w:szCs w:val="28"/>
        </w:rPr>
      </w:pPr>
      <w:bookmarkStart w:id="72" w:name="_TOC_250021"/>
      <w:bookmarkEnd w:id="72"/>
      <w:r>
        <w:rPr>
          <w:rFonts w:hint="eastAsia"/>
          <w:b/>
          <w:bCs/>
          <w:sz w:val="28"/>
          <w:szCs w:val="28"/>
        </w:rPr>
        <w:t>十四、补充协议</w:t>
      </w:r>
    </w:p>
    <w:p>
      <w:pPr>
        <w:spacing w:line="360" w:lineRule="auto"/>
        <w:ind w:firstLine="480" w:firstLineChars="200"/>
        <w:rPr>
          <w:sz w:val="24"/>
          <w:szCs w:val="24"/>
        </w:rPr>
      </w:pPr>
      <w:r>
        <w:rPr>
          <w:rFonts w:hint="eastAsia"/>
          <w:sz w:val="24"/>
          <w:szCs w:val="24"/>
        </w:rPr>
        <w:t>合同未尽事宜，合同当事人另行签订补充协议，补充协议是合同的组成部分。</w:t>
      </w:r>
    </w:p>
    <w:p>
      <w:pPr>
        <w:pStyle w:val="2"/>
        <w:spacing w:line="360" w:lineRule="auto"/>
        <w:ind w:left="0"/>
        <w:jc w:val="both"/>
        <w:rPr>
          <w:b/>
          <w:bCs/>
          <w:sz w:val="28"/>
          <w:szCs w:val="28"/>
        </w:rPr>
      </w:pPr>
      <w:bookmarkStart w:id="73" w:name="_TOC_250020"/>
      <w:bookmarkEnd w:id="73"/>
      <w:r>
        <w:rPr>
          <w:rFonts w:hint="eastAsia"/>
          <w:b/>
          <w:bCs/>
          <w:sz w:val="28"/>
          <w:szCs w:val="28"/>
        </w:rPr>
        <w:t>十五、合同生效</w:t>
      </w:r>
    </w:p>
    <w:p>
      <w:pPr>
        <w:tabs>
          <w:tab w:val="left" w:pos="8633"/>
        </w:tabs>
        <w:spacing w:line="360" w:lineRule="auto"/>
        <w:ind w:firstLine="524" w:firstLineChars="200"/>
        <w:rPr>
          <w:sz w:val="24"/>
          <w:szCs w:val="24"/>
        </w:rPr>
      </w:pPr>
      <w:r>
        <w:rPr>
          <w:rFonts w:hint="eastAsia"/>
          <w:spacing w:val="11"/>
          <w:sz w:val="24"/>
          <w:szCs w:val="24"/>
        </w:rPr>
        <w:t>本</w:t>
      </w:r>
      <w:r>
        <w:rPr>
          <w:rFonts w:hint="eastAsia"/>
          <w:spacing w:val="9"/>
          <w:sz w:val="24"/>
          <w:szCs w:val="24"/>
        </w:rPr>
        <w:t>合同</w:t>
      </w:r>
      <w:r>
        <w:rPr>
          <w:rFonts w:hint="eastAsia"/>
          <w:spacing w:val="13"/>
          <w:sz w:val="24"/>
          <w:szCs w:val="24"/>
        </w:rPr>
        <w:t>自</w:t>
      </w:r>
      <w:r>
        <w:rPr>
          <w:spacing w:val="13"/>
          <w:sz w:val="24"/>
          <w:szCs w:val="24"/>
          <w:u w:val="single"/>
        </w:rPr>
        <w:tab/>
      </w:r>
      <w:r>
        <w:rPr>
          <w:rFonts w:hint="eastAsia"/>
          <w:sz w:val="24"/>
          <w:szCs w:val="24"/>
        </w:rPr>
        <w:t>生效。</w:t>
      </w:r>
    </w:p>
    <w:p>
      <w:pPr>
        <w:pStyle w:val="2"/>
        <w:spacing w:before="38" w:line="360" w:lineRule="auto"/>
        <w:ind w:left="0" w:right="298"/>
        <w:jc w:val="both"/>
        <w:rPr>
          <w:b/>
          <w:bCs/>
          <w:sz w:val="28"/>
          <w:szCs w:val="28"/>
        </w:rPr>
      </w:pPr>
      <w:bookmarkStart w:id="74" w:name="_TOC_250019"/>
      <w:bookmarkEnd w:id="74"/>
      <w:r>
        <w:rPr>
          <w:rFonts w:hint="eastAsia"/>
          <w:b/>
          <w:bCs/>
          <w:sz w:val="28"/>
          <w:szCs w:val="28"/>
        </w:rPr>
        <w:t>十六、合同份数</w:t>
      </w:r>
    </w:p>
    <w:p>
      <w:pPr>
        <w:tabs>
          <w:tab w:val="left" w:pos="3235"/>
          <w:tab w:val="left" w:pos="8477"/>
        </w:tabs>
        <w:spacing w:line="360" w:lineRule="auto"/>
        <w:ind w:firstLine="480" w:firstLineChars="200"/>
        <w:rPr>
          <w:sz w:val="24"/>
          <w:szCs w:val="24"/>
        </w:rPr>
      </w:pPr>
      <w:r>
        <w:rPr>
          <w:rFonts w:hint="eastAsia"/>
          <w:sz w:val="24"/>
          <w:szCs w:val="24"/>
        </w:rPr>
        <w:t>本合同一</w:t>
      </w:r>
      <w:r>
        <w:rPr>
          <w:rFonts w:hint="eastAsia"/>
          <w:spacing w:val="3"/>
          <w:sz w:val="24"/>
          <w:szCs w:val="24"/>
        </w:rPr>
        <w:t>式</w:t>
      </w:r>
      <w:r>
        <w:rPr>
          <w:spacing w:val="3"/>
          <w:sz w:val="24"/>
          <w:szCs w:val="24"/>
          <w:u w:val="single"/>
        </w:rPr>
        <w:tab/>
      </w:r>
      <w:r>
        <w:rPr>
          <w:rFonts w:hint="eastAsia"/>
          <w:sz w:val="24"/>
          <w:szCs w:val="24"/>
        </w:rPr>
        <w:t>份</w:t>
      </w:r>
      <w:r>
        <w:rPr>
          <w:rFonts w:hint="eastAsia"/>
          <w:spacing w:val="-80"/>
          <w:sz w:val="24"/>
          <w:szCs w:val="24"/>
        </w:rPr>
        <w:t>，</w:t>
      </w:r>
      <w:r>
        <w:rPr>
          <w:rFonts w:hint="eastAsia"/>
          <w:sz w:val="24"/>
          <w:szCs w:val="24"/>
        </w:rPr>
        <w:t>均具有同等法律效力</w:t>
      </w:r>
      <w:r>
        <w:rPr>
          <w:rFonts w:hint="eastAsia"/>
          <w:spacing w:val="-80"/>
          <w:sz w:val="24"/>
          <w:szCs w:val="24"/>
        </w:rPr>
        <w:t>，</w:t>
      </w:r>
      <w:r>
        <w:rPr>
          <w:rFonts w:hint="eastAsia"/>
          <w:sz w:val="24"/>
          <w:szCs w:val="24"/>
        </w:rPr>
        <w:t>发包人</w:t>
      </w:r>
      <w:r>
        <w:rPr>
          <w:rFonts w:hint="eastAsia"/>
          <w:spacing w:val="3"/>
          <w:sz w:val="24"/>
          <w:szCs w:val="24"/>
        </w:rPr>
        <w:t>执</w:t>
      </w:r>
      <w:r>
        <w:rPr>
          <w:spacing w:val="3"/>
          <w:sz w:val="24"/>
          <w:szCs w:val="24"/>
          <w:u w:val="single"/>
        </w:rPr>
        <w:tab/>
      </w:r>
      <w:r>
        <w:rPr>
          <w:rFonts w:hint="eastAsia"/>
          <w:sz w:val="24"/>
          <w:szCs w:val="24"/>
        </w:rPr>
        <w:t>份，承包人执</w:t>
      </w:r>
      <w:r>
        <w:rPr>
          <w:sz w:val="24"/>
          <w:szCs w:val="24"/>
          <w:u w:val="single"/>
        </w:rPr>
        <w:tab/>
      </w:r>
      <w:r>
        <w:rPr>
          <w:rFonts w:hint="eastAsia"/>
          <w:sz w:val="24"/>
          <w:szCs w:val="24"/>
        </w:rPr>
        <w:t>份。</w:t>
      </w:r>
    </w:p>
    <w:p>
      <w:pPr>
        <w:pStyle w:val="18"/>
        <w:spacing w:line="360" w:lineRule="auto"/>
        <w:rPr>
          <w:sz w:val="28"/>
          <w:szCs w:val="28"/>
        </w:rPr>
      </w:pPr>
    </w:p>
    <w:p>
      <w:pPr>
        <w:pStyle w:val="18"/>
        <w:spacing w:line="360" w:lineRule="auto"/>
        <w:rPr>
          <w:sz w:val="28"/>
          <w:szCs w:val="28"/>
        </w:rPr>
      </w:pPr>
    </w:p>
    <w:p>
      <w:pPr>
        <w:tabs>
          <w:tab w:val="left" w:pos="4886"/>
        </w:tabs>
        <w:spacing w:line="360" w:lineRule="auto"/>
        <w:rPr>
          <w:sz w:val="24"/>
          <w:szCs w:val="24"/>
        </w:rPr>
      </w:pPr>
      <w:r>
        <w:rPr>
          <w:rFonts w:hint="eastAsia"/>
          <w:sz w:val="24"/>
          <w:szCs w:val="24"/>
        </w:rPr>
        <w:t>发包</w:t>
      </w:r>
      <w:r>
        <w:rPr>
          <w:rFonts w:hint="eastAsia"/>
          <w:spacing w:val="2"/>
          <w:sz w:val="24"/>
          <w:szCs w:val="24"/>
        </w:rPr>
        <w:t>人</w:t>
      </w:r>
      <w:r>
        <w:rPr>
          <w:rFonts w:hint="eastAsia"/>
          <w:spacing w:val="-152"/>
          <w:sz w:val="24"/>
          <w:szCs w:val="24"/>
        </w:rPr>
        <w:t>：</w:t>
      </w:r>
      <w:r>
        <w:rPr>
          <w:rFonts w:hint="eastAsia"/>
          <w:sz w:val="24"/>
          <w:szCs w:val="24"/>
        </w:rPr>
        <w:t>（公章）</w:t>
      </w:r>
      <w:r>
        <w:rPr>
          <w:sz w:val="24"/>
          <w:szCs w:val="24"/>
        </w:rPr>
        <w:tab/>
      </w:r>
      <w:r>
        <w:rPr>
          <w:sz w:val="24"/>
          <w:szCs w:val="24"/>
          <w:lang w:val="en-US"/>
        </w:rPr>
        <w:t xml:space="preserve"> </w:t>
      </w:r>
      <w:r>
        <w:rPr>
          <w:rFonts w:hint="eastAsia"/>
          <w:spacing w:val="2"/>
          <w:sz w:val="24"/>
          <w:szCs w:val="24"/>
        </w:rPr>
        <w:t>承</w:t>
      </w:r>
      <w:r>
        <w:rPr>
          <w:rFonts w:hint="eastAsia"/>
          <w:sz w:val="24"/>
          <w:szCs w:val="24"/>
        </w:rPr>
        <w:t>包</w:t>
      </w:r>
      <w:r>
        <w:rPr>
          <w:rFonts w:hint="eastAsia"/>
          <w:spacing w:val="2"/>
          <w:sz w:val="24"/>
          <w:szCs w:val="24"/>
        </w:rPr>
        <w:t>人</w:t>
      </w:r>
      <w:r>
        <w:rPr>
          <w:rFonts w:hint="eastAsia"/>
          <w:spacing w:val="-152"/>
          <w:sz w:val="24"/>
          <w:szCs w:val="24"/>
        </w:rPr>
        <w:t>：</w:t>
      </w:r>
      <w:r>
        <w:rPr>
          <w:rFonts w:hint="eastAsia"/>
          <w:sz w:val="24"/>
          <w:szCs w:val="24"/>
        </w:rPr>
        <w:t>（公章）</w:t>
      </w:r>
    </w:p>
    <w:p>
      <w:pPr>
        <w:tabs>
          <w:tab w:val="left" w:pos="5035"/>
        </w:tabs>
        <w:spacing w:line="360" w:lineRule="auto"/>
        <w:rPr>
          <w:sz w:val="24"/>
          <w:szCs w:val="24"/>
        </w:rPr>
      </w:pPr>
      <w:r>
        <w:rPr>
          <w:rFonts w:hint="eastAsia"/>
          <w:sz w:val="24"/>
          <w:szCs w:val="24"/>
        </w:rPr>
        <w:t>法定代表人或其委托代理人：（签字）</w:t>
      </w:r>
      <w:r>
        <w:rPr>
          <w:sz w:val="24"/>
          <w:szCs w:val="24"/>
        </w:rPr>
        <w:tab/>
      </w:r>
      <w:r>
        <w:rPr>
          <w:rFonts w:hint="eastAsia"/>
          <w:sz w:val="24"/>
          <w:szCs w:val="24"/>
        </w:rPr>
        <w:t>法定代表人或其委托代理人：（签字）</w:t>
      </w:r>
    </w:p>
    <w:p>
      <w:pPr>
        <w:tabs>
          <w:tab w:val="left" w:pos="4808"/>
          <w:tab w:val="left" w:pos="5035"/>
          <w:tab w:val="left" w:pos="9001"/>
        </w:tabs>
        <w:spacing w:line="360" w:lineRule="auto"/>
        <w:rPr>
          <w:sz w:val="24"/>
          <w:szCs w:val="24"/>
        </w:rPr>
      </w:pPr>
      <w:r>
        <w:rPr>
          <w:rFonts w:hint="eastAsia"/>
          <w:sz w:val="24"/>
          <w:szCs w:val="24"/>
        </w:rPr>
        <w:t>社会统一信用代码：</w:t>
      </w:r>
      <w:r>
        <w:rPr>
          <w:sz w:val="24"/>
          <w:szCs w:val="24"/>
          <w:u w:val="single"/>
        </w:rPr>
        <w:tab/>
      </w:r>
      <w:r>
        <w:rPr>
          <w:sz w:val="24"/>
          <w:szCs w:val="24"/>
        </w:rPr>
        <w:tab/>
      </w:r>
      <w:r>
        <w:rPr>
          <w:rFonts w:hint="eastAsia"/>
          <w:sz w:val="24"/>
          <w:szCs w:val="24"/>
        </w:rPr>
        <w:t>社会统一信用代码：</w:t>
      </w:r>
      <w:r>
        <w:rPr>
          <w:sz w:val="24"/>
          <w:szCs w:val="24"/>
          <w:u w:val="single"/>
        </w:rPr>
        <w:tab/>
      </w:r>
    </w:p>
    <w:p>
      <w:pPr>
        <w:tabs>
          <w:tab w:val="left" w:pos="1137"/>
          <w:tab w:val="left" w:pos="4808"/>
          <w:tab w:val="left" w:pos="5035"/>
          <w:tab w:val="left" w:pos="5635"/>
          <w:tab w:val="left" w:pos="9001"/>
        </w:tabs>
        <w:spacing w:line="360" w:lineRule="auto"/>
        <w:rPr>
          <w:sz w:val="24"/>
          <w:szCs w:val="24"/>
        </w:rPr>
      </w:pPr>
      <w:r>
        <w:rPr>
          <w:rFonts w:hint="eastAsia"/>
          <w:sz w:val="24"/>
          <w:szCs w:val="24"/>
        </w:rPr>
        <w:t>地</w:t>
      </w:r>
      <w:r>
        <w:rPr>
          <w:sz w:val="24"/>
          <w:szCs w:val="24"/>
        </w:rPr>
        <w:tab/>
      </w:r>
      <w:r>
        <w:rPr>
          <w:rFonts w:hint="eastAsia"/>
          <w:sz w:val="24"/>
          <w:szCs w:val="24"/>
        </w:rPr>
        <w:t>址：</w:t>
      </w:r>
      <w:r>
        <w:rPr>
          <w:sz w:val="24"/>
          <w:szCs w:val="24"/>
          <w:u w:val="single"/>
        </w:rPr>
        <w:tab/>
      </w:r>
      <w:r>
        <w:rPr>
          <w:sz w:val="24"/>
          <w:szCs w:val="24"/>
        </w:rPr>
        <w:tab/>
      </w:r>
      <w:r>
        <w:rPr>
          <w:rFonts w:hint="eastAsia"/>
          <w:sz w:val="24"/>
          <w:szCs w:val="24"/>
        </w:rPr>
        <w:t>地</w:t>
      </w:r>
      <w:r>
        <w:rPr>
          <w:sz w:val="24"/>
          <w:szCs w:val="24"/>
        </w:rPr>
        <w:tab/>
      </w:r>
      <w:r>
        <w:rPr>
          <w:rFonts w:hint="eastAsia"/>
          <w:sz w:val="24"/>
          <w:szCs w:val="24"/>
        </w:rPr>
        <w:t>址：</w:t>
      </w:r>
      <w:r>
        <w:rPr>
          <w:sz w:val="24"/>
          <w:szCs w:val="24"/>
          <w:u w:val="single"/>
        </w:rPr>
        <w:tab/>
      </w:r>
    </w:p>
    <w:tbl>
      <w:tblPr>
        <w:tblStyle w:val="36"/>
        <w:tblpPr w:leftFromText="180" w:rightFromText="180" w:vertAnchor="text" w:horzAnchor="page" w:tblpX="1280" w:tblpY="468"/>
        <w:tblOverlap w:val="never"/>
        <w:tblW w:w="0" w:type="auto"/>
        <w:tblInd w:w="0" w:type="dxa"/>
        <w:tblLayout w:type="fixed"/>
        <w:tblCellMar>
          <w:top w:w="0" w:type="dxa"/>
          <w:left w:w="0" w:type="dxa"/>
          <w:bottom w:w="0" w:type="dxa"/>
          <w:right w:w="0" w:type="dxa"/>
        </w:tblCellMar>
      </w:tblPr>
      <w:tblGrid>
        <w:gridCol w:w="4435"/>
        <w:gridCol w:w="4130"/>
      </w:tblGrid>
      <w:tr>
        <w:tblPrEx>
          <w:tblCellMar>
            <w:top w:w="0" w:type="dxa"/>
            <w:left w:w="0" w:type="dxa"/>
            <w:bottom w:w="0" w:type="dxa"/>
            <w:right w:w="0" w:type="dxa"/>
          </w:tblCellMar>
        </w:tblPrEx>
        <w:trPr>
          <w:trHeight w:val="1102" w:hRule="atLeast"/>
        </w:trPr>
        <w:tc>
          <w:tcPr>
            <w:tcW w:w="4435" w:type="dxa"/>
          </w:tcPr>
          <w:p>
            <w:pPr>
              <w:pStyle w:val="59"/>
              <w:tabs>
                <w:tab w:val="left" w:pos="4320"/>
              </w:tabs>
              <w:spacing w:line="360" w:lineRule="auto"/>
              <w:rPr>
                <w:sz w:val="24"/>
                <w:szCs w:val="24"/>
              </w:rPr>
            </w:pPr>
            <w:r>
              <w:rPr>
                <w:rFonts w:hint="eastAsia"/>
                <w:sz w:val="24"/>
                <w:szCs w:val="24"/>
              </w:rPr>
              <w:t>法定代表人：</w:t>
            </w:r>
            <w:r>
              <w:rPr>
                <w:sz w:val="24"/>
                <w:szCs w:val="24"/>
                <w:u w:val="single"/>
              </w:rPr>
              <w:tab/>
            </w:r>
          </w:p>
          <w:p>
            <w:pPr>
              <w:pStyle w:val="59"/>
              <w:tabs>
                <w:tab w:val="left" w:pos="4320"/>
              </w:tabs>
              <w:spacing w:line="360" w:lineRule="auto"/>
              <w:rPr>
                <w:sz w:val="24"/>
                <w:szCs w:val="24"/>
              </w:rPr>
            </w:pPr>
            <w:r>
              <w:rPr>
                <w:rFonts w:hint="eastAsia"/>
                <w:sz w:val="24"/>
                <w:szCs w:val="24"/>
              </w:rPr>
              <w:t>委托代理人：</w:t>
            </w:r>
            <w:r>
              <w:rPr>
                <w:sz w:val="24"/>
                <w:szCs w:val="24"/>
                <w:u w:val="single"/>
              </w:rPr>
              <w:tab/>
            </w:r>
          </w:p>
        </w:tc>
        <w:tc>
          <w:tcPr>
            <w:tcW w:w="4130" w:type="dxa"/>
          </w:tcPr>
          <w:p>
            <w:pPr>
              <w:pStyle w:val="59"/>
              <w:tabs>
                <w:tab w:val="left" w:pos="4079"/>
              </w:tabs>
              <w:spacing w:line="360" w:lineRule="auto"/>
              <w:ind w:firstLine="480" w:firstLineChars="200"/>
              <w:rPr>
                <w:sz w:val="24"/>
                <w:szCs w:val="24"/>
              </w:rPr>
            </w:pPr>
            <w:r>
              <w:rPr>
                <w:rFonts w:hint="eastAsia"/>
                <w:sz w:val="24"/>
                <w:szCs w:val="24"/>
              </w:rPr>
              <w:t>法定代表人：</w:t>
            </w:r>
            <w:r>
              <w:rPr>
                <w:sz w:val="24"/>
                <w:szCs w:val="24"/>
                <w:u w:val="single"/>
              </w:rPr>
              <w:tab/>
            </w:r>
          </w:p>
          <w:p>
            <w:pPr>
              <w:pStyle w:val="59"/>
              <w:tabs>
                <w:tab w:val="left" w:pos="4079"/>
              </w:tabs>
              <w:spacing w:line="360" w:lineRule="auto"/>
              <w:ind w:firstLine="480" w:firstLineChars="200"/>
              <w:rPr>
                <w:sz w:val="24"/>
                <w:szCs w:val="24"/>
              </w:rPr>
            </w:pPr>
            <w:r>
              <w:rPr>
                <w:rFonts w:hint="eastAsia"/>
                <w:sz w:val="24"/>
                <w:szCs w:val="24"/>
              </w:rPr>
              <w:t>委托代理人：</w:t>
            </w:r>
            <w:r>
              <w:rPr>
                <w:sz w:val="24"/>
                <w:szCs w:val="24"/>
                <w:u w:val="single"/>
              </w:rPr>
              <w:tab/>
            </w:r>
          </w:p>
        </w:tc>
      </w:tr>
      <w:tr>
        <w:tblPrEx>
          <w:tblCellMar>
            <w:top w:w="0" w:type="dxa"/>
            <w:left w:w="0" w:type="dxa"/>
            <w:bottom w:w="0" w:type="dxa"/>
            <w:right w:w="0" w:type="dxa"/>
          </w:tblCellMar>
        </w:tblPrEx>
        <w:trPr>
          <w:trHeight w:val="624" w:hRule="atLeast"/>
        </w:trPr>
        <w:tc>
          <w:tcPr>
            <w:tcW w:w="4435" w:type="dxa"/>
          </w:tcPr>
          <w:p>
            <w:pPr>
              <w:pStyle w:val="59"/>
              <w:tabs>
                <w:tab w:val="left" w:pos="649"/>
                <w:tab w:val="left" w:pos="4320"/>
              </w:tabs>
              <w:spacing w:line="360" w:lineRule="auto"/>
              <w:rPr>
                <w:sz w:val="24"/>
                <w:szCs w:val="24"/>
              </w:rPr>
            </w:pPr>
            <w:r>
              <w:rPr>
                <w:rFonts w:hint="eastAsia"/>
                <w:sz w:val="24"/>
                <w:szCs w:val="24"/>
              </w:rPr>
              <w:t>电</w:t>
            </w:r>
            <w:r>
              <w:rPr>
                <w:sz w:val="24"/>
                <w:szCs w:val="24"/>
              </w:rPr>
              <w:tab/>
            </w:r>
            <w:r>
              <w:rPr>
                <w:rFonts w:hint="eastAsia"/>
                <w:sz w:val="24"/>
                <w:szCs w:val="24"/>
              </w:rPr>
              <w:t>话：</w:t>
            </w:r>
            <w:r>
              <w:rPr>
                <w:sz w:val="24"/>
                <w:szCs w:val="24"/>
                <w:u w:val="single"/>
              </w:rPr>
              <w:tab/>
            </w:r>
          </w:p>
        </w:tc>
        <w:tc>
          <w:tcPr>
            <w:tcW w:w="4130" w:type="dxa"/>
          </w:tcPr>
          <w:p>
            <w:pPr>
              <w:pStyle w:val="59"/>
              <w:tabs>
                <w:tab w:val="left" w:pos="599"/>
                <w:tab w:val="left" w:pos="3965"/>
              </w:tabs>
              <w:spacing w:line="360" w:lineRule="auto"/>
              <w:jc w:val="right"/>
              <w:rPr>
                <w:sz w:val="24"/>
                <w:szCs w:val="24"/>
              </w:rPr>
            </w:pPr>
            <w:r>
              <w:rPr>
                <w:sz w:val="24"/>
                <w:szCs w:val="24"/>
                <w:lang w:val="en-US"/>
              </w:rPr>
              <w:t xml:space="preserve">   </w:t>
            </w:r>
            <w:r>
              <w:rPr>
                <w:rFonts w:hint="eastAsia"/>
                <w:sz w:val="24"/>
                <w:szCs w:val="24"/>
              </w:rPr>
              <w:t>电</w:t>
            </w:r>
            <w:r>
              <w:rPr>
                <w:sz w:val="24"/>
                <w:szCs w:val="24"/>
                <w:lang w:val="en-US"/>
              </w:rPr>
              <w:t xml:space="preserve">   </w:t>
            </w:r>
            <w:r>
              <w:rPr>
                <w:rFonts w:hint="eastAsia"/>
                <w:sz w:val="24"/>
                <w:szCs w:val="24"/>
              </w:rPr>
              <w:t>话：</w:t>
            </w:r>
            <w:r>
              <w:rPr>
                <w:sz w:val="24"/>
                <w:szCs w:val="24"/>
                <w:u w:val="single"/>
              </w:rPr>
              <w:tab/>
            </w:r>
          </w:p>
        </w:tc>
      </w:tr>
      <w:tr>
        <w:tblPrEx>
          <w:tblCellMar>
            <w:top w:w="0" w:type="dxa"/>
            <w:left w:w="0" w:type="dxa"/>
            <w:bottom w:w="0" w:type="dxa"/>
            <w:right w:w="0" w:type="dxa"/>
          </w:tblCellMar>
        </w:tblPrEx>
        <w:trPr>
          <w:trHeight w:val="624" w:hRule="atLeast"/>
        </w:trPr>
        <w:tc>
          <w:tcPr>
            <w:tcW w:w="4435" w:type="dxa"/>
          </w:tcPr>
          <w:p>
            <w:pPr>
              <w:pStyle w:val="59"/>
              <w:tabs>
                <w:tab w:val="left" w:pos="649"/>
                <w:tab w:val="left" w:pos="4320"/>
              </w:tabs>
              <w:spacing w:line="360" w:lineRule="auto"/>
              <w:rPr>
                <w:sz w:val="24"/>
                <w:szCs w:val="24"/>
              </w:rPr>
            </w:pPr>
            <w:r>
              <w:rPr>
                <w:rFonts w:hint="eastAsia"/>
                <w:sz w:val="24"/>
                <w:szCs w:val="24"/>
              </w:rPr>
              <w:t>传</w:t>
            </w:r>
            <w:r>
              <w:rPr>
                <w:sz w:val="24"/>
                <w:szCs w:val="24"/>
              </w:rPr>
              <w:tab/>
            </w:r>
            <w:r>
              <w:rPr>
                <w:rFonts w:hint="eastAsia"/>
                <w:sz w:val="24"/>
                <w:szCs w:val="24"/>
              </w:rPr>
              <w:t>真：</w:t>
            </w:r>
            <w:r>
              <w:rPr>
                <w:sz w:val="24"/>
                <w:szCs w:val="24"/>
                <w:u w:val="single"/>
              </w:rPr>
              <w:tab/>
            </w:r>
          </w:p>
        </w:tc>
        <w:tc>
          <w:tcPr>
            <w:tcW w:w="4130" w:type="dxa"/>
          </w:tcPr>
          <w:p>
            <w:pPr>
              <w:pStyle w:val="59"/>
              <w:tabs>
                <w:tab w:val="left" w:pos="599"/>
                <w:tab w:val="left" w:pos="3965"/>
              </w:tabs>
              <w:spacing w:line="360" w:lineRule="auto"/>
              <w:jc w:val="right"/>
              <w:rPr>
                <w:sz w:val="24"/>
                <w:szCs w:val="24"/>
              </w:rPr>
            </w:pPr>
            <w:r>
              <w:rPr>
                <w:sz w:val="24"/>
                <w:szCs w:val="24"/>
                <w:lang w:val="en-US"/>
              </w:rPr>
              <w:t xml:space="preserve">   </w:t>
            </w:r>
            <w:r>
              <w:rPr>
                <w:rFonts w:hint="eastAsia"/>
                <w:sz w:val="24"/>
                <w:szCs w:val="24"/>
              </w:rPr>
              <w:t>传</w:t>
            </w:r>
            <w:r>
              <w:rPr>
                <w:sz w:val="24"/>
                <w:szCs w:val="24"/>
                <w:lang w:val="en-US"/>
              </w:rPr>
              <w:t xml:space="preserve">   </w:t>
            </w:r>
            <w:r>
              <w:rPr>
                <w:rFonts w:hint="eastAsia"/>
                <w:sz w:val="24"/>
                <w:szCs w:val="24"/>
              </w:rPr>
              <w:t>真：</w:t>
            </w:r>
            <w:r>
              <w:rPr>
                <w:sz w:val="24"/>
                <w:szCs w:val="24"/>
                <w:u w:val="single"/>
              </w:rPr>
              <w:tab/>
            </w:r>
          </w:p>
        </w:tc>
      </w:tr>
      <w:tr>
        <w:tblPrEx>
          <w:tblCellMar>
            <w:top w:w="0" w:type="dxa"/>
            <w:left w:w="0" w:type="dxa"/>
            <w:bottom w:w="0" w:type="dxa"/>
            <w:right w:w="0" w:type="dxa"/>
          </w:tblCellMar>
        </w:tblPrEx>
        <w:trPr>
          <w:trHeight w:val="624" w:hRule="atLeast"/>
        </w:trPr>
        <w:tc>
          <w:tcPr>
            <w:tcW w:w="4435" w:type="dxa"/>
          </w:tcPr>
          <w:p>
            <w:pPr>
              <w:pStyle w:val="59"/>
              <w:tabs>
                <w:tab w:val="left" w:pos="4320"/>
              </w:tabs>
              <w:spacing w:line="360" w:lineRule="auto"/>
              <w:rPr>
                <w:sz w:val="24"/>
                <w:szCs w:val="24"/>
              </w:rPr>
            </w:pPr>
            <w:r>
              <w:rPr>
                <w:rFonts w:hint="eastAsia"/>
                <w:sz w:val="24"/>
                <w:szCs w:val="24"/>
              </w:rPr>
              <w:t>电子信箱：</w:t>
            </w:r>
            <w:r>
              <w:rPr>
                <w:sz w:val="24"/>
                <w:szCs w:val="24"/>
                <w:u w:val="single"/>
              </w:rPr>
              <w:tab/>
            </w:r>
          </w:p>
        </w:tc>
        <w:tc>
          <w:tcPr>
            <w:tcW w:w="4130" w:type="dxa"/>
          </w:tcPr>
          <w:p>
            <w:pPr>
              <w:pStyle w:val="59"/>
              <w:tabs>
                <w:tab w:val="left" w:pos="3965"/>
              </w:tabs>
              <w:spacing w:line="360" w:lineRule="auto"/>
              <w:jc w:val="right"/>
              <w:rPr>
                <w:sz w:val="24"/>
                <w:szCs w:val="24"/>
              </w:rPr>
            </w:pPr>
            <w:r>
              <w:rPr>
                <w:sz w:val="24"/>
                <w:szCs w:val="24"/>
                <w:lang w:val="en-US"/>
              </w:rPr>
              <w:t xml:space="preserve">   </w:t>
            </w:r>
            <w:r>
              <w:rPr>
                <w:rFonts w:hint="eastAsia"/>
                <w:sz w:val="24"/>
                <w:szCs w:val="24"/>
              </w:rPr>
              <w:t>电子信箱：</w:t>
            </w:r>
            <w:r>
              <w:rPr>
                <w:sz w:val="24"/>
                <w:szCs w:val="24"/>
                <w:u w:val="single"/>
              </w:rPr>
              <w:tab/>
            </w:r>
          </w:p>
        </w:tc>
      </w:tr>
      <w:tr>
        <w:tblPrEx>
          <w:tblCellMar>
            <w:top w:w="0" w:type="dxa"/>
            <w:left w:w="0" w:type="dxa"/>
            <w:bottom w:w="0" w:type="dxa"/>
            <w:right w:w="0" w:type="dxa"/>
          </w:tblCellMar>
        </w:tblPrEx>
        <w:trPr>
          <w:trHeight w:val="624" w:hRule="atLeast"/>
        </w:trPr>
        <w:tc>
          <w:tcPr>
            <w:tcW w:w="4435" w:type="dxa"/>
          </w:tcPr>
          <w:p>
            <w:pPr>
              <w:pStyle w:val="59"/>
              <w:tabs>
                <w:tab w:val="left" w:pos="4320"/>
              </w:tabs>
              <w:spacing w:line="360" w:lineRule="auto"/>
              <w:rPr>
                <w:sz w:val="24"/>
                <w:szCs w:val="24"/>
              </w:rPr>
            </w:pPr>
            <w:r>
              <w:rPr>
                <w:rFonts w:hint="eastAsia"/>
                <w:sz w:val="24"/>
                <w:szCs w:val="24"/>
              </w:rPr>
              <w:t>开户银行：</w:t>
            </w:r>
            <w:r>
              <w:rPr>
                <w:sz w:val="24"/>
                <w:szCs w:val="24"/>
                <w:u w:val="single"/>
              </w:rPr>
              <w:tab/>
            </w:r>
          </w:p>
        </w:tc>
        <w:tc>
          <w:tcPr>
            <w:tcW w:w="4130" w:type="dxa"/>
          </w:tcPr>
          <w:p>
            <w:pPr>
              <w:pStyle w:val="59"/>
              <w:tabs>
                <w:tab w:val="left" w:pos="3965"/>
              </w:tabs>
              <w:spacing w:line="360" w:lineRule="auto"/>
              <w:jc w:val="right"/>
              <w:rPr>
                <w:sz w:val="24"/>
                <w:szCs w:val="24"/>
              </w:rPr>
            </w:pPr>
            <w:r>
              <w:rPr>
                <w:sz w:val="24"/>
                <w:szCs w:val="24"/>
                <w:lang w:val="en-US"/>
              </w:rPr>
              <w:t xml:space="preserve">   </w:t>
            </w:r>
            <w:r>
              <w:rPr>
                <w:rFonts w:hint="eastAsia"/>
                <w:sz w:val="24"/>
                <w:szCs w:val="24"/>
              </w:rPr>
              <w:t>开户银行：</w:t>
            </w:r>
            <w:r>
              <w:rPr>
                <w:sz w:val="24"/>
                <w:szCs w:val="24"/>
                <w:u w:val="single"/>
              </w:rPr>
              <w:tab/>
            </w:r>
          </w:p>
        </w:tc>
      </w:tr>
      <w:tr>
        <w:tblPrEx>
          <w:tblCellMar>
            <w:top w:w="0" w:type="dxa"/>
            <w:left w:w="0" w:type="dxa"/>
            <w:bottom w:w="0" w:type="dxa"/>
            <w:right w:w="0" w:type="dxa"/>
          </w:tblCellMar>
        </w:tblPrEx>
        <w:trPr>
          <w:trHeight w:val="478" w:hRule="atLeast"/>
        </w:trPr>
        <w:tc>
          <w:tcPr>
            <w:tcW w:w="4435" w:type="dxa"/>
          </w:tcPr>
          <w:p>
            <w:pPr>
              <w:pStyle w:val="59"/>
              <w:tabs>
                <w:tab w:val="left" w:pos="649"/>
                <w:tab w:val="left" w:pos="4320"/>
              </w:tabs>
              <w:spacing w:line="360" w:lineRule="auto"/>
              <w:rPr>
                <w:sz w:val="24"/>
                <w:szCs w:val="24"/>
              </w:rPr>
            </w:pPr>
            <w:r>
              <w:rPr>
                <w:rFonts w:hint="eastAsia"/>
                <w:sz w:val="24"/>
                <w:szCs w:val="24"/>
              </w:rPr>
              <w:t>账</w:t>
            </w:r>
            <w:r>
              <w:rPr>
                <w:sz w:val="24"/>
                <w:szCs w:val="24"/>
              </w:rPr>
              <w:tab/>
            </w:r>
            <w:r>
              <w:rPr>
                <w:rFonts w:hint="eastAsia"/>
                <w:sz w:val="24"/>
                <w:szCs w:val="24"/>
              </w:rPr>
              <w:t>号：</w:t>
            </w:r>
            <w:r>
              <w:rPr>
                <w:sz w:val="24"/>
                <w:szCs w:val="24"/>
                <w:u w:val="single"/>
              </w:rPr>
              <w:tab/>
            </w:r>
          </w:p>
        </w:tc>
        <w:tc>
          <w:tcPr>
            <w:tcW w:w="4130" w:type="dxa"/>
          </w:tcPr>
          <w:p>
            <w:pPr>
              <w:pStyle w:val="59"/>
              <w:tabs>
                <w:tab w:val="left" w:pos="599"/>
                <w:tab w:val="left" w:pos="3965"/>
              </w:tabs>
              <w:spacing w:line="360" w:lineRule="auto"/>
              <w:jc w:val="right"/>
              <w:rPr>
                <w:sz w:val="24"/>
                <w:szCs w:val="24"/>
              </w:rPr>
            </w:pPr>
            <w:r>
              <w:rPr>
                <w:sz w:val="24"/>
                <w:szCs w:val="24"/>
                <w:lang w:val="en-US"/>
              </w:rPr>
              <w:t xml:space="preserve">   </w:t>
            </w:r>
            <w:r>
              <w:rPr>
                <w:rFonts w:hint="eastAsia"/>
                <w:sz w:val="24"/>
                <w:szCs w:val="24"/>
              </w:rPr>
              <w:t>账</w:t>
            </w:r>
            <w:r>
              <w:rPr>
                <w:sz w:val="24"/>
                <w:szCs w:val="24"/>
                <w:lang w:val="en-US"/>
              </w:rPr>
              <w:t xml:space="preserve">    </w:t>
            </w:r>
            <w:r>
              <w:rPr>
                <w:rFonts w:hint="eastAsia"/>
                <w:sz w:val="24"/>
                <w:szCs w:val="24"/>
              </w:rPr>
              <w:t>号：</w:t>
            </w:r>
            <w:r>
              <w:rPr>
                <w:sz w:val="24"/>
                <w:szCs w:val="24"/>
                <w:u w:val="single"/>
              </w:rPr>
              <w:tab/>
            </w:r>
          </w:p>
        </w:tc>
      </w:tr>
    </w:tbl>
    <w:p>
      <w:pPr>
        <w:tabs>
          <w:tab w:val="left" w:pos="4808"/>
          <w:tab w:val="left" w:pos="5035"/>
          <w:tab w:val="left" w:pos="9001"/>
        </w:tabs>
        <w:spacing w:line="360" w:lineRule="auto"/>
        <w:rPr>
          <w:sz w:val="24"/>
          <w:szCs w:val="24"/>
        </w:rPr>
      </w:pPr>
      <w:r>
        <w:rPr>
          <w:rFonts w:hint="eastAsia"/>
          <w:sz w:val="24"/>
          <w:szCs w:val="24"/>
        </w:rPr>
        <w:t>邮政编码：</w:t>
      </w:r>
      <w:r>
        <w:rPr>
          <w:sz w:val="24"/>
          <w:szCs w:val="24"/>
          <w:u w:val="single"/>
        </w:rPr>
        <w:tab/>
      </w:r>
      <w:r>
        <w:rPr>
          <w:sz w:val="24"/>
          <w:szCs w:val="24"/>
        </w:rPr>
        <w:tab/>
      </w:r>
      <w:r>
        <w:rPr>
          <w:rFonts w:hint="eastAsia"/>
          <w:sz w:val="24"/>
          <w:szCs w:val="24"/>
        </w:rPr>
        <w:t>邮政编码：</w:t>
      </w:r>
      <w:r>
        <w:rPr>
          <w:sz w:val="24"/>
          <w:szCs w:val="24"/>
          <w:u w:val="single"/>
        </w:rPr>
        <w:tab/>
      </w:r>
    </w:p>
    <w:p>
      <w:pPr>
        <w:spacing w:line="360" w:lineRule="auto"/>
        <w:jc w:val="right"/>
        <w:rPr>
          <w:sz w:val="30"/>
        </w:rPr>
        <w:sectPr>
          <w:footerReference r:id="rId17" w:type="default"/>
          <w:pgSz w:w="11910" w:h="16840"/>
          <w:pgMar w:top="1580" w:right="620" w:bottom="1740" w:left="1220" w:header="0" w:footer="1545" w:gutter="0"/>
          <w:cols w:space="720" w:num="1"/>
        </w:sectPr>
      </w:pPr>
    </w:p>
    <w:p>
      <w:pPr>
        <w:spacing w:before="72" w:line="360" w:lineRule="auto"/>
        <w:ind w:left="434" w:right="598"/>
        <w:jc w:val="center"/>
        <w:rPr>
          <w:sz w:val="44"/>
          <w:szCs w:val="44"/>
        </w:rPr>
      </w:pPr>
      <w:bookmarkStart w:id="75" w:name="_bookmark6"/>
      <w:bookmarkEnd w:id="75"/>
      <w:r>
        <w:rPr>
          <w:sz w:val="44"/>
          <w:szCs w:val="44"/>
          <w:lang w:val="en-US"/>
        </w:rPr>
        <w:t xml:space="preserve"> </w:t>
      </w:r>
      <w:r>
        <w:rPr>
          <w:rFonts w:hint="eastAsia"/>
          <w:sz w:val="44"/>
          <w:szCs w:val="44"/>
        </w:rPr>
        <w:t>第二部分</w:t>
      </w:r>
      <w:r>
        <w:rPr>
          <w:sz w:val="44"/>
          <w:szCs w:val="44"/>
        </w:rPr>
        <w:t xml:space="preserve"> </w:t>
      </w:r>
      <w:r>
        <w:rPr>
          <w:rFonts w:hint="eastAsia"/>
          <w:sz w:val="44"/>
          <w:szCs w:val="44"/>
        </w:rPr>
        <w:t>通用合同条款</w:t>
      </w:r>
    </w:p>
    <w:p>
      <w:pPr>
        <w:pStyle w:val="64"/>
        <w:numPr>
          <w:ilvl w:val="0"/>
          <w:numId w:val="0"/>
        </w:numPr>
        <w:spacing w:before="0"/>
        <w:ind w:firstLine="482" w:firstLineChars="200"/>
        <w:rPr>
          <w:rFonts w:ascii="宋体"/>
          <w:b/>
          <w:sz w:val="24"/>
          <w:szCs w:val="24"/>
        </w:rPr>
      </w:pPr>
      <w:bookmarkStart w:id="76" w:name="_Toc54862177"/>
      <w:bookmarkStart w:id="77" w:name="_Ref508893699"/>
      <w:bookmarkStart w:id="78" w:name="_Ref509040831"/>
      <w:bookmarkStart w:id="79" w:name="_Ref509040826"/>
      <w:r>
        <w:rPr>
          <w:rFonts w:hint="eastAsia" w:ascii="宋体" w:hAnsi="宋体"/>
          <w:b/>
          <w:sz w:val="24"/>
          <w:szCs w:val="24"/>
        </w:rPr>
        <w:t>第</w:t>
      </w:r>
      <w:r>
        <w:rPr>
          <w:rFonts w:ascii="宋体" w:hAnsi="宋体"/>
          <w:b/>
          <w:sz w:val="24"/>
          <w:szCs w:val="24"/>
        </w:rPr>
        <w:t>1</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一般约定</w:t>
      </w:r>
      <w:bookmarkEnd w:id="76"/>
      <w:bookmarkEnd w:id="77"/>
    </w:p>
    <w:p>
      <w:pPr>
        <w:pStyle w:val="65"/>
        <w:widowControl/>
        <w:spacing w:afterLines="0"/>
        <w:ind w:left="0" w:firstLine="482" w:firstLineChars="200"/>
        <w:rPr>
          <w:rFonts w:ascii="宋体" w:hAnsi="宋体" w:eastAsia="宋体" w:cs="宋体"/>
        </w:rPr>
      </w:pPr>
      <w:bookmarkStart w:id="80" w:name="_Ref523741471"/>
      <w:bookmarkStart w:id="81" w:name="_Ref523741474"/>
      <w:bookmarkStart w:id="82" w:name="_Toc54862178"/>
      <w:r>
        <w:rPr>
          <w:rFonts w:ascii="宋体" w:hAnsi="宋体" w:eastAsia="宋体" w:cs="宋体"/>
        </w:rPr>
        <w:t xml:space="preserve">1.1 </w:t>
      </w:r>
      <w:r>
        <w:rPr>
          <w:rFonts w:hint="eastAsia" w:ascii="宋体" w:hAnsi="宋体" w:eastAsia="宋体" w:cs="宋体"/>
        </w:rPr>
        <w:t>词语定义和解释</w:t>
      </w:r>
      <w:bookmarkEnd w:id="78"/>
      <w:bookmarkEnd w:id="79"/>
      <w:bookmarkEnd w:id="80"/>
      <w:bookmarkEnd w:id="81"/>
      <w:bookmarkEnd w:id="82"/>
    </w:p>
    <w:p>
      <w:pPr>
        <w:spacing w:line="360" w:lineRule="auto"/>
        <w:ind w:firstLine="480" w:firstLineChars="200"/>
        <w:rPr>
          <w:sz w:val="24"/>
          <w:szCs w:val="24"/>
        </w:rPr>
      </w:pPr>
      <w:r>
        <w:rPr>
          <w:rFonts w:hint="eastAsia"/>
          <w:sz w:val="24"/>
          <w:szCs w:val="24"/>
        </w:rPr>
        <w:t>合同协议书、通用合同条件、专用合同条件中的下列词语应具有本款所赋予的含义：</w:t>
      </w:r>
    </w:p>
    <w:p>
      <w:pPr>
        <w:pStyle w:val="66"/>
        <w:spacing w:afterLines="0"/>
        <w:ind w:left="0" w:firstLine="482" w:firstLineChars="200"/>
        <w:rPr>
          <w:rFonts w:cs="宋体"/>
          <w:b/>
          <w:bCs/>
          <w:szCs w:val="24"/>
        </w:rPr>
      </w:pPr>
      <w:bookmarkStart w:id="83" w:name="_Ref4757289"/>
      <w:bookmarkStart w:id="84" w:name="_Ref521288340"/>
      <w:r>
        <w:rPr>
          <w:rFonts w:cs="宋体"/>
          <w:b/>
          <w:bCs/>
          <w:szCs w:val="24"/>
        </w:rPr>
        <w:t xml:space="preserve">1.1.1 </w:t>
      </w:r>
      <w:r>
        <w:rPr>
          <w:rFonts w:hint="eastAsia" w:cs="宋体"/>
          <w:b/>
          <w:bCs/>
          <w:szCs w:val="24"/>
        </w:rPr>
        <w:t>合同</w:t>
      </w:r>
      <w:bookmarkEnd w:id="83"/>
    </w:p>
    <w:p>
      <w:pPr>
        <w:pStyle w:val="67"/>
        <w:spacing w:afterLines="0"/>
        <w:ind w:left="0" w:firstLine="480" w:firstLineChars="200"/>
        <w:rPr>
          <w:rFonts w:cs="宋体"/>
          <w:szCs w:val="24"/>
        </w:rPr>
      </w:pPr>
      <w:r>
        <w:rPr>
          <w:rFonts w:cs="宋体"/>
          <w:szCs w:val="24"/>
        </w:rPr>
        <w:t xml:space="preserve">1.1.1.1 </w:t>
      </w:r>
      <w:r>
        <w:rPr>
          <w:rFonts w:hint="eastAsia" w:cs="宋体"/>
          <w:szCs w:val="24"/>
        </w:rPr>
        <w:t>合同：是指根据法律规定和合同当事人约定具有约束力的文件，构成合同的文件包括合同协议书、中标通知书（如果有）、投标函及其附录（如果有）、专用合同条件及其附件、通用合同条件、《发包人要求》、承包人建议书、价格清单以及双方约定的其他合同文件。</w:t>
      </w:r>
    </w:p>
    <w:p>
      <w:pPr>
        <w:pStyle w:val="67"/>
        <w:spacing w:afterLines="0"/>
        <w:ind w:left="0" w:firstLine="480" w:firstLineChars="200"/>
        <w:rPr>
          <w:rFonts w:cs="宋体"/>
          <w:szCs w:val="24"/>
        </w:rPr>
      </w:pPr>
      <w:r>
        <w:rPr>
          <w:rFonts w:cs="宋体"/>
          <w:szCs w:val="24"/>
        </w:rPr>
        <w:t xml:space="preserve">1.1.1.2 </w:t>
      </w:r>
      <w:r>
        <w:rPr>
          <w:rFonts w:hint="eastAsia" w:cs="宋体"/>
          <w:szCs w:val="24"/>
        </w:rPr>
        <w:t>合同协议书：是指构成合同的由发包人和承包人共同签署的称为“合同协议书”的书面文件。</w:t>
      </w:r>
    </w:p>
    <w:p>
      <w:pPr>
        <w:pStyle w:val="67"/>
        <w:spacing w:afterLines="0"/>
        <w:ind w:left="0" w:firstLine="480" w:firstLineChars="200"/>
        <w:rPr>
          <w:rFonts w:cs="宋体"/>
          <w:szCs w:val="24"/>
        </w:rPr>
      </w:pPr>
      <w:r>
        <w:rPr>
          <w:rFonts w:cs="宋体"/>
          <w:szCs w:val="24"/>
        </w:rPr>
        <w:t xml:space="preserve">1.1.1.3 </w:t>
      </w:r>
      <w:r>
        <w:rPr>
          <w:rFonts w:hint="eastAsia" w:cs="宋体"/>
          <w:szCs w:val="24"/>
        </w:rPr>
        <w:t>中标通知书：是指构成合同的由发包人通知承包人中标的书面文件。中标通知书随附的澄清、说明、补正事项纪要等，是中标通知书的组成部分。</w:t>
      </w:r>
    </w:p>
    <w:p>
      <w:pPr>
        <w:pStyle w:val="67"/>
        <w:spacing w:afterLines="0"/>
        <w:ind w:left="0" w:firstLine="480" w:firstLineChars="200"/>
        <w:rPr>
          <w:rFonts w:cs="宋体"/>
          <w:szCs w:val="24"/>
        </w:rPr>
      </w:pPr>
      <w:r>
        <w:rPr>
          <w:rFonts w:cs="宋体"/>
          <w:szCs w:val="24"/>
        </w:rPr>
        <w:t xml:space="preserve">1.1.1.4 </w:t>
      </w:r>
      <w:r>
        <w:rPr>
          <w:rFonts w:hint="eastAsia" w:cs="宋体"/>
          <w:szCs w:val="24"/>
        </w:rPr>
        <w:t>投标函：是指构成合同的由承包人填写并签署的用于投标的称为“投标函”的文件。</w:t>
      </w:r>
    </w:p>
    <w:p>
      <w:pPr>
        <w:pStyle w:val="67"/>
        <w:spacing w:afterLines="0"/>
        <w:ind w:left="0" w:firstLine="480" w:firstLineChars="200"/>
        <w:rPr>
          <w:rFonts w:cs="宋体"/>
          <w:szCs w:val="24"/>
        </w:rPr>
      </w:pPr>
      <w:r>
        <w:rPr>
          <w:rFonts w:cs="宋体"/>
          <w:szCs w:val="24"/>
        </w:rPr>
        <w:t xml:space="preserve">1.1.1.5 </w:t>
      </w:r>
      <w:r>
        <w:rPr>
          <w:rFonts w:hint="eastAsia" w:cs="宋体"/>
          <w:szCs w:val="24"/>
        </w:rPr>
        <w:t>投标函附录：是指构成合同的附在投标函后的称为“投标函附录”的文件。</w:t>
      </w:r>
    </w:p>
    <w:p>
      <w:pPr>
        <w:pStyle w:val="67"/>
        <w:spacing w:afterLines="0"/>
        <w:ind w:left="0" w:firstLine="480" w:firstLineChars="200"/>
        <w:rPr>
          <w:rFonts w:cs="宋体"/>
          <w:szCs w:val="24"/>
        </w:rPr>
      </w:pPr>
      <w:r>
        <w:rPr>
          <w:rFonts w:cs="宋体"/>
          <w:szCs w:val="24"/>
        </w:rPr>
        <w:t xml:space="preserve">1.1.1.6 </w:t>
      </w:r>
      <w:r>
        <w:rPr>
          <w:rFonts w:hint="eastAsia" w:cs="宋体"/>
          <w:szCs w:val="24"/>
        </w:rPr>
        <w:t>《发包人要求》：指构成合同文件组成部分的名为《发包人要求》的文件，其中列明工程的目的、范围、设计与其他技术标准和要求，以及合同双方当事人约定对其所作的修改或补充。</w:t>
      </w:r>
    </w:p>
    <w:p>
      <w:pPr>
        <w:pStyle w:val="67"/>
        <w:spacing w:afterLines="0"/>
        <w:ind w:left="0" w:firstLine="480" w:firstLineChars="200"/>
        <w:rPr>
          <w:rFonts w:cs="宋体"/>
          <w:szCs w:val="24"/>
        </w:rPr>
      </w:pPr>
      <w:r>
        <w:rPr>
          <w:rFonts w:cs="宋体"/>
          <w:szCs w:val="24"/>
        </w:rPr>
        <w:t xml:space="preserve">1.1.1.7 </w:t>
      </w:r>
      <w:r>
        <w:rPr>
          <w:rFonts w:hint="eastAsia" w:cs="宋体"/>
          <w:szCs w:val="24"/>
        </w:rPr>
        <w:t>项目清单：是指发包人提供的载明工程总承包项目勘察费（如果有）、设计费、建筑安装工程费、设备购置费、暂估价、暂列金额和双方约定的其他费用的名称和相应数量等内容的项目明细。</w:t>
      </w:r>
    </w:p>
    <w:p>
      <w:pPr>
        <w:pStyle w:val="67"/>
        <w:spacing w:afterLines="0"/>
        <w:ind w:left="0" w:firstLine="480" w:firstLineChars="200"/>
        <w:rPr>
          <w:rFonts w:cs="宋体"/>
          <w:szCs w:val="24"/>
        </w:rPr>
      </w:pPr>
      <w:r>
        <w:rPr>
          <w:rFonts w:cs="宋体"/>
          <w:szCs w:val="24"/>
        </w:rPr>
        <w:t xml:space="preserve">1.1.1.8 </w:t>
      </w:r>
      <w:r>
        <w:rPr>
          <w:rFonts w:hint="eastAsia" w:cs="宋体"/>
          <w:szCs w:val="24"/>
        </w:rPr>
        <w:t>价格清单：指构成合同文件组成部分的由承包人按发包人提供的项目清单规定的格式和要求填写并标明价格的清单。</w:t>
      </w:r>
    </w:p>
    <w:p>
      <w:pPr>
        <w:pStyle w:val="67"/>
        <w:spacing w:afterLines="0"/>
        <w:ind w:left="0" w:firstLine="480" w:firstLineChars="200"/>
        <w:rPr>
          <w:rFonts w:cs="宋体"/>
          <w:szCs w:val="24"/>
        </w:rPr>
      </w:pPr>
      <w:r>
        <w:rPr>
          <w:rFonts w:cs="宋体"/>
          <w:szCs w:val="24"/>
        </w:rPr>
        <w:t xml:space="preserve">1.1.1.9 </w:t>
      </w:r>
      <w:r>
        <w:rPr>
          <w:rFonts w:hint="eastAsia" w:cs="宋体"/>
          <w:szCs w:val="24"/>
        </w:rPr>
        <w:t>承包人建议书：指构成合同文件组成部分的名为承包人建议书的文件。承包人建议书由承包人随投标函一起提交。</w:t>
      </w:r>
    </w:p>
    <w:p>
      <w:pPr>
        <w:pStyle w:val="67"/>
        <w:spacing w:afterLines="0"/>
        <w:ind w:left="0" w:firstLine="480" w:firstLineChars="200"/>
        <w:rPr>
          <w:rFonts w:cs="宋体"/>
          <w:szCs w:val="24"/>
        </w:rPr>
      </w:pPr>
      <w:bookmarkStart w:id="85" w:name="_Ref4415300"/>
      <w:r>
        <w:rPr>
          <w:rFonts w:cs="宋体"/>
          <w:szCs w:val="24"/>
        </w:rPr>
        <w:t xml:space="preserve">1.1.1.10 </w:t>
      </w:r>
      <w:r>
        <w:rPr>
          <w:rFonts w:hint="eastAsia" w:cs="宋体"/>
          <w:szCs w:val="24"/>
        </w:rPr>
        <w:t>其他合同文件：是指经合同当事人约定的与工程实施有关的具有合同约束力的文件或书面协议。合同当事人可以在专用合同条件中进行约定。</w:t>
      </w:r>
      <w:bookmarkEnd w:id="85"/>
    </w:p>
    <w:p>
      <w:pPr>
        <w:pStyle w:val="66"/>
        <w:spacing w:afterLines="0"/>
        <w:ind w:left="0" w:firstLine="482" w:firstLineChars="200"/>
        <w:rPr>
          <w:rFonts w:cs="宋体"/>
          <w:b/>
          <w:bCs/>
          <w:szCs w:val="24"/>
        </w:rPr>
      </w:pPr>
      <w:bookmarkStart w:id="86" w:name="_Ref4757418"/>
      <w:r>
        <w:rPr>
          <w:rFonts w:cs="宋体"/>
          <w:b/>
          <w:bCs/>
          <w:szCs w:val="24"/>
        </w:rPr>
        <w:t xml:space="preserve">1.1.2 </w:t>
      </w:r>
      <w:r>
        <w:rPr>
          <w:rFonts w:hint="eastAsia" w:cs="宋体"/>
          <w:b/>
          <w:bCs/>
          <w:szCs w:val="24"/>
        </w:rPr>
        <w:t>合同当事人及其他相关方</w:t>
      </w:r>
      <w:bookmarkEnd w:id="86"/>
    </w:p>
    <w:p>
      <w:pPr>
        <w:pStyle w:val="67"/>
        <w:spacing w:afterLines="0"/>
        <w:ind w:left="0" w:firstLine="480" w:firstLineChars="200"/>
        <w:rPr>
          <w:rFonts w:cs="宋体"/>
          <w:szCs w:val="24"/>
        </w:rPr>
      </w:pPr>
      <w:r>
        <w:rPr>
          <w:rFonts w:cs="宋体"/>
          <w:szCs w:val="24"/>
        </w:rPr>
        <w:t xml:space="preserve">1.1.2.1 </w:t>
      </w:r>
      <w:r>
        <w:rPr>
          <w:rFonts w:hint="eastAsia" w:cs="宋体"/>
          <w:szCs w:val="24"/>
        </w:rPr>
        <w:t>合同当事人：是指发包人和（或）承包人。</w:t>
      </w:r>
    </w:p>
    <w:p>
      <w:pPr>
        <w:pStyle w:val="67"/>
        <w:spacing w:afterLines="0"/>
        <w:ind w:left="0" w:firstLine="480" w:firstLineChars="200"/>
        <w:rPr>
          <w:rFonts w:cs="宋体"/>
          <w:szCs w:val="24"/>
        </w:rPr>
      </w:pPr>
      <w:r>
        <w:rPr>
          <w:rFonts w:cs="宋体"/>
          <w:szCs w:val="24"/>
        </w:rPr>
        <w:t xml:space="preserve">1.1.2.2 </w:t>
      </w:r>
      <w:r>
        <w:rPr>
          <w:rFonts w:hint="eastAsia" w:cs="宋体"/>
          <w:szCs w:val="24"/>
        </w:rPr>
        <w:t>发包人：是指与承包人订立合同协议书的当事人及取得该当事人资格的合法继受人。本合同中“因发包人原因”里的“发包人”包括发包人及所有发包人人员。</w:t>
      </w:r>
    </w:p>
    <w:p>
      <w:pPr>
        <w:pStyle w:val="67"/>
        <w:spacing w:afterLines="0"/>
        <w:ind w:left="0" w:firstLine="480" w:firstLineChars="200"/>
        <w:rPr>
          <w:rFonts w:cs="宋体"/>
          <w:szCs w:val="24"/>
        </w:rPr>
      </w:pPr>
      <w:r>
        <w:rPr>
          <w:rFonts w:cs="宋体"/>
          <w:szCs w:val="24"/>
        </w:rPr>
        <w:t xml:space="preserve">1.1.2.3 </w:t>
      </w:r>
      <w:r>
        <w:rPr>
          <w:rFonts w:hint="eastAsia" w:cs="宋体"/>
          <w:szCs w:val="24"/>
        </w:rPr>
        <w:t>承包人：是指与发包人订立合同协议书的当事人及取得该当事人资格的合法继受人。</w:t>
      </w:r>
    </w:p>
    <w:p>
      <w:pPr>
        <w:pStyle w:val="67"/>
        <w:spacing w:afterLines="0"/>
        <w:ind w:left="0" w:firstLine="480" w:firstLineChars="200"/>
        <w:rPr>
          <w:rFonts w:cs="宋体"/>
          <w:szCs w:val="24"/>
        </w:rPr>
      </w:pPr>
      <w:r>
        <w:rPr>
          <w:rFonts w:cs="宋体"/>
          <w:szCs w:val="24"/>
        </w:rPr>
        <w:t xml:space="preserve">1.1.2.4 </w:t>
      </w:r>
      <w:r>
        <w:rPr>
          <w:rFonts w:hint="eastAsia" w:cs="宋体"/>
          <w:szCs w:val="24"/>
        </w:rPr>
        <w:t>联合体：是指经发包人同意由两个或两个以上法人或者其他组织组成的，作为承包人的临时机构。</w:t>
      </w:r>
    </w:p>
    <w:p>
      <w:pPr>
        <w:pStyle w:val="67"/>
        <w:spacing w:afterLines="0"/>
        <w:ind w:left="0" w:firstLine="480" w:firstLineChars="200"/>
        <w:rPr>
          <w:rFonts w:cs="宋体"/>
          <w:szCs w:val="24"/>
        </w:rPr>
      </w:pPr>
      <w:bookmarkStart w:id="87" w:name="_Ref4420046"/>
      <w:r>
        <w:rPr>
          <w:rFonts w:cs="宋体"/>
          <w:szCs w:val="24"/>
        </w:rPr>
        <w:t xml:space="preserve">1.1.2.5 </w:t>
      </w:r>
      <w:r>
        <w:rPr>
          <w:rFonts w:hint="eastAsia" w:cs="宋体"/>
          <w:szCs w:val="24"/>
        </w:rPr>
        <w:t>发包人代表：是指由发包人任命并派驻工作现场，在发包人授权范围内行使发包人权利和履行发包人义务的人。</w:t>
      </w:r>
    </w:p>
    <w:p>
      <w:pPr>
        <w:pStyle w:val="67"/>
        <w:spacing w:afterLines="0"/>
        <w:ind w:left="0" w:firstLine="480" w:firstLineChars="200"/>
        <w:rPr>
          <w:rFonts w:cs="宋体"/>
          <w:szCs w:val="24"/>
        </w:rPr>
      </w:pPr>
      <w:bookmarkStart w:id="88" w:name="_Ref4756982"/>
      <w:r>
        <w:rPr>
          <w:rFonts w:cs="宋体"/>
          <w:szCs w:val="24"/>
        </w:rPr>
        <w:t xml:space="preserve">1.1.2.6 </w:t>
      </w:r>
      <w:r>
        <w:rPr>
          <w:rFonts w:hint="eastAsia" w:cs="宋体"/>
          <w:szCs w:val="24"/>
        </w:rPr>
        <w:t>工程师：是指在专用合同条件中指明的，受发包人委托按照法律规定和发包人的授权进行合同履行管理、工程监督管理等工作的法人或其他组织；该法人或其他组织应雇用一名具有相应执业资格和职业能力的自然人作为工程师代表，并授予其根据本合同代表工程师行事的权利。</w:t>
      </w:r>
      <w:bookmarkEnd w:id="87"/>
      <w:bookmarkEnd w:id="88"/>
    </w:p>
    <w:p>
      <w:pPr>
        <w:pStyle w:val="67"/>
        <w:spacing w:afterLines="0"/>
        <w:ind w:left="0" w:firstLine="480" w:firstLineChars="200"/>
        <w:rPr>
          <w:rFonts w:cs="宋体"/>
          <w:szCs w:val="24"/>
        </w:rPr>
      </w:pPr>
      <w:r>
        <w:rPr>
          <w:rFonts w:cs="宋体"/>
          <w:szCs w:val="24"/>
        </w:rPr>
        <w:t xml:space="preserve">1.1.2.7 </w:t>
      </w:r>
      <w:r>
        <w:rPr>
          <w:rFonts w:hint="eastAsia" w:cs="宋体"/>
          <w:szCs w:val="24"/>
        </w:rPr>
        <w:t>工程总承包项目经理：是指由承包人任命的，在承包人授权范围内负责合同履行的管理，且按照法律规定具有相应资格的项目负责人。</w:t>
      </w:r>
    </w:p>
    <w:p>
      <w:pPr>
        <w:pStyle w:val="67"/>
        <w:spacing w:afterLines="0"/>
        <w:ind w:left="0" w:firstLine="480" w:firstLineChars="200"/>
        <w:rPr>
          <w:rFonts w:cs="宋体"/>
          <w:szCs w:val="24"/>
        </w:rPr>
      </w:pPr>
      <w:r>
        <w:rPr>
          <w:rFonts w:cs="宋体"/>
          <w:szCs w:val="24"/>
        </w:rPr>
        <w:t xml:space="preserve">1.1.2.8 </w:t>
      </w:r>
      <w:r>
        <w:rPr>
          <w:rFonts w:hint="eastAsia" w:cs="宋体"/>
          <w:szCs w:val="24"/>
        </w:rPr>
        <w:t>设计负责人：是指承包人指定负责组织、指导、协调设计工作并具有相应资格的人员。</w:t>
      </w:r>
    </w:p>
    <w:p>
      <w:pPr>
        <w:pStyle w:val="67"/>
        <w:spacing w:afterLines="0"/>
        <w:ind w:left="0" w:firstLine="480" w:firstLineChars="200"/>
        <w:rPr>
          <w:rFonts w:cs="宋体"/>
          <w:szCs w:val="24"/>
        </w:rPr>
      </w:pPr>
      <w:r>
        <w:rPr>
          <w:rFonts w:cs="宋体"/>
          <w:szCs w:val="24"/>
        </w:rPr>
        <w:t xml:space="preserve">1.1.2.9 </w:t>
      </w:r>
      <w:r>
        <w:rPr>
          <w:rFonts w:hint="eastAsia" w:cs="宋体"/>
          <w:szCs w:val="24"/>
        </w:rPr>
        <w:t>采购负责人：是指承包人指定负责组织、指导、协调采购工作的人员。</w:t>
      </w:r>
    </w:p>
    <w:p>
      <w:pPr>
        <w:pStyle w:val="67"/>
        <w:spacing w:afterLines="0"/>
        <w:ind w:left="0" w:firstLine="480" w:firstLineChars="200"/>
        <w:rPr>
          <w:rFonts w:cs="宋体"/>
          <w:szCs w:val="24"/>
        </w:rPr>
      </w:pPr>
      <w:r>
        <w:rPr>
          <w:rFonts w:cs="宋体"/>
          <w:szCs w:val="24"/>
        </w:rPr>
        <w:t xml:space="preserve">1.1.2.10 </w:t>
      </w:r>
      <w:r>
        <w:rPr>
          <w:rFonts w:hint="eastAsia" w:cs="宋体"/>
          <w:szCs w:val="24"/>
        </w:rPr>
        <w:t>施工负责人：是指承包人指定负责组织、指导、协调施工工作并具有相应资格的人员。</w:t>
      </w:r>
    </w:p>
    <w:p>
      <w:pPr>
        <w:pStyle w:val="67"/>
        <w:spacing w:afterLines="0"/>
        <w:ind w:left="0" w:firstLine="480" w:firstLineChars="200"/>
        <w:rPr>
          <w:rFonts w:cs="宋体"/>
          <w:szCs w:val="24"/>
        </w:rPr>
      </w:pPr>
      <w:r>
        <w:rPr>
          <w:rFonts w:cs="宋体"/>
          <w:szCs w:val="24"/>
        </w:rPr>
        <w:t xml:space="preserve">1.1.2.11 </w:t>
      </w:r>
      <w:r>
        <w:rPr>
          <w:rFonts w:hint="eastAsia" w:cs="宋体"/>
          <w:szCs w:val="24"/>
        </w:rPr>
        <w:t>分包人：是指按照法律规定和合同约定，分包部分工程或工作，并与承包人订立分包合同的具有相应资质或资格的法人或其他组织。</w:t>
      </w:r>
    </w:p>
    <w:p>
      <w:pPr>
        <w:pStyle w:val="66"/>
        <w:spacing w:afterLines="0"/>
        <w:ind w:left="0" w:firstLine="482" w:firstLineChars="200"/>
        <w:rPr>
          <w:rFonts w:cs="宋体"/>
          <w:szCs w:val="24"/>
        </w:rPr>
      </w:pPr>
      <w:bookmarkStart w:id="89" w:name="_Ref4758319"/>
      <w:r>
        <w:rPr>
          <w:rFonts w:cs="宋体"/>
          <w:b/>
          <w:bCs/>
          <w:szCs w:val="24"/>
        </w:rPr>
        <w:t xml:space="preserve">1.1.3 </w:t>
      </w:r>
      <w:r>
        <w:rPr>
          <w:rFonts w:hint="eastAsia" w:cs="宋体"/>
          <w:b/>
          <w:bCs/>
          <w:szCs w:val="24"/>
        </w:rPr>
        <w:t>工程和设备</w:t>
      </w:r>
      <w:bookmarkEnd w:id="89"/>
    </w:p>
    <w:p>
      <w:pPr>
        <w:pStyle w:val="67"/>
        <w:spacing w:afterLines="0"/>
        <w:ind w:left="0" w:firstLine="480" w:firstLineChars="200"/>
        <w:rPr>
          <w:rFonts w:cs="宋体"/>
          <w:szCs w:val="24"/>
        </w:rPr>
      </w:pPr>
      <w:r>
        <w:rPr>
          <w:rFonts w:cs="宋体"/>
          <w:szCs w:val="24"/>
        </w:rPr>
        <w:t xml:space="preserve">1.1.3.1 </w:t>
      </w:r>
      <w:r>
        <w:rPr>
          <w:rFonts w:hint="eastAsia" w:cs="宋体"/>
          <w:szCs w:val="24"/>
        </w:rPr>
        <w:t>工程：是指与合同协议书中工程承包范围对应的永久工程和（或）临时工程。</w:t>
      </w:r>
    </w:p>
    <w:p>
      <w:pPr>
        <w:pStyle w:val="67"/>
        <w:spacing w:afterLines="0"/>
        <w:ind w:left="0" w:firstLine="480" w:firstLineChars="200"/>
        <w:rPr>
          <w:rFonts w:cs="宋体"/>
          <w:szCs w:val="24"/>
        </w:rPr>
      </w:pPr>
      <w:r>
        <w:rPr>
          <w:rFonts w:cs="宋体"/>
          <w:szCs w:val="24"/>
        </w:rPr>
        <w:t xml:space="preserve">1.1.3.2 </w:t>
      </w:r>
      <w:r>
        <w:rPr>
          <w:rFonts w:hint="eastAsia" w:cs="宋体"/>
          <w:szCs w:val="24"/>
        </w:rPr>
        <w:t>工程实施：是指进行工程的设计、采购、施工和竣工以及对工程任何缺陷的修复。</w:t>
      </w:r>
    </w:p>
    <w:p>
      <w:pPr>
        <w:pStyle w:val="67"/>
        <w:spacing w:afterLines="0"/>
        <w:ind w:left="0" w:firstLine="480" w:firstLineChars="200"/>
        <w:rPr>
          <w:rFonts w:cs="宋体"/>
          <w:szCs w:val="24"/>
        </w:rPr>
      </w:pPr>
      <w:r>
        <w:rPr>
          <w:rFonts w:cs="宋体"/>
          <w:szCs w:val="24"/>
        </w:rPr>
        <w:t xml:space="preserve">1.1.3.3 </w:t>
      </w:r>
      <w:r>
        <w:rPr>
          <w:rFonts w:hint="eastAsia" w:cs="宋体"/>
          <w:szCs w:val="24"/>
        </w:rPr>
        <w:t>永久工程：是指按合同约定建造并移交给发包人的工程，包括工程设备。</w:t>
      </w:r>
    </w:p>
    <w:p>
      <w:pPr>
        <w:pStyle w:val="67"/>
        <w:spacing w:afterLines="0"/>
        <w:ind w:left="0" w:firstLine="480" w:firstLineChars="200"/>
        <w:rPr>
          <w:rFonts w:cs="宋体"/>
          <w:szCs w:val="24"/>
        </w:rPr>
      </w:pPr>
      <w:r>
        <w:rPr>
          <w:rFonts w:cs="宋体"/>
          <w:szCs w:val="24"/>
        </w:rPr>
        <w:t xml:space="preserve">1.1.3.4 </w:t>
      </w:r>
      <w:r>
        <w:rPr>
          <w:rFonts w:hint="eastAsia" w:cs="宋体"/>
          <w:szCs w:val="24"/>
        </w:rPr>
        <w:t>临时工程：是指为完成合同约定的永久工程所修建的各类临时性工程，不包括施工设备。</w:t>
      </w:r>
    </w:p>
    <w:p>
      <w:pPr>
        <w:pStyle w:val="67"/>
        <w:spacing w:afterLines="0"/>
        <w:ind w:left="0" w:firstLine="480" w:firstLineChars="200"/>
        <w:rPr>
          <w:rFonts w:cs="宋体"/>
          <w:szCs w:val="24"/>
        </w:rPr>
      </w:pPr>
      <w:bookmarkStart w:id="90" w:name="_Ref4419825"/>
      <w:r>
        <w:rPr>
          <w:rFonts w:cs="宋体"/>
          <w:szCs w:val="24"/>
        </w:rPr>
        <w:t xml:space="preserve">1.1.3.5 </w:t>
      </w:r>
      <w:r>
        <w:rPr>
          <w:rFonts w:hint="eastAsia" w:cs="宋体"/>
          <w:szCs w:val="24"/>
        </w:rPr>
        <w:t>单位</w:t>
      </w:r>
      <w:r>
        <w:rPr>
          <w:rFonts w:cs="宋体"/>
          <w:szCs w:val="24"/>
        </w:rPr>
        <w:t>/</w:t>
      </w:r>
      <w:r>
        <w:rPr>
          <w:rFonts w:hint="eastAsia" w:cs="宋体"/>
          <w:szCs w:val="24"/>
        </w:rPr>
        <w:t>区段工程：是指在专用合同条件中指明特定范围的，能单独接收并使用的永久工程。</w:t>
      </w:r>
      <w:bookmarkEnd w:id="90"/>
    </w:p>
    <w:p>
      <w:pPr>
        <w:pStyle w:val="67"/>
        <w:spacing w:afterLines="0"/>
        <w:ind w:left="0" w:firstLine="480" w:firstLineChars="200"/>
        <w:rPr>
          <w:rFonts w:cs="宋体"/>
          <w:szCs w:val="24"/>
        </w:rPr>
      </w:pPr>
      <w:r>
        <w:rPr>
          <w:rFonts w:cs="宋体"/>
          <w:szCs w:val="24"/>
        </w:rPr>
        <w:t xml:space="preserve">1.1.3.6 </w:t>
      </w:r>
      <w:r>
        <w:rPr>
          <w:rFonts w:hint="eastAsia" w:cs="宋体"/>
          <w:szCs w:val="24"/>
        </w:rPr>
        <w:t>工程设备：指构成永久工程的机电设备、仪器装置、运载工具及其他类似的设备和装置，包括其配件及备品、备件、易损易耗件等。</w:t>
      </w:r>
    </w:p>
    <w:p>
      <w:pPr>
        <w:pStyle w:val="67"/>
        <w:spacing w:afterLines="0"/>
        <w:ind w:left="0" w:firstLine="480" w:firstLineChars="200"/>
        <w:rPr>
          <w:rFonts w:cs="宋体"/>
          <w:szCs w:val="24"/>
        </w:rPr>
      </w:pPr>
      <w:r>
        <w:rPr>
          <w:rFonts w:cs="宋体"/>
          <w:szCs w:val="24"/>
        </w:rPr>
        <w:t xml:space="preserve">1.1.3.7 </w:t>
      </w:r>
      <w:r>
        <w:rPr>
          <w:rFonts w:hint="eastAsia" w:cs="宋体"/>
          <w:szCs w:val="24"/>
        </w:rPr>
        <w:t>施工设备：指为完成合同约定的各项工作所需的设备、器具和其他物品，不包括工程设备、临时工程和材料。</w:t>
      </w:r>
    </w:p>
    <w:p>
      <w:pPr>
        <w:pStyle w:val="67"/>
        <w:spacing w:afterLines="0"/>
        <w:ind w:left="0" w:firstLine="480" w:firstLineChars="200"/>
        <w:rPr>
          <w:rFonts w:cs="宋体"/>
          <w:szCs w:val="24"/>
        </w:rPr>
      </w:pPr>
      <w:r>
        <w:rPr>
          <w:rFonts w:cs="宋体"/>
          <w:szCs w:val="24"/>
        </w:rPr>
        <w:t xml:space="preserve">1.1.3.8 </w:t>
      </w:r>
      <w:r>
        <w:rPr>
          <w:rFonts w:hint="eastAsia" w:cs="宋体"/>
          <w:szCs w:val="24"/>
        </w:rPr>
        <w:t>临时设施：指为完成合同约定的各项工作所服务的临时性生产和生活设施。</w:t>
      </w:r>
    </w:p>
    <w:p>
      <w:pPr>
        <w:pStyle w:val="67"/>
        <w:spacing w:afterLines="0"/>
        <w:ind w:left="0" w:firstLine="480" w:firstLineChars="200"/>
        <w:rPr>
          <w:rFonts w:cs="宋体"/>
          <w:szCs w:val="24"/>
        </w:rPr>
      </w:pPr>
      <w:bookmarkStart w:id="91" w:name="_Ref4420577"/>
      <w:r>
        <w:rPr>
          <w:rFonts w:cs="宋体"/>
          <w:szCs w:val="24"/>
        </w:rPr>
        <w:t xml:space="preserve">1.1.3.9 </w:t>
      </w:r>
      <w:r>
        <w:rPr>
          <w:rFonts w:hint="eastAsia" w:cs="宋体"/>
          <w:szCs w:val="24"/>
        </w:rPr>
        <w:t>施工现场：是指用于工程施工的场所，以及在专用合同条件中指明作为施工场所组成部分的其他场所，包括永久占地和临时占地。</w:t>
      </w:r>
      <w:bookmarkEnd w:id="91"/>
    </w:p>
    <w:p>
      <w:pPr>
        <w:pStyle w:val="67"/>
        <w:spacing w:afterLines="0"/>
        <w:ind w:left="0" w:firstLine="480" w:firstLineChars="200"/>
        <w:rPr>
          <w:rFonts w:cs="宋体"/>
          <w:szCs w:val="24"/>
        </w:rPr>
      </w:pPr>
      <w:bookmarkStart w:id="92" w:name="_Ref4420746"/>
      <w:r>
        <w:rPr>
          <w:rFonts w:cs="宋体"/>
          <w:szCs w:val="24"/>
        </w:rPr>
        <w:t xml:space="preserve">1.1.3.10 </w:t>
      </w:r>
      <w:r>
        <w:rPr>
          <w:rFonts w:hint="eastAsia" w:cs="宋体"/>
          <w:szCs w:val="24"/>
        </w:rPr>
        <w:t>永久占地：是指专用合同条件中指明为实施工程需永久占用的土地。</w:t>
      </w:r>
      <w:bookmarkEnd w:id="92"/>
    </w:p>
    <w:p>
      <w:pPr>
        <w:pStyle w:val="67"/>
        <w:spacing w:afterLines="0"/>
        <w:ind w:left="0" w:firstLine="480" w:firstLineChars="200"/>
        <w:rPr>
          <w:rFonts w:cs="宋体"/>
          <w:szCs w:val="24"/>
        </w:rPr>
      </w:pPr>
      <w:bookmarkStart w:id="93" w:name="_Ref4420821"/>
      <w:r>
        <w:rPr>
          <w:rFonts w:cs="宋体"/>
          <w:szCs w:val="24"/>
        </w:rPr>
        <w:t xml:space="preserve">1.1.3.11 </w:t>
      </w:r>
      <w:r>
        <w:rPr>
          <w:rFonts w:hint="eastAsia" w:cs="宋体"/>
          <w:szCs w:val="24"/>
        </w:rPr>
        <w:t>临时占地：是指专用合同条件中指明为实施工程需临时占用的土地。</w:t>
      </w:r>
      <w:bookmarkEnd w:id="93"/>
    </w:p>
    <w:p>
      <w:pPr>
        <w:pStyle w:val="66"/>
        <w:spacing w:afterLines="0"/>
        <w:ind w:left="0" w:firstLine="482" w:firstLineChars="200"/>
        <w:rPr>
          <w:rFonts w:cs="宋体"/>
          <w:b/>
          <w:bCs/>
          <w:szCs w:val="24"/>
        </w:rPr>
      </w:pPr>
      <w:r>
        <w:rPr>
          <w:rFonts w:cs="宋体"/>
          <w:b/>
          <w:bCs/>
          <w:szCs w:val="24"/>
        </w:rPr>
        <w:t xml:space="preserve">1.1.4 </w:t>
      </w:r>
      <w:r>
        <w:rPr>
          <w:rFonts w:hint="eastAsia" w:cs="宋体"/>
          <w:b/>
          <w:bCs/>
          <w:szCs w:val="24"/>
        </w:rPr>
        <w:t>日期和期限</w:t>
      </w:r>
    </w:p>
    <w:p>
      <w:pPr>
        <w:pStyle w:val="67"/>
        <w:spacing w:afterLines="0"/>
        <w:ind w:left="0" w:firstLine="480" w:firstLineChars="200"/>
        <w:rPr>
          <w:rFonts w:cs="宋体"/>
          <w:szCs w:val="24"/>
        </w:rPr>
      </w:pPr>
      <w:r>
        <w:rPr>
          <w:rFonts w:cs="宋体"/>
          <w:szCs w:val="24"/>
        </w:rPr>
        <w:t xml:space="preserve">1.1.4.1 </w:t>
      </w:r>
      <w:r>
        <w:rPr>
          <w:rFonts w:hint="eastAsia" w:cs="宋体"/>
          <w:szCs w:val="24"/>
        </w:rPr>
        <w:t>开始工作通知：指工程师按第</w:t>
      </w:r>
      <w:r>
        <w:rPr>
          <w:rFonts w:cs="宋体"/>
          <w:szCs w:val="24"/>
        </w:rPr>
        <w:t>8.1.2</w:t>
      </w:r>
      <w:r>
        <w:rPr>
          <w:rFonts w:hint="eastAsia" w:cs="宋体"/>
          <w:szCs w:val="24"/>
        </w:rPr>
        <w:t>项</w:t>
      </w:r>
      <w:r>
        <w:rPr>
          <w:rFonts w:cs="宋体"/>
          <w:szCs w:val="24"/>
        </w:rPr>
        <w:t>[</w:t>
      </w:r>
      <w:r>
        <w:rPr>
          <w:rFonts w:hint="eastAsia" w:cs="宋体"/>
          <w:szCs w:val="24"/>
        </w:rPr>
        <w:t>开始工作通知</w:t>
      </w:r>
      <w:r>
        <w:rPr>
          <w:rFonts w:cs="宋体"/>
          <w:szCs w:val="24"/>
        </w:rPr>
        <w:t>]</w:t>
      </w:r>
      <w:r>
        <w:rPr>
          <w:rFonts w:hint="eastAsia" w:cs="宋体"/>
          <w:szCs w:val="24"/>
        </w:rPr>
        <w:t>的约定通知承包人开始工作的函件。</w:t>
      </w:r>
    </w:p>
    <w:p>
      <w:pPr>
        <w:pStyle w:val="67"/>
        <w:spacing w:afterLines="0"/>
        <w:ind w:left="0" w:firstLine="480" w:firstLineChars="200"/>
        <w:rPr>
          <w:rFonts w:cs="宋体"/>
          <w:szCs w:val="24"/>
        </w:rPr>
      </w:pPr>
      <w:r>
        <w:rPr>
          <w:rFonts w:cs="宋体"/>
          <w:szCs w:val="24"/>
        </w:rPr>
        <w:t xml:space="preserve">1.1.4.2 </w:t>
      </w:r>
      <w:r>
        <w:rPr>
          <w:rFonts w:hint="eastAsia" w:cs="宋体"/>
          <w:szCs w:val="24"/>
        </w:rPr>
        <w:t>开始工作日期：包括计划开始工作日期和实际开始工作日期。计划开始工作日期是指合同协议书约定的开始工作日期；实际开始工作日期是指工程师按照第</w:t>
      </w:r>
      <w:r>
        <w:rPr>
          <w:rFonts w:cs="宋体"/>
          <w:szCs w:val="24"/>
        </w:rPr>
        <w:t>8.1</w:t>
      </w:r>
      <w:r>
        <w:rPr>
          <w:rFonts w:hint="eastAsia" w:cs="宋体"/>
          <w:szCs w:val="24"/>
        </w:rPr>
        <w:t>款</w:t>
      </w:r>
      <w:r>
        <w:rPr>
          <w:rFonts w:cs="宋体"/>
          <w:szCs w:val="24"/>
        </w:rPr>
        <w:t>[</w:t>
      </w:r>
      <w:r>
        <w:rPr>
          <w:rFonts w:hint="eastAsia" w:cs="宋体"/>
          <w:szCs w:val="24"/>
        </w:rPr>
        <w:t>开始工作</w:t>
      </w:r>
      <w:r>
        <w:rPr>
          <w:rFonts w:cs="宋体"/>
          <w:szCs w:val="24"/>
        </w:rPr>
        <w:t>]</w:t>
      </w:r>
      <w:r>
        <w:rPr>
          <w:rFonts w:hint="eastAsia" w:cs="宋体"/>
          <w:szCs w:val="24"/>
        </w:rPr>
        <w:t>约定发出的符合法律规定的开始工作通知中载明的开始工作日期。</w:t>
      </w:r>
    </w:p>
    <w:p>
      <w:pPr>
        <w:pStyle w:val="67"/>
        <w:spacing w:afterLines="0"/>
        <w:ind w:left="0" w:firstLine="480" w:firstLineChars="200"/>
        <w:rPr>
          <w:rFonts w:cs="宋体"/>
          <w:szCs w:val="24"/>
        </w:rPr>
      </w:pPr>
      <w:r>
        <w:rPr>
          <w:rFonts w:cs="宋体"/>
          <w:szCs w:val="24"/>
        </w:rPr>
        <w:t xml:space="preserve">1.1.4.3 </w:t>
      </w:r>
      <w:r>
        <w:rPr>
          <w:rFonts w:hint="eastAsia" w:cs="宋体"/>
          <w:szCs w:val="24"/>
        </w:rPr>
        <w:t>开始现场施工日期：包括计划开始现场施工日期和实际开始现场施工日期。计划开始现场施工日期是指合同协议书约定的开始现场施工日期；实际开始现场施工日期是指工程师发出的符合法律规定的开工通知中载明的开始现场施工日期。</w:t>
      </w:r>
    </w:p>
    <w:p>
      <w:pPr>
        <w:pStyle w:val="67"/>
        <w:spacing w:afterLines="0"/>
        <w:ind w:left="0" w:firstLine="480" w:firstLineChars="200"/>
        <w:rPr>
          <w:rFonts w:cs="宋体"/>
          <w:szCs w:val="24"/>
        </w:rPr>
      </w:pPr>
      <w:r>
        <w:rPr>
          <w:rFonts w:cs="宋体"/>
          <w:szCs w:val="24"/>
        </w:rPr>
        <w:t xml:space="preserve">1.1.4.4 </w:t>
      </w:r>
      <w:r>
        <w:rPr>
          <w:rFonts w:hint="eastAsia" w:cs="宋体"/>
          <w:szCs w:val="24"/>
        </w:rPr>
        <w:t>竣工日期：包括计划竣工日期和实际竣工日期。计划竣工日期是指合同协议书约定的竣工日期；实际竣工日期按照第</w:t>
      </w:r>
      <w:r>
        <w:rPr>
          <w:rFonts w:cs="宋体"/>
          <w:szCs w:val="24"/>
        </w:rPr>
        <w:t>8.2</w:t>
      </w:r>
      <w:r>
        <w:rPr>
          <w:rFonts w:hint="eastAsia" w:cs="宋体"/>
          <w:szCs w:val="24"/>
        </w:rPr>
        <w:t>款</w:t>
      </w:r>
      <w:r>
        <w:rPr>
          <w:rFonts w:cs="宋体"/>
          <w:szCs w:val="24"/>
        </w:rPr>
        <w:t>[</w:t>
      </w:r>
      <w:r>
        <w:rPr>
          <w:rFonts w:hint="eastAsia" w:cs="宋体"/>
          <w:szCs w:val="24"/>
        </w:rPr>
        <w:t>竣工日期</w:t>
      </w:r>
      <w:r>
        <w:rPr>
          <w:rFonts w:cs="宋体"/>
          <w:szCs w:val="24"/>
        </w:rPr>
        <w:t>]</w:t>
      </w:r>
      <w:r>
        <w:rPr>
          <w:rFonts w:hint="eastAsia" w:cs="宋体"/>
          <w:szCs w:val="24"/>
        </w:rPr>
        <w:t>的约定确定。</w:t>
      </w:r>
    </w:p>
    <w:p>
      <w:pPr>
        <w:pStyle w:val="67"/>
        <w:spacing w:afterLines="0"/>
        <w:ind w:left="0" w:firstLine="480" w:firstLineChars="200"/>
        <w:rPr>
          <w:rFonts w:cs="宋体"/>
          <w:szCs w:val="24"/>
        </w:rPr>
      </w:pPr>
      <w:r>
        <w:rPr>
          <w:rFonts w:cs="宋体"/>
          <w:szCs w:val="24"/>
        </w:rPr>
        <w:t xml:space="preserve">1.1.4.5 </w:t>
      </w:r>
      <w:r>
        <w:rPr>
          <w:rFonts w:hint="eastAsia" w:cs="宋体"/>
          <w:szCs w:val="24"/>
        </w:rPr>
        <w:t>工期：是指在合同协议书约定的承包人完成合同工作所需的期限，包括按照合同约定所作的期限变更及按合同约定承包人有权取得的工期延长。</w:t>
      </w:r>
    </w:p>
    <w:p>
      <w:pPr>
        <w:pStyle w:val="67"/>
        <w:spacing w:afterLines="0"/>
        <w:ind w:left="0" w:firstLine="480" w:firstLineChars="200"/>
        <w:rPr>
          <w:rFonts w:cs="宋体"/>
          <w:szCs w:val="24"/>
        </w:rPr>
      </w:pPr>
      <w:r>
        <w:rPr>
          <w:rFonts w:cs="宋体"/>
          <w:szCs w:val="24"/>
        </w:rPr>
        <w:t xml:space="preserve">1.1.4.6 </w:t>
      </w:r>
      <w:r>
        <w:rPr>
          <w:rFonts w:hint="eastAsia" w:cs="宋体"/>
          <w:szCs w:val="24"/>
        </w:rPr>
        <w:t>缺陷责任期：是指发包人预留工程质量保证金以保证承包人履行第</w:t>
      </w:r>
      <w:r>
        <w:rPr>
          <w:rFonts w:cs="宋体"/>
          <w:szCs w:val="24"/>
        </w:rPr>
        <w:t>11.3</w:t>
      </w:r>
      <w:r>
        <w:rPr>
          <w:rFonts w:hint="eastAsia" w:cs="宋体"/>
          <w:szCs w:val="24"/>
        </w:rPr>
        <w:t>款</w:t>
      </w:r>
      <w:r>
        <w:rPr>
          <w:rFonts w:cs="宋体"/>
          <w:szCs w:val="24"/>
        </w:rPr>
        <w:t>[</w:t>
      </w:r>
      <w:r>
        <w:rPr>
          <w:rFonts w:hint="eastAsia" w:cs="宋体"/>
          <w:szCs w:val="24"/>
        </w:rPr>
        <w:t>缺陷调查</w:t>
      </w:r>
      <w:r>
        <w:rPr>
          <w:rFonts w:cs="宋体"/>
          <w:szCs w:val="24"/>
        </w:rPr>
        <w:t>]</w:t>
      </w:r>
      <w:r>
        <w:rPr>
          <w:rFonts w:hint="eastAsia" w:cs="宋体"/>
          <w:szCs w:val="24"/>
        </w:rPr>
        <w:t>下质量缺陷责任的期限。</w:t>
      </w:r>
    </w:p>
    <w:p>
      <w:pPr>
        <w:pStyle w:val="67"/>
        <w:spacing w:afterLines="0"/>
        <w:ind w:left="0" w:firstLine="480" w:firstLineChars="200"/>
        <w:rPr>
          <w:rFonts w:cs="宋体"/>
          <w:szCs w:val="24"/>
        </w:rPr>
      </w:pPr>
      <w:r>
        <w:rPr>
          <w:rFonts w:cs="宋体"/>
          <w:szCs w:val="24"/>
        </w:rPr>
        <w:t xml:space="preserve">1.1.4.7 </w:t>
      </w:r>
      <w:r>
        <w:rPr>
          <w:rFonts w:hint="eastAsia" w:cs="宋体"/>
          <w:szCs w:val="24"/>
        </w:rPr>
        <w:t>保修期：是指承包人按照合同约定和法律规定对工程质量承担保修责任的期限，该期限自缺陷责任期起算之日起计算。</w:t>
      </w:r>
    </w:p>
    <w:p>
      <w:pPr>
        <w:pStyle w:val="67"/>
        <w:spacing w:afterLines="0"/>
        <w:ind w:left="0" w:firstLine="480" w:firstLineChars="200"/>
        <w:rPr>
          <w:rFonts w:cs="宋体"/>
          <w:szCs w:val="24"/>
        </w:rPr>
      </w:pPr>
      <w:r>
        <w:rPr>
          <w:rFonts w:cs="宋体"/>
          <w:szCs w:val="24"/>
        </w:rPr>
        <w:t xml:space="preserve">1.1.4.8 </w:t>
      </w:r>
      <w:r>
        <w:rPr>
          <w:rFonts w:hint="eastAsia" w:cs="宋体"/>
          <w:szCs w:val="24"/>
        </w:rPr>
        <w:t>基准日期：招标发包的工程以投标截止日前</w:t>
      </w:r>
      <w:r>
        <w:rPr>
          <w:rFonts w:cs="宋体"/>
          <w:szCs w:val="24"/>
        </w:rPr>
        <w:t>28</w:t>
      </w:r>
      <w:r>
        <w:rPr>
          <w:rFonts w:hint="eastAsia" w:cs="宋体"/>
          <w:szCs w:val="24"/>
        </w:rPr>
        <w:t>天的日期为基准日期，直接发包的工程以合同订立日前</w:t>
      </w:r>
      <w:r>
        <w:rPr>
          <w:rFonts w:cs="宋体"/>
          <w:szCs w:val="24"/>
        </w:rPr>
        <w:t>28</w:t>
      </w:r>
      <w:r>
        <w:rPr>
          <w:rFonts w:hint="eastAsia" w:cs="宋体"/>
          <w:szCs w:val="24"/>
        </w:rPr>
        <w:t>天的日期为基准日期。</w:t>
      </w:r>
    </w:p>
    <w:p>
      <w:pPr>
        <w:pStyle w:val="67"/>
        <w:spacing w:afterLines="0"/>
        <w:ind w:left="0" w:firstLine="480" w:firstLineChars="200"/>
        <w:rPr>
          <w:rFonts w:cs="宋体"/>
          <w:szCs w:val="24"/>
        </w:rPr>
      </w:pPr>
      <w:r>
        <w:rPr>
          <w:rFonts w:cs="宋体"/>
          <w:szCs w:val="24"/>
        </w:rPr>
        <w:t xml:space="preserve">1.1.4.9 </w:t>
      </w:r>
      <w:r>
        <w:rPr>
          <w:rFonts w:hint="eastAsia" w:cs="宋体"/>
          <w:szCs w:val="24"/>
        </w:rPr>
        <w:t>天：除特别指明外，均指日历天。合同中按天计算时间的，开始当天不计入，从次日开始计算。期限最后一天的截止时间为当天</w:t>
      </w:r>
      <w:r>
        <w:rPr>
          <w:rFonts w:cs="宋体"/>
          <w:szCs w:val="24"/>
        </w:rPr>
        <w:t>24:00</w:t>
      </w:r>
      <w:r>
        <w:rPr>
          <w:rFonts w:hint="eastAsia" w:cs="宋体"/>
          <w:szCs w:val="24"/>
        </w:rPr>
        <w:t>。</w:t>
      </w:r>
    </w:p>
    <w:p>
      <w:pPr>
        <w:pStyle w:val="67"/>
        <w:spacing w:afterLines="0"/>
        <w:ind w:left="0" w:firstLine="480" w:firstLineChars="200"/>
        <w:rPr>
          <w:rFonts w:cs="宋体"/>
          <w:szCs w:val="24"/>
        </w:rPr>
      </w:pPr>
      <w:r>
        <w:rPr>
          <w:rFonts w:cs="宋体"/>
          <w:szCs w:val="24"/>
        </w:rPr>
        <w:t xml:space="preserve">1.1.4.10 </w:t>
      </w:r>
      <w:r>
        <w:rPr>
          <w:rFonts w:hint="eastAsia" w:cs="宋体"/>
          <w:szCs w:val="24"/>
        </w:rPr>
        <w:t>竣工试验：是指在工程竣工验收前，根据第</w:t>
      </w:r>
      <w:r>
        <w:rPr>
          <w:rFonts w:cs="宋体"/>
          <w:szCs w:val="24"/>
        </w:rPr>
        <w:t>9</w:t>
      </w:r>
      <w:r>
        <w:rPr>
          <w:rFonts w:hint="eastAsia" w:cs="宋体"/>
          <w:szCs w:val="24"/>
        </w:rPr>
        <w:t>条</w:t>
      </w:r>
      <w:r>
        <w:rPr>
          <w:rFonts w:cs="宋体"/>
          <w:szCs w:val="24"/>
        </w:rPr>
        <w:t>[</w:t>
      </w:r>
      <w:r>
        <w:rPr>
          <w:rFonts w:hint="eastAsia" w:cs="宋体"/>
          <w:szCs w:val="24"/>
        </w:rPr>
        <w:t>竣工试验</w:t>
      </w:r>
      <w:r>
        <w:rPr>
          <w:rFonts w:cs="宋体"/>
          <w:szCs w:val="24"/>
        </w:rPr>
        <w:t>]</w:t>
      </w:r>
      <w:r>
        <w:rPr>
          <w:rFonts w:hint="eastAsia" w:cs="宋体"/>
          <w:szCs w:val="24"/>
        </w:rPr>
        <w:t>要求进行的试验。</w:t>
      </w:r>
    </w:p>
    <w:p>
      <w:pPr>
        <w:pStyle w:val="67"/>
        <w:spacing w:afterLines="0"/>
        <w:ind w:left="0" w:firstLine="480" w:firstLineChars="200"/>
        <w:rPr>
          <w:rFonts w:cs="宋体"/>
          <w:szCs w:val="24"/>
        </w:rPr>
      </w:pPr>
      <w:r>
        <w:rPr>
          <w:rFonts w:cs="宋体"/>
          <w:szCs w:val="24"/>
        </w:rPr>
        <w:t xml:space="preserve">1.1.4.11 </w:t>
      </w:r>
      <w:r>
        <w:rPr>
          <w:rFonts w:hint="eastAsia" w:cs="宋体"/>
          <w:szCs w:val="24"/>
        </w:rPr>
        <w:t>竣工验收：是指承包人完成了合同约定的各项内容后，发包人按合同要求进行的验收。</w:t>
      </w:r>
    </w:p>
    <w:p>
      <w:pPr>
        <w:pStyle w:val="67"/>
        <w:spacing w:afterLines="0"/>
        <w:ind w:left="0" w:firstLine="480" w:firstLineChars="200"/>
        <w:rPr>
          <w:rFonts w:cs="宋体"/>
          <w:szCs w:val="24"/>
        </w:rPr>
      </w:pPr>
      <w:r>
        <w:rPr>
          <w:rFonts w:cs="宋体"/>
          <w:szCs w:val="24"/>
        </w:rPr>
        <w:t xml:space="preserve">1.1.4.12 </w:t>
      </w:r>
      <w:r>
        <w:rPr>
          <w:rFonts w:hint="eastAsia" w:cs="宋体"/>
          <w:szCs w:val="24"/>
        </w:rPr>
        <w:t>竣工后试验：是指在工程竣工验收后，根据第</w:t>
      </w:r>
      <w:r>
        <w:rPr>
          <w:rFonts w:cs="宋体"/>
          <w:szCs w:val="24"/>
        </w:rPr>
        <w:t>12</w:t>
      </w:r>
      <w:r>
        <w:rPr>
          <w:rFonts w:hint="eastAsia" w:cs="宋体"/>
          <w:szCs w:val="24"/>
        </w:rPr>
        <w:t>条</w:t>
      </w:r>
      <w:r>
        <w:rPr>
          <w:rFonts w:cs="宋体"/>
          <w:szCs w:val="24"/>
        </w:rPr>
        <w:t>[</w:t>
      </w:r>
      <w:r>
        <w:rPr>
          <w:rFonts w:hint="eastAsia" w:cs="宋体"/>
          <w:szCs w:val="24"/>
        </w:rPr>
        <w:t>竣工后试验</w:t>
      </w:r>
      <w:r>
        <w:rPr>
          <w:rFonts w:cs="宋体"/>
          <w:szCs w:val="24"/>
        </w:rPr>
        <w:t>]</w:t>
      </w:r>
      <w:r>
        <w:rPr>
          <w:rFonts w:hint="eastAsia" w:cs="宋体"/>
          <w:szCs w:val="24"/>
        </w:rPr>
        <w:t>约定进行的试验。</w:t>
      </w:r>
    </w:p>
    <w:p>
      <w:pPr>
        <w:pStyle w:val="66"/>
        <w:spacing w:afterLines="0"/>
        <w:ind w:left="0" w:firstLine="482" w:firstLineChars="200"/>
        <w:rPr>
          <w:rFonts w:cs="宋体"/>
          <w:b/>
          <w:bCs/>
          <w:szCs w:val="24"/>
        </w:rPr>
      </w:pPr>
      <w:r>
        <w:rPr>
          <w:rFonts w:cs="宋体"/>
          <w:b/>
          <w:bCs/>
          <w:szCs w:val="24"/>
        </w:rPr>
        <w:t xml:space="preserve">1.1.5 </w:t>
      </w:r>
      <w:r>
        <w:rPr>
          <w:rFonts w:hint="eastAsia" w:cs="宋体"/>
          <w:b/>
          <w:bCs/>
          <w:szCs w:val="24"/>
        </w:rPr>
        <w:t>合同价格和费用</w:t>
      </w:r>
    </w:p>
    <w:p>
      <w:pPr>
        <w:pStyle w:val="67"/>
        <w:spacing w:afterLines="0"/>
        <w:ind w:left="0" w:firstLine="480" w:firstLineChars="200"/>
        <w:rPr>
          <w:rFonts w:cs="宋体"/>
          <w:szCs w:val="24"/>
        </w:rPr>
      </w:pPr>
      <w:r>
        <w:rPr>
          <w:rFonts w:cs="宋体"/>
          <w:szCs w:val="24"/>
        </w:rPr>
        <w:t xml:space="preserve">1.1.5.1 </w:t>
      </w:r>
      <w:r>
        <w:rPr>
          <w:rFonts w:hint="eastAsia" w:cs="宋体"/>
          <w:szCs w:val="24"/>
        </w:rPr>
        <w:t>签约合同价：是指发包人和承包人在合同协议书中确定的总金额，包括暂估价及暂列金额等。</w:t>
      </w:r>
    </w:p>
    <w:p>
      <w:pPr>
        <w:pStyle w:val="67"/>
        <w:spacing w:afterLines="0"/>
        <w:ind w:left="0" w:firstLine="480" w:firstLineChars="200"/>
        <w:rPr>
          <w:rFonts w:cs="宋体"/>
          <w:szCs w:val="24"/>
        </w:rPr>
      </w:pPr>
      <w:r>
        <w:rPr>
          <w:rFonts w:cs="宋体"/>
          <w:szCs w:val="24"/>
        </w:rPr>
        <w:t xml:space="preserve">1.1.5.2 </w:t>
      </w:r>
      <w:r>
        <w:rPr>
          <w:rFonts w:hint="eastAsia" w:cs="宋体"/>
          <w:szCs w:val="24"/>
        </w:rPr>
        <w:t>合同价格：是指发包人用于支付承包人按照合同约定完成承包范围内全部工作的金额，包括合同履行过程中按合同约定发生的价格变化。</w:t>
      </w:r>
    </w:p>
    <w:p>
      <w:pPr>
        <w:pStyle w:val="67"/>
        <w:spacing w:afterLines="0"/>
        <w:ind w:left="0" w:firstLine="480" w:firstLineChars="200"/>
        <w:rPr>
          <w:rFonts w:cs="宋体"/>
          <w:szCs w:val="24"/>
        </w:rPr>
      </w:pPr>
      <w:r>
        <w:rPr>
          <w:rFonts w:cs="宋体"/>
          <w:szCs w:val="24"/>
        </w:rPr>
        <w:t xml:space="preserve">1.1.5.3 </w:t>
      </w:r>
      <w:r>
        <w:rPr>
          <w:rFonts w:hint="eastAsia" w:cs="宋体"/>
          <w:szCs w:val="24"/>
        </w:rPr>
        <w:t>费用：是指为履行合同所发生的或将要发生的所有合理开支，包括管理费和应分摊的其他费用，但不包括利润。</w:t>
      </w:r>
    </w:p>
    <w:p>
      <w:pPr>
        <w:pStyle w:val="67"/>
        <w:spacing w:afterLines="0"/>
        <w:ind w:left="0" w:firstLine="480" w:firstLineChars="200"/>
        <w:rPr>
          <w:rFonts w:cs="宋体"/>
          <w:szCs w:val="24"/>
        </w:rPr>
      </w:pPr>
      <w:r>
        <w:rPr>
          <w:rFonts w:cs="宋体"/>
          <w:szCs w:val="24"/>
        </w:rPr>
        <w:t xml:space="preserve">1.1.5.4 </w:t>
      </w:r>
      <w:r>
        <w:rPr>
          <w:rFonts w:hint="eastAsia" w:cs="宋体"/>
          <w:szCs w:val="24"/>
        </w:rPr>
        <w:t>人工费：是指支付给直接从事建筑安装工程施工作业的建筑工人的各项费用。</w:t>
      </w:r>
    </w:p>
    <w:p>
      <w:pPr>
        <w:pStyle w:val="67"/>
        <w:spacing w:afterLines="0"/>
        <w:ind w:left="0" w:firstLine="480" w:firstLineChars="200"/>
        <w:rPr>
          <w:rFonts w:cs="宋体"/>
          <w:szCs w:val="24"/>
        </w:rPr>
      </w:pPr>
      <w:r>
        <w:rPr>
          <w:rFonts w:cs="宋体"/>
          <w:szCs w:val="24"/>
        </w:rPr>
        <w:t xml:space="preserve">1.1.5.5 </w:t>
      </w:r>
      <w:r>
        <w:rPr>
          <w:rFonts w:hint="eastAsia" w:cs="宋体"/>
          <w:szCs w:val="24"/>
        </w:rPr>
        <w:t>暂估价：</w:t>
      </w:r>
      <w:bookmarkStart w:id="94" w:name="_Hlk18973781"/>
      <w:r>
        <w:rPr>
          <w:rFonts w:hint="eastAsia" w:cs="宋体"/>
          <w:szCs w:val="24"/>
        </w:rPr>
        <w:t>是指发包人在项目清单中给定的，用于支付必然发生但暂时不能确定价格的专业服务、材料、设备、专业工程的金额。</w:t>
      </w:r>
      <w:bookmarkEnd w:id="94"/>
    </w:p>
    <w:p>
      <w:pPr>
        <w:pStyle w:val="67"/>
        <w:spacing w:afterLines="0"/>
        <w:ind w:left="0" w:firstLine="480" w:firstLineChars="200"/>
        <w:rPr>
          <w:rFonts w:cs="宋体"/>
          <w:szCs w:val="24"/>
        </w:rPr>
      </w:pPr>
      <w:r>
        <w:rPr>
          <w:rFonts w:cs="宋体"/>
          <w:szCs w:val="24"/>
        </w:rPr>
        <w:t xml:space="preserve">1.1.5.6 </w:t>
      </w:r>
      <w:r>
        <w:rPr>
          <w:rFonts w:hint="eastAsia" w:cs="宋体"/>
          <w:szCs w:val="24"/>
        </w:rPr>
        <w:t>暂列金额：是指发包人在项目清单中给定的，用于在订立协议书时尚未确定或不可预见变更的设计、施工及其所需材料、工程设备、服务等的金额，包括以计日工方式支付的金额。</w:t>
      </w:r>
    </w:p>
    <w:p>
      <w:pPr>
        <w:pStyle w:val="67"/>
        <w:spacing w:afterLines="0"/>
        <w:ind w:left="0" w:firstLine="480" w:firstLineChars="200"/>
        <w:rPr>
          <w:rFonts w:cs="宋体"/>
          <w:szCs w:val="24"/>
        </w:rPr>
      </w:pPr>
      <w:r>
        <w:rPr>
          <w:rFonts w:cs="宋体"/>
          <w:szCs w:val="24"/>
        </w:rPr>
        <w:t xml:space="preserve">1.1.5.7 </w:t>
      </w:r>
      <w:r>
        <w:rPr>
          <w:rFonts w:hint="eastAsia" w:cs="宋体"/>
          <w:szCs w:val="24"/>
        </w:rPr>
        <w:t>计日工：是指合同履行过程中，承包人完成发包人提出的零星工作或需要采用计日工计价的变更工作时，按合同中约定的单价计价的一种方式。</w:t>
      </w:r>
    </w:p>
    <w:p>
      <w:pPr>
        <w:pStyle w:val="67"/>
        <w:spacing w:afterLines="0"/>
        <w:ind w:left="0" w:firstLine="480" w:firstLineChars="200"/>
        <w:rPr>
          <w:rFonts w:cs="宋体"/>
          <w:szCs w:val="24"/>
        </w:rPr>
      </w:pPr>
      <w:r>
        <w:rPr>
          <w:rFonts w:cs="宋体"/>
          <w:szCs w:val="24"/>
        </w:rPr>
        <w:t xml:space="preserve">1.1.5.8 </w:t>
      </w:r>
      <w:r>
        <w:rPr>
          <w:rFonts w:hint="eastAsia" w:cs="宋体"/>
          <w:szCs w:val="24"/>
        </w:rPr>
        <w:t>质量保证金：是指按第</w:t>
      </w:r>
      <w:r>
        <w:rPr>
          <w:rFonts w:cs="宋体"/>
          <w:szCs w:val="24"/>
        </w:rPr>
        <w:t>14.6</w:t>
      </w:r>
      <w:r>
        <w:rPr>
          <w:rFonts w:hint="eastAsia" w:cs="宋体"/>
          <w:szCs w:val="24"/>
        </w:rPr>
        <w:t>款</w:t>
      </w:r>
      <w:r>
        <w:rPr>
          <w:rFonts w:cs="宋体"/>
          <w:szCs w:val="24"/>
        </w:rPr>
        <w:t>[</w:t>
      </w:r>
      <w:r>
        <w:rPr>
          <w:rFonts w:hint="eastAsia" w:cs="宋体"/>
          <w:szCs w:val="24"/>
        </w:rPr>
        <w:t>质量保证金</w:t>
      </w:r>
      <w:r>
        <w:rPr>
          <w:rFonts w:cs="宋体"/>
          <w:szCs w:val="24"/>
        </w:rPr>
        <w:t>]</w:t>
      </w:r>
      <w:r>
        <w:rPr>
          <w:rFonts w:hint="eastAsia" w:cs="宋体"/>
          <w:szCs w:val="24"/>
        </w:rPr>
        <w:t>约定承包人用于保证其在缺陷责任期内履行缺陷修复义务的担保。</w:t>
      </w:r>
    </w:p>
    <w:p>
      <w:pPr>
        <w:pStyle w:val="66"/>
        <w:spacing w:afterLines="0"/>
        <w:ind w:left="0" w:firstLine="482" w:firstLineChars="200"/>
        <w:rPr>
          <w:rFonts w:cs="宋体"/>
          <w:b/>
          <w:bCs/>
          <w:szCs w:val="24"/>
        </w:rPr>
      </w:pPr>
      <w:r>
        <w:rPr>
          <w:rFonts w:cs="宋体"/>
          <w:b/>
          <w:bCs/>
          <w:szCs w:val="24"/>
        </w:rPr>
        <w:t xml:space="preserve">1.1.6 </w:t>
      </w:r>
      <w:r>
        <w:rPr>
          <w:rFonts w:hint="eastAsia" w:cs="宋体"/>
          <w:b/>
          <w:bCs/>
          <w:szCs w:val="24"/>
        </w:rPr>
        <w:t>其他</w:t>
      </w:r>
    </w:p>
    <w:p>
      <w:pPr>
        <w:pStyle w:val="67"/>
        <w:spacing w:afterLines="0"/>
        <w:ind w:left="0" w:firstLine="480" w:firstLineChars="200"/>
        <w:rPr>
          <w:rFonts w:cs="宋体"/>
          <w:szCs w:val="24"/>
        </w:rPr>
      </w:pPr>
      <w:r>
        <w:rPr>
          <w:rFonts w:cs="宋体"/>
          <w:szCs w:val="24"/>
        </w:rPr>
        <w:t xml:space="preserve">1.1.6.1 </w:t>
      </w:r>
      <w:r>
        <w:rPr>
          <w:rFonts w:hint="eastAsia" w:cs="宋体"/>
          <w:szCs w:val="24"/>
        </w:rPr>
        <w:t>书面形式：指合同文件、信函、电报、传真、数据电文、电子邮件、会议纪要等可以有形地表现所载内容的形式。</w:t>
      </w:r>
    </w:p>
    <w:p>
      <w:pPr>
        <w:pStyle w:val="67"/>
        <w:spacing w:afterLines="0"/>
        <w:ind w:left="0" w:firstLine="480" w:firstLineChars="200"/>
        <w:rPr>
          <w:rFonts w:cs="宋体"/>
          <w:szCs w:val="24"/>
        </w:rPr>
      </w:pPr>
      <w:r>
        <w:rPr>
          <w:rFonts w:cs="宋体"/>
          <w:szCs w:val="24"/>
        </w:rPr>
        <w:t xml:space="preserve">1.1.6.2 </w:t>
      </w:r>
      <w:r>
        <w:rPr>
          <w:rFonts w:hint="eastAsia" w:cs="宋体"/>
          <w:szCs w:val="24"/>
        </w:rPr>
        <w:t>承包人文件：指由承包人根据合同约定应提交的所有图纸、手册、模型、计算书、软件、函件、洽商性文件和其他技术性文件。</w:t>
      </w:r>
    </w:p>
    <w:p>
      <w:pPr>
        <w:pStyle w:val="67"/>
        <w:spacing w:afterLines="0"/>
        <w:ind w:left="0" w:firstLine="480" w:firstLineChars="200"/>
        <w:rPr>
          <w:rFonts w:cs="宋体"/>
          <w:szCs w:val="24"/>
        </w:rPr>
      </w:pPr>
      <w:r>
        <w:rPr>
          <w:rFonts w:cs="宋体"/>
          <w:szCs w:val="24"/>
        </w:rPr>
        <w:t xml:space="preserve">1.1.6.3 </w:t>
      </w:r>
      <w:r>
        <w:rPr>
          <w:rFonts w:hint="eastAsia" w:cs="宋体"/>
          <w:szCs w:val="24"/>
        </w:rPr>
        <w:t>变更：指根据第</w:t>
      </w:r>
      <w:r>
        <w:rPr>
          <w:rFonts w:cs="宋体"/>
          <w:szCs w:val="24"/>
        </w:rPr>
        <w:t>13</w:t>
      </w:r>
      <w:r>
        <w:rPr>
          <w:rFonts w:hint="eastAsia" w:cs="宋体"/>
          <w:szCs w:val="24"/>
        </w:rPr>
        <w:t>条</w:t>
      </w:r>
      <w:r>
        <w:rPr>
          <w:rFonts w:cs="宋体"/>
          <w:szCs w:val="24"/>
        </w:rPr>
        <w:t>[</w:t>
      </w:r>
      <w:r>
        <w:rPr>
          <w:rFonts w:hint="eastAsia" w:cs="宋体"/>
          <w:szCs w:val="24"/>
        </w:rPr>
        <w:t>变更与调整</w:t>
      </w:r>
      <w:r>
        <w:rPr>
          <w:rFonts w:cs="宋体"/>
          <w:szCs w:val="24"/>
        </w:rPr>
        <w:t>]</w:t>
      </w:r>
      <w:r>
        <w:rPr>
          <w:rFonts w:hint="eastAsia" w:cs="宋体"/>
          <w:szCs w:val="24"/>
        </w:rPr>
        <w:t>的约定，经指示或批准对《发包人要求》或工程所做的改变。</w:t>
      </w:r>
    </w:p>
    <w:bookmarkEnd w:id="84"/>
    <w:p>
      <w:pPr>
        <w:pStyle w:val="65"/>
        <w:widowControl/>
        <w:spacing w:afterLines="0"/>
        <w:ind w:left="0" w:firstLine="482" w:firstLineChars="200"/>
        <w:rPr>
          <w:rFonts w:ascii="宋体" w:hAnsi="宋体" w:eastAsia="宋体" w:cs="宋体"/>
        </w:rPr>
      </w:pPr>
      <w:bookmarkStart w:id="95" w:name="_Toc54862179"/>
      <w:bookmarkStart w:id="96" w:name="_Ref509042101"/>
      <w:bookmarkStart w:id="97" w:name="_Ref509042104"/>
      <w:bookmarkStart w:id="98" w:name="_Ref522730349"/>
      <w:bookmarkStart w:id="99" w:name="_Ref522730353"/>
      <w:r>
        <w:rPr>
          <w:rFonts w:ascii="宋体" w:hAnsi="宋体" w:eastAsia="宋体" w:cs="宋体"/>
        </w:rPr>
        <w:t xml:space="preserve">1.2 </w:t>
      </w:r>
      <w:r>
        <w:rPr>
          <w:rFonts w:hint="eastAsia" w:ascii="宋体" w:hAnsi="宋体" w:eastAsia="宋体" w:cs="宋体"/>
        </w:rPr>
        <w:t>语言文字</w:t>
      </w:r>
      <w:bookmarkEnd w:id="95"/>
      <w:bookmarkEnd w:id="96"/>
      <w:bookmarkEnd w:id="97"/>
    </w:p>
    <w:p>
      <w:pPr>
        <w:spacing w:line="360" w:lineRule="auto"/>
        <w:ind w:firstLine="480" w:firstLineChars="200"/>
        <w:rPr>
          <w:sz w:val="24"/>
          <w:szCs w:val="24"/>
        </w:rPr>
      </w:pPr>
      <w:r>
        <w:rPr>
          <w:rFonts w:hint="eastAsia"/>
          <w:sz w:val="24"/>
          <w:szCs w:val="24"/>
        </w:rPr>
        <w:t>合同文件以中国的汉语简体语言文字编写、解释和说明。专用术语使用外文的，应附有中文注释。合同当事人在专用合同条件约定使用两种及以上语言时，汉语为优先解释和说明合同的语言。</w:t>
      </w:r>
    </w:p>
    <w:p>
      <w:pPr>
        <w:spacing w:line="360" w:lineRule="auto"/>
        <w:ind w:firstLine="480" w:firstLineChars="200"/>
        <w:rPr>
          <w:sz w:val="24"/>
          <w:szCs w:val="24"/>
        </w:rPr>
      </w:pPr>
      <w:r>
        <w:rPr>
          <w:rFonts w:hint="eastAsia"/>
          <w:sz w:val="24"/>
          <w:szCs w:val="24"/>
        </w:rPr>
        <w:t>与合同有关的联络应使用专用合同条件约定的语言。如没有约定，则应使用中国的汉语简体语言文字。</w:t>
      </w:r>
    </w:p>
    <w:p>
      <w:pPr>
        <w:pStyle w:val="65"/>
        <w:widowControl/>
        <w:spacing w:afterLines="0"/>
        <w:ind w:left="0" w:firstLine="482" w:firstLineChars="200"/>
        <w:rPr>
          <w:rFonts w:ascii="宋体" w:hAnsi="宋体" w:eastAsia="宋体" w:cs="宋体"/>
        </w:rPr>
      </w:pPr>
      <w:bookmarkStart w:id="100" w:name="_Ref531949543"/>
      <w:bookmarkStart w:id="101" w:name="_Toc54862180"/>
      <w:bookmarkStart w:id="102" w:name="_Ref531949539"/>
      <w:r>
        <w:rPr>
          <w:rFonts w:ascii="宋体" w:hAnsi="宋体" w:eastAsia="宋体" w:cs="宋体"/>
        </w:rPr>
        <w:t xml:space="preserve">1.3 </w:t>
      </w:r>
      <w:r>
        <w:rPr>
          <w:rFonts w:hint="eastAsia" w:ascii="宋体" w:hAnsi="宋体" w:eastAsia="宋体" w:cs="宋体"/>
        </w:rPr>
        <w:t>法律</w:t>
      </w:r>
      <w:bookmarkEnd w:id="100"/>
      <w:bookmarkEnd w:id="101"/>
      <w:bookmarkEnd w:id="102"/>
    </w:p>
    <w:p>
      <w:pPr>
        <w:spacing w:line="360" w:lineRule="auto"/>
        <w:ind w:firstLine="480" w:firstLineChars="200"/>
        <w:rPr>
          <w:sz w:val="24"/>
          <w:szCs w:val="24"/>
        </w:rPr>
      </w:pPr>
      <w:r>
        <w:rPr>
          <w:rFonts w:hint="eastAsia"/>
          <w:sz w:val="24"/>
          <w:szCs w:val="24"/>
        </w:rPr>
        <w:t>合同所称法律是指中华人民共和国法律、行政法规、部门规章，以及工程所在地的地方法规、自治条例、单行条例和地方政府规章等。</w:t>
      </w:r>
    </w:p>
    <w:p>
      <w:pPr>
        <w:spacing w:line="360" w:lineRule="auto"/>
        <w:ind w:firstLine="480" w:firstLineChars="200"/>
        <w:rPr>
          <w:sz w:val="24"/>
          <w:szCs w:val="24"/>
        </w:rPr>
      </w:pPr>
      <w:r>
        <w:rPr>
          <w:rFonts w:hint="eastAsia"/>
          <w:sz w:val="24"/>
          <w:szCs w:val="24"/>
        </w:rPr>
        <w:t>合同当事人可以在专用合同条件中约定合同适用的其他规范性文件。</w:t>
      </w:r>
    </w:p>
    <w:p>
      <w:pPr>
        <w:pStyle w:val="65"/>
        <w:widowControl/>
        <w:spacing w:afterLines="0"/>
        <w:ind w:left="0" w:firstLine="482" w:firstLineChars="200"/>
        <w:rPr>
          <w:rFonts w:ascii="宋体" w:hAnsi="宋体" w:eastAsia="宋体" w:cs="宋体"/>
        </w:rPr>
      </w:pPr>
      <w:bookmarkStart w:id="103" w:name="_Toc54862181"/>
      <w:bookmarkStart w:id="104" w:name="_Ref531949594"/>
      <w:bookmarkStart w:id="105" w:name="_Ref531949589"/>
      <w:r>
        <w:rPr>
          <w:rFonts w:ascii="宋体" w:hAnsi="宋体" w:eastAsia="宋体" w:cs="宋体"/>
        </w:rPr>
        <w:t xml:space="preserve">1.4 </w:t>
      </w:r>
      <w:r>
        <w:rPr>
          <w:rFonts w:hint="eastAsia" w:ascii="宋体" w:hAnsi="宋体" w:eastAsia="宋体" w:cs="宋体"/>
        </w:rPr>
        <w:t>标准和规范</w:t>
      </w:r>
      <w:bookmarkEnd w:id="103"/>
      <w:bookmarkEnd w:id="104"/>
      <w:bookmarkEnd w:id="105"/>
    </w:p>
    <w:p>
      <w:pPr>
        <w:pStyle w:val="66"/>
        <w:spacing w:afterLines="0"/>
        <w:ind w:left="0" w:firstLine="480" w:firstLineChars="200"/>
        <w:rPr>
          <w:rFonts w:cs="宋体"/>
          <w:szCs w:val="24"/>
        </w:rPr>
      </w:pPr>
      <w:bookmarkStart w:id="106" w:name="_Ref4420991"/>
      <w:r>
        <w:rPr>
          <w:rFonts w:cs="宋体"/>
          <w:szCs w:val="24"/>
        </w:rPr>
        <w:t xml:space="preserve">1.4.1 </w:t>
      </w:r>
      <w:r>
        <w:rPr>
          <w:rFonts w:hint="eastAsia" w:cs="宋体"/>
          <w:szCs w:val="24"/>
        </w:rPr>
        <w:t>适用于工程的国家标准、行业标准、工程所在地的地方性标准，以及相应的规范、规程等，合同当事人有特别要求的，应在专用合同条件中约定。</w:t>
      </w:r>
      <w:bookmarkEnd w:id="106"/>
    </w:p>
    <w:p>
      <w:pPr>
        <w:pStyle w:val="66"/>
        <w:spacing w:afterLines="0"/>
        <w:ind w:left="0" w:firstLine="480" w:firstLineChars="200"/>
        <w:rPr>
          <w:rFonts w:cs="宋体"/>
          <w:szCs w:val="24"/>
        </w:rPr>
      </w:pPr>
      <w:bookmarkStart w:id="107" w:name="_Ref531949642"/>
      <w:r>
        <w:rPr>
          <w:rFonts w:cs="宋体"/>
          <w:szCs w:val="24"/>
        </w:rPr>
        <w:t xml:space="preserve">1.4.2 </w:t>
      </w:r>
      <w:r>
        <w:rPr>
          <w:rFonts w:hint="eastAsia" w:cs="宋体"/>
          <w:szCs w:val="24"/>
        </w:rPr>
        <w:t>发包人要求使用国外标准、规范的，发包人负责提供原文版本和中文译本，并在专用合同条件中约定提供标准规范的名称、份数和时间。</w:t>
      </w:r>
      <w:bookmarkEnd w:id="107"/>
    </w:p>
    <w:p>
      <w:pPr>
        <w:pStyle w:val="66"/>
        <w:spacing w:afterLines="0"/>
        <w:ind w:left="0" w:firstLine="480" w:firstLineChars="200"/>
        <w:rPr>
          <w:rFonts w:cs="宋体"/>
          <w:szCs w:val="24"/>
        </w:rPr>
      </w:pPr>
      <w:bookmarkStart w:id="108" w:name="_Ref531949657"/>
      <w:r>
        <w:rPr>
          <w:rFonts w:cs="宋体"/>
          <w:szCs w:val="24"/>
        </w:rPr>
        <w:t xml:space="preserve">1.4.3 </w:t>
      </w:r>
      <w:r>
        <w:rPr>
          <w:rFonts w:hint="eastAsia" w:cs="宋体"/>
          <w:szCs w:val="24"/>
        </w:rPr>
        <w:t>没有相应成文规定的标准、规范时，由发包人在专用合同条件中约定的时间向承包人列明技术要求，承包人按约定的时间和技术要求提出实施方法，经发包人认可后执行。承包人需要对实施方法进行研发试验的，或须对项目人员进行特殊培训及其有特殊要求的，除签约合同价已包含此项费用外，双方应另行订立协议作为合同附件，其费用由发包人承担。</w:t>
      </w:r>
      <w:bookmarkEnd w:id="108"/>
    </w:p>
    <w:p>
      <w:pPr>
        <w:pStyle w:val="66"/>
        <w:spacing w:afterLines="0"/>
        <w:ind w:left="0" w:firstLine="480" w:firstLineChars="200"/>
        <w:rPr>
          <w:rFonts w:cs="宋体"/>
          <w:szCs w:val="24"/>
        </w:rPr>
      </w:pPr>
      <w:bookmarkStart w:id="109" w:name="_Ref4421272"/>
      <w:r>
        <w:rPr>
          <w:rFonts w:cs="宋体"/>
          <w:szCs w:val="24"/>
        </w:rPr>
        <w:t xml:space="preserve">1.4.4 </w:t>
      </w:r>
      <w:r>
        <w:rPr>
          <w:rFonts w:hint="eastAsia" w:cs="宋体"/>
          <w:szCs w:val="24"/>
        </w:rPr>
        <w:t>发包人对于工程的技术标准、功能要求高于或严于现行国家、行业或地方标准的，应当在《发包人要求》中予以明确。除专用合同条件另有约定外，应视为承包人在订立合同前已充分预见前述技术标准和功能要求的复杂程度，签约合同价中已包含由此产生的费用。</w:t>
      </w:r>
      <w:bookmarkEnd w:id="109"/>
    </w:p>
    <w:p>
      <w:pPr>
        <w:pStyle w:val="65"/>
        <w:widowControl/>
        <w:spacing w:afterLines="0"/>
        <w:ind w:left="0" w:firstLine="482" w:firstLineChars="200"/>
        <w:rPr>
          <w:rFonts w:ascii="宋体" w:hAnsi="宋体" w:eastAsia="宋体" w:cs="宋体"/>
        </w:rPr>
      </w:pPr>
      <w:bookmarkStart w:id="110" w:name="_Ref4421717"/>
      <w:bookmarkStart w:id="111" w:name="_Toc54862182"/>
      <w:r>
        <w:rPr>
          <w:rFonts w:ascii="宋体" w:hAnsi="宋体" w:eastAsia="宋体" w:cs="宋体"/>
        </w:rPr>
        <w:t xml:space="preserve">1.5 </w:t>
      </w:r>
      <w:r>
        <w:rPr>
          <w:rFonts w:hint="eastAsia" w:ascii="宋体" w:hAnsi="宋体" w:eastAsia="宋体" w:cs="宋体"/>
        </w:rPr>
        <w:t>合同文件的优先顺序</w:t>
      </w:r>
      <w:bookmarkEnd w:id="98"/>
      <w:bookmarkEnd w:id="99"/>
      <w:bookmarkEnd w:id="110"/>
      <w:bookmarkEnd w:id="111"/>
    </w:p>
    <w:p>
      <w:pPr>
        <w:spacing w:line="360" w:lineRule="auto"/>
        <w:ind w:firstLine="480" w:firstLineChars="200"/>
        <w:rPr>
          <w:sz w:val="24"/>
          <w:szCs w:val="24"/>
        </w:rPr>
      </w:pPr>
      <w:bookmarkStart w:id="112" w:name="_Ref531948776"/>
      <w:r>
        <w:rPr>
          <w:rFonts w:hint="eastAsia"/>
          <w:sz w:val="24"/>
          <w:szCs w:val="24"/>
        </w:rPr>
        <w:t>组成合同的各项文件应互相解释，互为说明。除专用合同条件另有约定外，</w:t>
      </w:r>
      <w:bookmarkEnd w:id="112"/>
      <w:r>
        <w:rPr>
          <w:rFonts w:hint="eastAsia"/>
          <w:sz w:val="24"/>
          <w:szCs w:val="24"/>
        </w:rPr>
        <w:t>解释合同文件的优先顺序如下：</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合同协议书；</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中标通知书（如果有）；</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投标函及投标函附录（如果有）；</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专用合同条件及《发包人要求》等附件；</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通用合同条件；</w:t>
      </w:r>
    </w:p>
    <w:p>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承包人建议书；</w:t>
      </w:r>
      <w:r>
        <w:rPr>
          <w:sz w:val="24"/>
          <w:szCs w:val="24"/>
        </w:rPr>
        <w:t xml:space="preserve"> </w:t>
      </w:r>
    </w:p>
    <w:p>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w:t>
      </w:r>
      <w:r>
        <w:rPr>
          <w:sz w:val="24"/>
          <w:szCs w:val="24"/>
        </w:rPr>
        <w:t xml:space="preserve"> </w:t>
      </w:r>
      <w:r>
        <w:rPr>
          <w:rFonts w:hint="eastAsia"/>
          <w:sz w:val="24"/>
          <w:szCs w:val="24"/>
        </w:rPr>
        <w:t>价格清单；</w:t>
      </w:r>
    </w:p>
    <w:p>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w:t>
      </w:r>
      <w:r>
        <w:rPr>
          <w:sz w:val="24"/>
          <w:szCs w:val="24"/>
        </w:rPr>
        <w:t xml:space="preserve"> </w:t>
      </w:r>
      <w:r>
        <w:rPr>
          <w:rFonts w:hint="eastAsia"/>
          <w:sz w:val="24"/>
          <w:szCs w:val="24"/>
        </w:rPr>
        <w:t>双方约定的其他合同文件。</w:t>
      </w:r>
    </w:p>
    <w:p>
      <w:pPr>
        <w:spacing w:line="360" w:lineRule="auto"/>
        <w:ind w:firstLine="480" w:firstLineChars="200"/>
        <w:rPr>
          <w:sz w:val="24"/>
          <w:szCs w:val="24"/>
        </w:rPr>
      </w:pPr>
      <w:bookmarkStart w:id="113" w:name="_Hlk18951547"/>
      <w:r>
        <w:rPr>
          <w:rFonts w:hint="eastAsia"/>
          <w:sz w:val="24"/>
          <w:szCs w:val="24"/>
        </w:rPr>
        <w:t>上述各项合同文件包括合同当事人就该项合同文件所作出的补充和修改，属于同一类内容的文件，应以最新签署的为准</w:t>
      </w:r>
      <w:bookmarkEnd w:id="113"/>
      <w:r>
        <w:rPr>
          <w:rFonts w:hint="eastAsia"/>
          <w:sz w:val="24"/>
          <w:szCs w:val="24"/>
        </w:rPr>
        <w:t>。</w:t>
      </w:r>
    </w:p>
    <w:p>
      <w:pPr>
        <w:spacing w:line="360" w:lineRule="auto"/>
        <w:ind w:firstLine="480" w:firstLineChars="200"/>
        <w:rPr>
          <w:sz w:val="24"/>
          <w:szCs w:val="24"/>
        </w:rPr>
      </w:pPr>
      <w:r>
        <w:rPr>
          <w:rFonts w:hint="eastAsia"/>
          <w:sz w:val="24"/>
          <w:szCs w:val="24"/>
        </w:rPr>
        <w:t>在合同订立及履行过程中形成的与合同有关的文件均构成合同文件组成部分，并根据其性质确定优先解释顺序。</w:t>
      </w:r>
    </w:p>
    <w:p>
      <w:pPr>
        <w:pStyle w:val="65"/>
        <w:widowControl/>
        <w:spacing w:afterLines="0"/>
        <w:ind w:left="0" w:firstLine="482" w:firstLineChars="200"/>
        <w:rPr>
          <w:rFonts w:ascii="宋体" w:hAnsi="宋体" w:eastAsia="宋体" w:cs="宋体"/>
        </w:rPr>
      </w:pPr>
      <w:bookmarkStart w:id="114" w:name="_Ref4422060"/>
      <w:bookmarkStart w:id="115" w:name="_Ref11917818"/>
      <w:bookmarkStart w:id="116" w:name="_Toc54862183"/>
      <w:bookmarkStart w:id="117" w:name="_Ref531949807"/>
      <w:bookmarkStart w:id="118" w:name="_Ref531949803"/>
      <w:bookmarkStart w:id="119" w:name="_Ref531949822"/>
      <w:r>
        <w:rPr>
          <w:rFonts w:ascii="宋体" w:hAnsi="宋体" w:eastAsia="宋体" w:cs="宋体"/>
        </w:rPr>
        <w:t xml:space="preserve">1.6 </w:t>
      </w:r>
      <w:r>
        <w:rPr>
          <w:rFonts w:hint="eastAsia" w:ascii="宋体" w:hAnsi="宋体" w:eastAsia="宋体" w:cs="宋体"/>
        </w:rPr>
        <w:t>文件的提供和</w:t>
      </w:r>
      <w:bookmarkEnd w:id="114"/>
      <w:r>
        <w:rPr>
          <w:rFonts w:hint="eastAsia" w:ascii="宋体" w:hAnsi="宋体" w:eastAsia="宋体" w:cs="宋体"/>
        </w:rPr>
        <w:t>照管</w:t>
      </w:r>
      <w:bookmarkEnd w:id="115"/>
      <w:bookmarkEnd w:id="116"/>
    </w:p>
    <w:p>
      <w:pPr>
        <w:pStyle w:val="66"/>
        <w:spacing w:afterLines="0"/>
        <w:ind w:left="0" w:firstLine="480" w:firstLineChars="200"/>
        <w:rPr>
          <w:rFonts w:cs="宋体"/>
          <w:szCs w:val="24"/>
        </w:rPr>
      </w:pPr>
      <w:bookmarkStart w:id="120" w:name="_Ref4421991"/>
      <w:r>
        <w:rPr>
          <w:rFonts w:cs="宋体"/>
          <w:szCs w:val="24"/>
        </w:rPr>
        <w:t xml:space="preserve">1.6.1 </w:t>
      </w:r>
      <w:r>
        <w:rPr>
          <w:rFonts w:hint="eastAsia" w:cs="宋体"/>
          <w:szCs w:val="24"/>
        </w:rPr>
        <w:t>发包人文件的提供</w:t>
      </w:r>
      <w:bookmarkEnd w:id="120"/>
    </w:p>
    <w:p>
      <w:pPr>
        <w:spacing w:line="360" w:lineRule="auto"/>
        <w:ind w:firstLine="480" w:firstLineChars="200"/>
        <w:rPr>
          <w:sz w:val="24"/>
          <w:szCs w:val="24"/>
        </w:rPr>
      </w:pPr>
      <w:r>
        <w:rPr>
          <w:rFonts w:hint="eastAsia"/>
          <w:sz w:val="24"/>
          <w:szCs w:val="24"/>
        </w:rPr>
        <w:t>发包人应按照专用合同条件约定的期限、数量和形式向承包人免费提供前期工作相关资料、环境保护、气象水文、地质条件进行工程设计、现场施工等工程实施所需的文件。因发包人未按合同约定提供文件造成工期延误的，按照第</w:t>
      </w:r>
      <w:r>
        <w:rPr>
          <w:sz w:val="24"/>
          <w:szCs w:val="24"/>
        </w:rPr>
        <w:t>8.7.1</w:t>
      </w:r>
      <w:r>
        <w:rPr>
          <w:rFonts w:hint="eastAsia"/>
          <w:sz w:val="24"/>
          <w:szCs w:val="24"/>
        </w:rPr>
        <w:t>项</w:t>
      </w:r>
      <w:r>
        <w:rPr>
          <w:sz w:val="24"/>
          <w:szCs w:val="24"/>
        </w:rPr>
        <w:t>[</w:t>
      </w:r>
      <w:r>
        <w:rPr>
          <w:rFonts w:hint="eastAsia"/>
          <w:sz w:val="24"/>
          <w:szCs w:val="24"/>
        </w:rPr>
        <w:t>因发包人原因导致工期延误</w:t>
      </w:r>
      <w:r>
        <w:rPr>
          <w:sz w:val="24"/>
          <w:szCs w:val="24"/>
        </w:rPr>
        <w:t>]</w:t>
      </w:r>
      <w:r>
        <w:rPr>
          <w:rFonts w:hint="eastAsia"/>
          <w:sz w:val="24"/>
          <w:szCs w:val="24"/>
        </w:rPr>
        <w:t>约定办理。</w:t>
      </w:r>
    </w:p>
    <w:p>
      <w:pPr>
        <w:pStyle w:val="66"/>
        <w:spacing w:afterLines="0"/>
        <w:ind w:left="0" w:firstLine="480" w:firstLineChars="200"/>
        <w:rPr>
          <w:rFonts w:cs="宋体"/>
          <w:szCs w:val="24"/>
        </w:rPr>
      </w:pPr>
      <w:bookmarkStart w:id="121" w:name="_Ref4422317"/>
      <w:r>
        <w:rPr>
          <w:rFonts w:cs="宋体"/>
          <w:szCs w:val="24"/>
        </w:rPr>
        <w:t xml:space="preserve">1.6.2 </w:t>
      </w:r>
      <w:r>
        <w:rPr>
          <w:rFonts w:hint="eastAsia" w:cs="宋体"/>
          <w:szCs w:val="24"/>
        </w:rPr>
        <w:t>承包人文件的提供</w:t>
      </w:r>
      <w:bookmarkEnd w:id="121"/>
    </w:p>
    <w:p>
      <w:pPr>
        <w:spacing w:line="360" w:lineRule="auto"/>
        <w:ind w:firstLine="480" w:firstLineChars="200"/>
        <w:rPr>
          <w:sz w:val="24"/>
          <w:szCs w:val="24"/>
        </w:rPr>
      </w:pPr>
      <w:r>
        <w:rPr>
          <w:rFonts w:hint="eastAsia"/>
          <w:sz w:val="24"/>
          <w:szCs w:val="24"/>
        </w:rPr>
        <w:t>除专用合同条件另有约定外，承包人文件应包含下列内容，并用第</w:t>
      </w:r>
      <w:r>
        <w:rPr>
          <w:sz w:val="24"/>
          <w:szCs w:val="24"/>
        </w:rPr>
        <w:t>1.2</w:t>
      </w:r>
      <w:r>
        <w:rPr>
          <w:rFonts w:hint="eastAsia"/>
          <w:sz w:val="24"/>
          <w:szCs w:val="24"/>
        </w:rPr>
        <w:t>款</w:t>
      </w:r>
      <w:r>
        <w:rPr>
          <w:sz w:val="24"/>
          <w:szCs w:val="24"/>
        </w:rPr>
        <w:t>[</w:t>
      </w:r>
      <w:r>
        <w:rPr>
          <w:rFonts w:hint="eastAsia"/>
          <w:sz w:val="24"/>
          <w:szCs w:val="24"/>
        </w:rPr>
        <w:t>语言文字</w:t>
      </w:r>
      <w:r>
        <w:rPr>
          <w:sz w:val="24"/>
          <w:szCs w:val="24"/>
        </w:rPr>
        <w:t>]</w:t>
      </w:r>
      <w:r>
        <w:rPr>
          <w:rFonts w:hint="eastAsia"/>
          <w:sz w:val="24"/>
          <w:szCs w:val="24"/>
        </w:rPr>
        <w:t>约定的语言制作：</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《发包人要求》中规定的相关文件；</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满足工程相关行政审批手续所必须的应由承包人负责的相关文件；</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第</w:t>
      </w:r>
      <w:r>
        <w:rPr>
          <w:sz w:val="24"/>
          <w:szCs w:val="24"/>
        </w:rPr>
        <w:t>5.4</w:t>
      </w:r>
      <w:r>
        <w:rPr>
          <w:rFonts w:hint="eastAsia"/>
          <w:sz w:val="24"/>
          <w:szCs w:val="24"/>
        </w:rPr>
        <w:t>款</w:t>
      </w:r>
      <w:r>
        <w:rPr>
          <w:sz w:val="24"/>
          <w:szCs w:val="24"/>
        </w:rPr>
        <w:t>[</w:t>
      </w:r>
      <w:r>
        <w:rPr>
          <w:rFonts w:hint="eastAsia"/>
          <w:sz w:val="24"/>
          <w:szCs w:val="24"/>
        </w:rPr>
        <w:t>竣工文件</w:t>
      </w:r>
      <w:r>
        <w:rPr>
          <w:sz w:val="24"/>
          <w:szCs w:val="24"/>
        </w:rPr>
        <w:t>]</w:t>
      </w:r>
      <w:r>
        <w:rPr>
          <w:rFonts w:hint="eastAsia"/>
          <w:sz w:val="24"/>
          <w:szCs w:val="24"/>
        </w:rPr>
        <w:t>与第</w:t>
      </w:r>
      <w:r>
        <w:rPr>
          <w:sz w:val="24"/>
          <w:szCs w:val="24"/>
        </w:rPr>
        <w:t>5.5</w:t>
      </w:r>
      <w:r>
        <w:rPr>
          <w:rFonts w:hint="eastAsia"/>
          <w:sz w:val="24"/>
          <w:szCs w:val="24"/>
        </w:rPr>
        <w:t>款</w:t>
      </w:r>
      <w:r>
        <w:rPr>
          <w:sz w:val="24"/>
          <w:szCs w:val="24"/>
        </w:rPr>
        <w:t>[</w:t>
      </w:r>
      <w:r>
        <w:rPr>
          <w:rFonts w:hint="eastAsia"/>
          <w:sz w:val="24"/>
          <w:szCs w:val="24"/>
        </w:rPr>
        <w:t>操作和维修手册</w:t>
      </w:r>
      <w:r>
        <w:rPr>
          <w:sz w:val="24"/>
          <w:szCs w:val="24"/>
        </w:rPr>
        <w:t>]</w:t>
      </w:r>
      <w:r>
        <w:rPr>
          <w:rFonts w:hint="eastAsia"/>
          <w:sz w:val="24"/>
          <w:szCs w:val="24"/>
        </w:rPr>
        <w:t>中要求的相关文件。</w:t>
      </w:r>
    </w:p>
    <w:p>
      <w:pPr>
        <w:spacing w:line="360" w:lineRule="auto"/>
        <w:ind w:firstLine="480" w:firstLineChars="200"/>
        <w:rPr>
          <w:sz w:val="24"/>
          <w:szCs w:val="24"/>
        </w:rPr>
      </w:pPr>
      <w:r>
        <w:rPr>
          <w:rFonts w:hint="eastAsia"/>
          <w:sz w:val="24"/>
          <w:szCs w:val="24"/>
        </w:rPr>
        <w:t>承包人应按照专用合同条件约定的期限、名称、数量和形式向工程师提供应当由承包人编制的与工程设计、现场施工等工程实施有关的承包人文件。工程师对承包人文件有异议的，承包人应予以修改，并重新报送工程师。合同约定承包人文件应经审查的，工程师应在合同约定的期限内审查完毕，但工程师的审查并不减轻或免除承包人根据合同约定应当承担的责任。承包人文件的提供和审查还应遵守第</w:t>
      </w:r>
      <w:r>
        <w:rPr>
          <w:sz w:val="24"/>
          <w:szCs w:val="24"/>
        </w:rPr>
        <w:t>5.2</w:t>
      </w:r>
      <w:r>
        <w:rPr>
          <w:rFonts w:hint="eastAsia"/>
          <w:sz w:val="24"/>
          <w:szCs w:val="24"/>
        </w:rPr>
        <w:t>款</w:t>
      </w:r>
      <w:r>
        <w:rPr>
          <w:sz w:val="24"/>
          <w:szCs w:val="24"/>
        </w:rPr>
        <w:t>[</w:t>
      </w:r>
      <w:r>
        <w:rPr>
          <w:rFonts w:hint="eastAsia"/>
          <w:sz w:val="24"/>
          <w:szCs w:val="24"/>
        </w:rPr>
        <w:t>承包人文件审查</w:t>
      </w:r>
      <w:r>
        <w:rPr>
          <w:sz w:val="24"/>
          <w:szCs w:val="24"/>
        </w:rPr>
        <w:t>]</w:t>
      </w:r>
      <w:r>
        <w:rPr>
          <w:rFonts w:hint="eastAsia"/>
          <w:sz w:val="24"/>
          <w:szCs w:val="24"/>
        </w:rPr>
        <w:t>和第</w:t>
      </w:r>
      <w:r>
        <w:rPr>
          <w:sz w:val="24"/>
          <w:szCs w:val="24"/>
        </w:rPr>
        <w:t>5.4</w:t>
      </w:r>
      <w:r>
        <w:rPr>
          <w:rFonts w:hint="eastAsia"/>
          <w:sz w:val="24"/>
          <w:szCs w:val="24"/>
        </w:rPr>
        <w:t>款</w:t>
      </w:r>
      <w:r>
        <w:rPr>
          <w:sz w:val="24"/>
          <w:szCs w:val="24"/>
        </w:rPr>
        <w:t>[</w:t>
      </w:r>
      <w:r>
        <w:rPr>
          <w:rFonts w:hint="eastAsia"/>
          <w:sz w:val="24"/>
          <w:szCs w:val="24"/>
        </w:rPr>
        <w:t>竣工文件</w:t>
      </w:r>
      <w:r>
        <w:rPr>
          <w:sz w:val="24"/>
          <w:szCs w:val="24"/>
        </w:rPr>
        <w:t>]</w:t>
      </w:r>
      <w:r>
        <w:rPr>
          <w:rFonts w:hint="eastAsia"/>
          <w:sz w:val="24"/>
          <w:szCs w:val="24"/>
        </w:rPr>
        <w:t>的约定。</w:t>
      </w:r>
    </w:p>
    <w:p>
      <w:pPr>
        <w:pStyle w:val="66"/>
        <w:spacing w:afterLines="0"/>
        <w:ind w:left="0" w:firstLine="480" w:firstLineChars="200"/>
        <w:rPr>
          <w:rFonts w:cs="宋体"/>
          <w:szCs w:val="24"/>
        </w:rPr>
      </w:pPr>
      <w:r>
        <w:rPr>
          <w:rFonts w:cs="宋体"/>
          <w:szCs w:val="24"/>
        </w:rPr>
        <w:t xml:space="preserve">1.6.3 </w:t>
      </w:r>
      <w:r>
        <w:rPr>
          <w:rFonts w:hint="eastAsia" w:cs="宋体"/>
          <w:szCs w:val="24"/>
        </w:rPr>
        <w:t>文件错误的通知</w:t>
      </w:r>
    </w:p>
    <w:p>
      <w:pPr>
        <w:spacing w:line="360" w:lineRule="auto"/>
        <w:ind w:firstLine="480" w:firstLineChars="200"/>
        <w:rPr>
          <w:sz w:val="24"/>
          <w:szCs w:val="24"/>
        </w:rPr>
      </w:pPr>
      <w:r>
        <w:rPr>
          <w:rFonts w:hint="eastAsia"/>
          <w:sz w:val="24"/>
          <w:szCs w:val="24"/>
        </w:rPr>
        <w:t>任何一方发现文件中存在明显的错误或疏忽，应及时通知另一方。</w:t>
      </w:r>
    </w:p>
    <w:p>
      <w:pPr>
        <w:pStyle w:val="66"/>
        <w:spacing w:afterLines="0"/>
        <w:ind w:left="0" w:firstLine="480" w:firstLineChars="200"/>
        <w:rPr>
          <w:rFonts w:cs="宋体"/>
          <w:szCs w:val="24"/>
        </w:rPr>
      </w:pPr>
      <w:bookmarkStart w:id="122" w:name="_Ref4678410"/>
      <w:bookmarkStart w:id="123" w:name="_Ref11957673"/>
      <w:r>
        <w:rPr>
          <w:rFonts w:cs="宋体"/>
          <w:szCs w:val="24"/>
        </w:rPr>
        <w:t xml:space="preserve">1.6.4 </w:t>
      </w:r>
      <w:r>
        <w:rPr>
          <w:rFonts w:hint="eastAsia" w:cs="宋体"/>
          <w:szCs w:val="24"/>
        </w:rPr>
        <w:t>文件的</w:t>
      </w:r>
      <w:bookmarkEnd w:id="122"/>
      <w:r>
        <w:rPr>
          <w:rFonts w:hint="eastAsia" w:cs="宋体"/>
          <w:szCs w:val="24"/>
        </w:rPr>
        <w:t>照管</w:t>
      </w:r>
      <w:bookmarkEnd w:id="123"/>
    </w:p>
    <w:p>
      <w:pPr>
        <w:spacing w:line="360" w:lineRule="auto"/>
        <w:ind w:firstLine="480" w:firstLineChars="200"/>
        <w:rPr>
          <w:sz w:val="24"/>
          <w:szCs w:val="24"/>
        </w:rPr>
      </w:pPr>
      <w:r>
        <w:rPr>
          <w:rFonts w:hint="eastAsia"/>
          <w:sz w:val="24"/>
          <w:szCs w:val="24"/>
        </w:rPr>
        <w:t>除专用合同条件另有约定外，承包人应在现场保留一份合同、《发包人要求》中列出的所有文件、承包人文件、变更以及其他根据合同收发的往来信函。发包人和工程师有权在任何合理的时间查阅和使用上述所有文件。</w:t>
      </w:r>
    </w:p>
    <w:p>
      <w:pPr>
        <w:pStyle w:val="65"/>
        <w:widowControl/>
        <w:spacing w:afterLines="0"/>
        <w:ind w:left="0" w:firstLine="482" w:firstLineChars="200"/>
        <w:rPr>
          <w:rFonts w:ascii="宋体" w:hAnsi="宋体" w:eastAsia="宋体" w:cs="宋体"/>
        </w:rPr>
      </w:pPr>
      <w:bookmarkStart w:id="124" w:name="_Ref4415170"/>
      <w:bookmarkStart w:id="125" w:name="_Toc54862184"/>
      <w:r>
        <w:rPr>
          <w:rFonts w:ascii="宋体" w:hAnsi="宋体" w:eastAsia="宋体" w:cs="宋体"/>
        </w:rPr>
        <w:t xml:space="preserve">1.7 </w:t>
      </w:r>
      <w:r>
        <w:rPr>
          <w:rFonts w:hint="eastAsia" w:ascii="宋体" w:hAnsi="宋体" w:eastAsia="宋体" w:cs="宋体"/>
        </w:rPr>
        <w:t>联络</w:t>
      </w:r>
      <w:bookmarkEnd w:id="124"/>
      <w:bookmarkEnd w:id="125"/>
    </w:p>
    <w:p>
      <w:pPr>
        <w:pStyle w:val="66"/>
        <w:spacing w:afterLines="0"/>
        <w:ind w:left="0" w:firstLine="480" w:firstLineChars="200"/>
        <w:rPr>
          <w:rFonts w:cs="宋体"/>
          <w:szCs w:val="24"/>
        </w:rPr>
      </w:pPr>
      <w:r>
        <w:rPr>
          <w:rFonts w:cs="宋体"/>
          <w:szCs w:val="24"/>
        </w:rPr>
        <w:t xml:space="preserve">1.7.1 </w:t>
      </w:r>
      <w:r>
        <w:rPr>
          <w:rFonts w:hint="eastAsia" w:cs="宋体"/>
          <w:szCs w:val="24"/>
        </w:rPr>
        <w:t>与合同有关的通知、批准、证明、证书、指示、指令、要求、请求、同意、意见、确定和决定等，均应采用书面形式，并应在合同约定的期限内（如无约定，应在合理期限内）通过特快专递或专人、挂号信、传真或双方商定的电子传输方式送达收件地址。</w:t>
      </w:r>
    </w:p>
    <w:p>
      <w:pPr>
        <w:pStyle w:val="66"/>
        <w:spacing w:afterLines="0"/>
        <w:ind w:left="0" w:firstLine="480" w:firstLineChars="200"/>
        <w:rPr>
          <w:rFonts w:cs="宋体"/>
          <w:szCs w:val="24"/>
        </w:rPr>
      </w:pPr>
      <w:bookmarkStart w:id="126" w:name="_Ref531949897"/>
      <w:r>
        <w:rPr>
          <w:rFonts w:cs="宋体"/>
          <w:szCs w:val="24"/>
        </w:rPr>
        <w:t xml:space="preserve">1.7.2 </w:t>
      </w:r>
      <w:r>
        <w:rPr>
          <w:rFonts w:hint="eastAsia" w:cs="宋体"/>
          <w:szCs w:val="24"/>
        </w:rPr>
        <w:t>发包人和承包人应在专用合同条件中约定各自的送达方式和收件地址。任何一方合同当事人指定的送达方式或收件地址发生变动的，应提前</w:t>
      </w:r>
      <w:r>
        <w:rPr>
          <w:rFonts w:cs="宋体"/>
          <w:szCs w:val="24"/>
        </w:rPr>
        <w:t>3</w:t>
      </w:r>
      <w:r>
        <w:rPr>
          <w:rFonts w:hint="eastAsia" w:cs="宋体"/>
          <w:szCs w:val="24"/>
        </w:rPr>
        <w:t>天以书面形式通知对方。</w:t>
      </w:r>
      <w:bookmarkEnd w:id="126"/>
    </w:p>
    <w:p>
      <w:pPr>
        <w:pStyle w:val="66"/>
        <w:spacing w:afterLines="0"/>
        <w:ind w:left="0" w:firstLine="480" w:firstLineChars="200"/>
        <w:rPr>
          <w:rFonts w:cs="宋体"/>
          <w:szCs w:val="24"/>
        </w:rPr>
      </w:pPr>
      <w:r>
        <w:rPr>
          <w:rFonts w:cs="宋体"/>
          <w:szCs w:val="24"/>
        </w:rPr>
        <w:t xml:space="preserve">1.7.3 </w:t>
      </w:r>
      <w:r>
        <w:rPr>
          <w:rFonts w:hint="eastAsia" w:cs="宋体"/>
          <w:szCs w:val="24"/>
        </w:rPr>
        <w:t>发包人和承包人应当及时签收另一方通过约定的送达方式送达至收件地址的来往文件。拒不签收的，由此增加的费用和（或）延误的工期由拒绝接收一方承担。</w:t>
      </w:r>
    </w:p>
    <w:p>
      <w:pPr>
        <w:pStyle w:val="66"/>
        <w:spacing w:afterLines="0"/>
        <w:ind w:left="0" w:firstLine="480" w:firstLineChars="200"/>
        <w:rPr>
          <w:rFonts w:cs="宋体"/>
          <w:szCs w:val="24"/>
        </w:rPr>
      </w:pPr>
      <w:r>
        <w:rPr>
          <w:rFonts w:cs="宋体"/>
          <w:szCs w:val="24"/>
        </w:rPr>
        <w:t xml:space="preserve">1.7.4 </w:t>
      </w:r>
      <w:r>
        <w:rPr>
          <w:rFonts w:hint="eastAsia" w:cs="宋体"/>
          <w:szCs w:val="24"/>
        </w:rPr>
        <w:t>对于工程师向承包人发出的任何通知，均应以书面形式由工程师或其代表签认后送交承包人实施，并抄送发包人；对于合同一方向另一方发出的任何通知，均应抄送工程师。对于由工程师审查后报发包人批准的事项，应由工程师向承包人出具经发包人签认的批准文件。</w:t>
      </w:r>
    </w:p>
    <w:p>
      <w:pPr>
        <w:pStyle w:val="65"/>
        <w:widowControl/>
        <w:spacing w:afterLines="0"/>
        <w:ind w:left="0" w:firstLine="482" w:firstLineChars="200"/>
        <w:rPr>
          <w:rFonts w:ascii="宋体" w:hAnsi="宋体" w:eastAsia="宋体" w:cs="宋体"/>
        </w:rPr>
      </w:pPr>
      <w:bookmarkStart w:id="127" w:name="_Toc54862185"/>
      <w:r>
        <w:rPr>
          <w:rFonts w:ascii="宋体" w:hAnsi="宋体" w:eastAsia="宋体" w:cs="宋体"/>
        </w:rPr>
        <w:t xml:space="preserve">1.8 </w:t>
      </w:r>
      <w:r>
        <w:rPr>
          <w:rFonts w:hint="eastAsia" w:ascii="宋体" w:hAnsi="宋体" w:eastAsia="宋体" w:cs="宋体"/>
        </w:rPr>
        <w:t>严禁贿赂</w:t>
      </w:r>
      <w:bookmarkEnd w:id="117"/>
      <w:bookmarkEnd w:id="118"/>
      <w:bookmarkEnd w:id="119"/>
      <w:bookmarkEnd w:id="127"/>
    </w:p>
    <w:p>
      <w:pPr>
        <w:spacing w:line="360" w:lineRule="auto"/>
        <w:ind w:firstLine="480" w:firstLineChars="200"/>
        <w:rPr>
          <w:sz w:val="24"/>
          <w:szCs w:val="24"/>
        </w:rPr>
      </w:pPr>
      <w:r>
        <w:rPr>
          <w:rFonts w:hint="eastAsia"/>
          <w:sz w:val="24"/>
          <w:szCs w:val="24"/>
        </w:rPr>
        <w:t>合同当事人不得以贿赂或变相贿赂的方式，谋取非法利益或损害对方权益。因一方合同当事人的贿赂造成对方损失的，应赔偿损失，并承担相应的法律责任。</w:t>
      </w:r>
    </w:p>
    <w:p>
      <w:pPr>
        <w:spacing w:line="360" w:lineRule="auto"/>
        <w:ind w:firstLine="480" w:firstLineChars="200"/>
        <w:rPr>
          <w:sz w:val="24"/>
          <w:szCs w:val="24"/>
        </w:rPr>
      </w:pPr>
      <w:r>
        <w:rPr>
          <w:rFonts w:hint="eastAsia"/>
          <w:sz w:val="24"/>
          <w:szCs w:val="24"/>
        </w:rPr>
        <w:t>承包人不得与工程师或发包人聘请的第三方串通损害发包人利益。未经发包人书面同意，承包人不得为工程师提供合同约定以外的通讯设备、交通工具及其他任何形式的利益，不得向工程师支付报酬。</w:t>
      </w:r>
    </w:p>
    <w:p>
      <w:pPr>
        <w:pStyle w:val="65"/>
        <w:widowControl/>
        <w:spacing w:afterLines="0"/>
        <w:ind w:left="0" w:firstLine="482" w:firstLineChars="200"/>
        <w:rPr>
          <w:rFonts w:ascii="宋体" w:hAnsi="宋体" w:eastAsia="宋体" w:cs="宋体"/>
        </w:rPr>
      </w:pPr>
      <w:bookmarkStart w:id="128" w:name="_Toc54862186"/>
      <w:r>
        <w:rPr>
          <w:rFonts w:ascii="宋体" w:hAnsi="宋体" w:eastAsia="宋体" w:cs="宋体"/>
        </w:rPr>
        <w:t xml:space="preserve">1.9 </w:t>
      </w:r>
      <w:r>
        <w:rPr>
          <w:rFonts w:hint="eastAsia" w:ascii="宋体" w:hAnsi="宋体" w:eastAsia="宋体" w:cs="宋体"/>
        </w:rPr>
        <w:t>化石、文物</w:t>
      </w:r>
      <w:bookmarkEnd w:id="128"/>
    </w:p>
    <w:p>
      <w:pPr>
        <w:spacing w:line="360" w:lineRule="auto"/>
        <w:ind w:firstLine="480" w:firstLineChars="200"/>
        <w:rPr>
          <w:sz w:val="24"/>
          <w:szCs w:val="24"/>
        </w:rPr>
      </w:pPr>
      <w:r>
        <w:rPr>
          <w:rFonts w:hint="eastAsia"/>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工程师。</w:t>
      </w:r>
    </w:p>
    <w:p>
      <w:pPr>
        <w:spacing w:line="360" w:lineRule="auto"/>
        <w:ind w:firstLine="480" w:firstLineChars="200"/>
        <w:rPr>
          <w:sz w:val="24"/>
          <w:szCs w:val="24"/>
        </w:rPr>
      </w:pPr>
      <w:r>
        <w:rPr>
          <w:rFonts w:hint="eastAsia"/>
          <w:sz w:val="24"/>
          <w:szCs w:val="24"/>
        </w:rPr>
        <w:t>发包人、工程师和承包人应按有关政府行政管理部门要求采取妥善的保护措施，由此增加的费用和（或）延误的工期由发包人承担。</w:t>
      </w:r>
    </w:p>
    <w:p>
      <w:pPr>
        <w:spacing w:line="360" w:lineRule="auto"/>
        <w:ind w:firstLine="480" w:firstLineChars="200"/>
        <w:rPr>
          <w:sz w:val="24"/>
          <w:szCs w:val="24"/>
        </w:rPr>
      </w:pPr>
      <w:r>
        <w:rPr>
          <w:rFonts w:hint="eastAsia"/>
          <w:sz w:val="24"/>
          <w:szCs w:val="24"/>
        </w:rPr>
        <w:t>承包人发现文物后不及时报告或隐瞒不报，致使文物丢失或损坏的，应赔偿损失，并承担相应的法律责任。</w:t>
      </w:r>
    </w:p>
    <w:p>
      <w:pPr>
        <w:pStyle w:val="65"/>
        <w:widowControl/>
        <w:spacing w:afterLines="0"/>
        <w:ind w:left="0" w:firstLine="482" w:firstLineChars="200"/>
        <w:rPr>
          <w:rFonts w:ascii="宋体" w:hAnsi="宋体" w:eastAsia="宋体" w:cs="宋体"/>
        </w:rPr>
      </w:pPr>
      <w:bookmarkStart w:id="129" w:name="_Ref531949770"/>
      <w:bookmarkStart w:id="130" w:name="_Ref531949766"/>
      <w:bookmarkStart w:id="131" w:name="_Toc54862187"/>
      <w:bookmarkStart w:id="132" w:name="_Ref4423426"/>
      <w:bookmarkStart w:id="133" w:name="_Ref531949841"/>
      <w:bookmarkStart w:id="134" w:name="_Ref531949826"/>
      <w:bookmarkStart w:id="135" w:name="_Ref531949855"/>
      <w:r>
        <w:rPr>
          <w:rFonts w:ascii="宋体" w:hAnsi="宋体" w:eastAsia="宋体" w:cs="宋体"/>
        </w:rPr>
        <w:t xml:space="preserve">1.10 </w:t>
      </w:r>
      <w:r>
        <w:rPr>
          <w:rFonts w:hint="eastAsia" w:ascii="宋体" w:hAnsi="宋体" w:eastAsia="宋体" w:cs="宋体"/>
        </w:rPr>
        <w:t>知识产权</w:t>
      </w:r>
      <w:bookmarkEnd w:id="129"/>
      <w:bookmarkEnd w:id="130"/>
      <w:bookmarkEnd w:id="131"/>
      <w:bookmarkEnd w:id="132"/>
      <w:r>
        <w:rPr>
          <w:rFonts w:ascii="宋体" w:hAnsi="宋体" w:eastAsia="宋体" w:cs="宋体"/>
        </w:rPr>
        <w:t xml:space="preserve"> </w:t>
      </w:r>
    </w:p>
    <w:p>
      <w:pPr>
        <w:pStyle w:val="66"/>
        <w:spacing w:afterLines="0"/>
        <w:ind w:left="0" w:firstLine="480" w:firstLineChars="200"/>
        <w:rPr>
          <w:rFonts w:cs="宋体"/>
          <w:szCs w:val="24"/>
        </w:rPr>
      </w:pPr>
      <w:bookmarkStart w:id="136" w:name="_Ref4423563"/>
      <w:r>
        <w:rPr>
          <w:rFonts w:cs="宋体"/>
          <w:szCs w:val="24"/>
        </w:rPr>
        <w:t xml:space="preserve">1.10.1 </w:t>
      </w:r>
      <w:r>
        <w:rPr>
          <w:rFonts w:hint="eastAsia" w:cs="宋体"/>
          <w:szCs w:val="24"/>
        </w:rPr>
        <w:t>除专用合同条件另有约定外，由发包人（或以发包人名义）编制的《发包人要求》和其他文件，就合同当事人之间而言，其著作权和其他知识产权应归发包人所有。承包人可以为实现合同目的而复制、使用此类文件，但不能用于与合同无关的其他事项。未经发包人书面同意，承包人不得为了合同以外的目的而复制、使用上述文件或将之提供给任何第三方。</w:t>
      </w:r>
      <w:bookmarkEnd w:id="136"/>
    </w:p>
    <w:p>
      <w:pPr>
        <w:pStyle w:val="66"/>
        <w:spacing w:afterLines="0"/>
        <w:ind w:left="0" w:firstLine="480" w:firstLineChars="200"/>
        <w:rPr>
          <w:rFonts w:cs="宋体"/>
          <w:szCs w:val="24"/>
        </w:rPr>
      </w:pPr>
      <w:bookmarkStart w:id="137" w:name="_Ref4423604"/>
      <w:r>
        <w:rPr>
          <w:rFonts w:cs="宋体"/>
          <w:szCs w:val="24"/>
        </w:rPr>
        <w:t xml:space="preserve">1.10.2 </w:t>
      </w:r>
      <w:r>
        <w:rPr>
          <w:rFonts w:hint="eastAsia" w:cs="宋体"/>
          <w:szCs w:val="24"/>
        </w:rPr>
        <w:t>除专用合同条件另有约定外，由承包人（或以承包人名义）为实施工程所编制的文件、承包人完成的设计工作成果和建造完成的建筑物，就合同当事人之间而言，其著作权和其他知识产权应归承包人享有。发包人可因实施工程的运行、调试、维修、改造等目的而复制、使用此类文件，但不能用于与合同无关的其他事项。未经承包人书面同意，发包人不得为了合同以外的目的而复制、使用上述文件或将之提供给任何第三方。</w:t>
      </w:r>
      <w:bookmarkEnd w:id="137"/>
    </w:p>
    <w:p>
      <w:pPr>
        <w:pStyle w:val="66"/>
        <w:spacing w:afterLines="0"/>
        <w:ind w:left="0" w:firstLine="480" w:firstLineChars="200"/>
        <w:rPr>
          <w:rFonts w:cs="宋体"/>
          <w:szCs w:val="24"/>
        </w:rPr>
      </w:pPr>
      <w:r>
        <w:rPr>
          <w:rFonts w:cs="宋体"/>
          <w:szCs w:val="24"/>
        </w:rPr>
        <w:t xml:space="preserve">1.10.3 </w:t>
      </w:r>
      <w:r>
        <w:rPr>
          <w:rFonts w:hint="eastAsia" w:cs="宋体"/>
          <w:szCs w:val="24"/>
        </w:rPr>
        <w:t>合同当事人保证在履行合同过程中不侵犯对方及第三方的知识产权。承包人在工程设计、使用材料、施工设备、工程设备或采用施工工艺时，因侵犯他人的专利权或其他知识产权所引起的责任，由承包人承担；因发包人提供的材料、施工设备、工程设备或施工工艺导致侵权的，由发包人承担责任。</w:t>
      </w:r>
    </w:p>
    <w:p>
      <w:pPr>
        <w:pStyle w:val="66"/>
        <w:spacing w:afterLines="0"/>
        <w:ind w:left="0" w:firstLine="480" w:firstLineChars="200"/>
        <w:rPr>
          <w:rFonts w:cs="宋体"/>
          <w:szCs w:val="24"/>
        </w:rPr>
      </w:pPr>
      <w:bookmarkStart w:id="138" w:name="_Ref4423695"/>
      <w:r>
        <w:rPr>
          <w:rFonts w:cs="宋体"/>
          <w:szCs w:val="24"/>
        </w:rPr>
        <w:t xml:space="preserve">1.10.4 </w:t>
      </w:r>
      <w:r>
        <w:rPr>
          <w:rFonts w:hint="eastAsia" w:cs="宋体"/>
          <w:szCs w:val="24"/>
        </w:rPr>
        <w:t>除专用合同条件另有约定外，承包人在投标文件中采用的专利、专有技术、商业软件、技术秘密的使用费已包含在签约合同价中。</w:t>
      </w:r>
      <w:bookmarkEnd w:id="138"/>
    </w:p>
    <w:p>
      <w:pPr>
        <w:pStyle w:val="66"/>
        <w:spacing w:afterLines="0"/>
        <w:ind w:left="0" w:firstLine="480" w:firstLineChars="200"/>
        <w:rPr>
          <w:rFonts w:cs="宋体"/>
          <w:szCs w:val="24"/>
        </w:rPr>
      </w:pPr>
      <w:r>
        <w:rPr>
          <w:rFonts w:cs="宋体"/>
          <w:szCs w:val="24"/>
        </w:rPr>
        <w:t xml:space="preserve">1.10.5 </w:t>
      </w:r>
      <w:r>
        <w:rPr>
          <w:rFonts w:hint="eastAsia" w:cs="宋体"/>
          <w:szCs w:val="24"/>
        </w:rPr>
        <w:t>合同当事人可就本合同涉及的合同一方、或合同双方（含一方或双方相关的专利商或第三方设计单位</w:t>
      </w:r>
      <w:r>
        <w:rPr>
          <w:rFonts w:cs="宋体"/>
          <w:szCs w:val="24"/>
        </w:rPr>
        <w:t>)</w:t>
      </w:r>
      <w:r>
        <w:rPr>
          <w:rFonts w:hint="eastAsia" w:cs="宋体"/>
          <w:szCs w:val="24"/>
        </w:rPr>
        <w:t>的技术专利、建筑设计方案、专有技术、设计文件著作权等知识产权，订立知识产权及保密协议，作为本合同的组成部分。</w:t>
      </w:r>
    </w:p>
    <w:p>
      <w:pPr>
        <w:pStyle w:val="65"/>
        <w:widowControl/>
        <w:spacing w:afterLines="0"/>
        <w:ind w:left="0" w:firstLine="482" w:firstLineChars="200"/>
        <w:rPr>
          <w:rFonts w:ascii="宋体" w:hAnsi="宋体" w:eastAsia="宋体" w:cs="宋体"/>
          <w:b w:val="0"/>
          <w:bCs/>
        </w:rPr>
      </w:pPr>
      <w:bookmarkStart w:id="139" w:name="_Toc54862188"/>
      <w:bookmarkStart w:id="140" w:name="_Ref4423898"/>
      <w:bookmarkStart w:id="141" w:name="_Ref4423873"/>
      <w:r>
        <w:rPr>
          <w:rFonts w:ascii="宋体" w:hAnsi="宋体" w:eastAsia="宋体" w:cs="宋体"/>
        </w:rPr>
        <w:t xml:space="preserve">1.11 </w:t>
      </w:r>
      <w:r>
        <w:rPr>
          <w:rFonts w:hint="eastAsia" w:ascii="宋体" w:hAnsi="宋体" w:eastAsia="宋体" w:cs="宋体"/>
          <w:b w:val="0"/>
          <w:bCs/>
        </w:rPr>
        <w:t>保密</w:t>
      </w:r>
      <w:bookmarkEnd w:id="133"/>
      <w:bookmarkEnd w:id="134"/>
      <w:bookmarkEnd w:id="135"/>
      <w:bookmarkEnd w:id="139"/>
      <w:bookmarkEnd w:id="140"/>
      <w:bookmarkEnd w:id="141"/>
    </w:p>
    <w:p>
      <w:pPr>
        <w:spacing w:line="360" w:lineRule="auto"/>
        <w:ind w:firstLine="480" w:firstLineChars="200"/>
        <w:rPr>
          <w:sz w:val="24"/>
          <w:szCs w:val="24"/>
        </w:rPr>
      </w:pPr>
      <w:r>
        <w:rPr>
          <w:rFonts w:hint="eastAsia"/>
          <w:sz w:val="24"/>
          <w:szCs w:val="24"/>
        </w:rPr>
        <w:t>合同当事人一方对在订立和履行合同过程中知悉的另一方的商业秘密、技术秘密，以及任何一方明确要求保密的其它信息，负有保密责任。</w:t>
      </w:r>
    </w:p>
    <w:p>
      <w:pPr>
        <w:spacing w:line="360" w:lineRule="auto"/>
        <w:ind w:firstLine="480" w:firstLineChars="200"/>
        <w:rPr>
          <w:sz w:val="24"/>
          <w:szCs w:val="24"/>
        </w:rPr>
      </w:pPr>
      <w:r>
        <w:rPr>
          <w:rFonts w:hint="eastAsia"/>
          <w:sz w:val="24"/>
          <w:szCs w:val="24"/>
        </w:rPr>
        <w:t>除法律规定或合同另有约定外，未经对方同意，任何一方当事人不得将对方提供的文件、技术秘密以及声明需要保密的资料信息等商业秘密泄露给第三方或者用于本合同以外的目的。</w:t>
      </w:r>
    </w:p>
    <w:p>
      <w:pPr>
        <w:spacing w:line="360" w:lineRule="auto"/>
        <w:ind w:firstLine="480" w:firstLineChars="200"/>
        <w:rPr>
          <w:sz w:val="24"/>
          <w:szCs w:val="24"/>
        </w:rPr>
      </w:pPr>
      <w:r>
        <w:rPr>
          <w:rFonts w:hint="eastAsia"/>
          <w:sz w:val="24"/>
          <w:szCs w:val="24"/>
        </w:rPr>
        <w:t>一方泄露或者在本合同以外使用该商业秘密、技术秘密等保密信息给另一方造成损失的，应承担损害赔偿责任。当事人为履行合同所需要的信息，另一方应予以提供。当事人认为必要时，可订立保密协议，作为合同附件。</w:t>
      </w:r>
    </w:p>
    <w:p>
      <w:pPr>
        <w:pStyle w:val="65"/>
        <w:widowControl/>
        <w:spacing w:afterLines="0"/>
        <w:ind w:left="0" w:firstLine="482" w:firstLineChars="200"/>
        <w:rPr>
          <w:rFonts w:ascii="宋体" w:hAnsi="宋体" w:eastAsia="宋体" w:cs="宋体"/>
          <w:b w:val="0"/>
          <w:bCs/>
        </w:rPr>
      </w:pPr>
      <w:bookmarkStart w:id="142" w:name="_Ref532336812"/>
      <w:bookmarkStart w:id="143" w:name="_Toc54862189"/>
      <w:r>
        <w:rPr>
          <w:rFonts w:ascii="宋体" w:hAnsi="宋体" w:eastAsia="宋体" w:cs="宋体"/>
        </w:rPr>
        <w:t>1.12</w:t>
      </w:r>
      <w:r>
        <w:rPr>
          <w:rFonts w:ascii="宋体" w:hAnsi="宋体" w:eastAsia="宋体" w:cs="宋体"/>
          <w:b w:val="0"/>
          <w:bCs/>
        </w:rPr>
        <w:t xml:space="preserve"> </w:t>
      </w:r>
      <w:bookmarkStart w:id="144" w:name="_Hlk55215423"/>
      <w:r>
        <w:rPr>
          <w:rFonts w:hint="eastAsia" w:ascii="宋体" w:hAnsi="宋体" w:eastAsia="宋体" w:cs="宋体"/>
          <w:b w:val="0"/>
          <w:bCs/>
        </w:rPr>
        <w:t>《发包人要求》和基础资料中的错误</w:t>
      </w:r>
      <w:bookmarkEnd w:id="142"/>
      <w:bookmarkEnd w:id="143"/>
      <w:bookmarkEnd w:id="144"/>
    </w:p>
    <w:p>
      <w:pPr>
        <w:spacing w:line="360" w:lineRule="auto"/>
        <w:ind w:firstLine="480" w:firstLineChars="200"/>
        <w:rPr>
          <w:sz w:val="24"/>
          <w:szCs w:val="24"/>
        </w:rPr>
      </w:pPr>
      <w:r>
        <w:rPr>
          <w:rFonts w:hint="eastAsia"/>
          <w:sz w:val="24"/>
          <w:szCs w:val="24"/>
        </w:rPr>
        <w:t>承包人应尽早认真阅读、复核《发包人要求》以及其提供的基础资料，发现错误的，应及时书面通知发包人补正。发包人作相应修改的，按照第</w:t>
      </w:r>
      <w:r>
        <w:rPr>
          <w:sz w:val="24"/>
          <w:szCs w:val="24"/>
        </w:rPr>
        <w:t>13</w:t>
      </w:r>
      <w:r>
        <w:rPr>
          <w:rFonts w:hint="eastAsia"/>
          <w:sz w:val="24"/>
          <w:szCs w:val="24"/>
        </w:rPr>
        <w:t>条</w:t>
      </w:r>
      <w:r>
        <w:rPr>
          <w:sz w:val="24"/>
          <w:szCs w:val="24"/>
        </w:rPr>
        <w:t>[</w:t>
      </w:r>
      <w:r>
        <w:rPr>
          <w:rFonts w:hint="eastAsia"/>
          <w:sz w:val="24"/>
          <w:szCs w:val="24"/>
        </w:rPr>
        <w:t>变更与调整</w:t>
      </w:r>
      <w:bookmarkStart w:id="145" w:name="_Ref523403409"/>
      <w:bookmarkStart w:id="146" w:name="_Ref523403776"/>
      <w:r>
        <w:rPr>
          <w:sz w:val="24"/>
          <w:szCs w:val="24"/>
        </w:rPr>
        <w:t>]</w:t>
      </w:r>
      <w:r>
        <w:rPr>
          <w:rFonts w:hint="eastAsia"/>
          <w:sz w:val="24"/>
          <w:szCs w:val="24"/>
        </w:rPr>
        <w:t>的约定处理。</w:t>
      </w:r>
    </w:p>
    <w:p>
      <w:pPr>
        <w:spacing w:line="360" w:lineRule="auto"/>
        <w:ind w:firstLine="480" w:firstLineChars="200"/>
        <w:rPr>
          <w:sz w:val="24"/>
          <w:szCs w:val="24"/>
        </w:rPr>
      </w:pPr>
      <w:r>
        <w:rPr>
          <w:rFonts w:hint="eastAsia"/>
          <w:sz w:val="24"/>
          <w:szCs w:val="24"/>
        </w:rPr>
        <w:t>《发包人要求》或其提供的基础资料中的错误导致承包人增加费用和（或）工期延误的，发包人应承担由此增加的费用和（或）工期延误，并向承包人支付合理利润。</w:t>
      </w:r>
    </w:p>
    <w:bookmarkEnd w:id="145"/>
    <w:bookmarkEnd w:id="146"/>
    <w:p>
      <w:pPr>
        <w:pStyle w:val="65"/>
        <w:widowControl/>
        <w:spacing w:afterLines="0"/>
        <w:ind w:left="0" w:firstLine="482" w:firstLineChars="200"/>
        <w:rPr>
          <w:rFonts w:ascii="宋体" w:hAnsi="宋体" w:eastAsia="宋体" w:cs="宋体"/>
          <w:b w:val="0"/>
          <w:bCs/>
        </w:rPr>
      </w:pPr>
      <w:bookmarkStart w:id="147" w:name="_Ref531949933"/>
      <w:bookmarkStart w:id="148" w:name="_Ref531949937"/>
      <w:bookmarkStart w:id="149" w:name="_Toc54862190"/>
      <w:r>
        <w:rPr>
          <w:rFonts w:ascii="宋体" w:hAnsi="宋体" w:eastAsia="宋体" w:cs="宋体"/>
        </w:rPr>
        <w:t>1.13</w:t>
      </w:r>
      <w:r>
        <w:rPr>
          <w:rFonts w:ascii="宋体" w:hAnsi="宋体" w:eastAsia="宋体" w:cs="宋体"/>
          <w:b w:val="0"/>
          <w:bCs/>
        </w:rPr>
        <w:t xml:space="preserve"> </w:t>
      </w:r>
      <w:r>
        <w:rPr>
          <w:rFonts w:hint="eastAsia" w:ascii="宋体" w:hAnsi="宋体" w:eastAsia="宋体" w:cs="宋体"/>
          <w:b w:val="0"/>
          <w:bCs/>
        </w:rPr>
        <w:t>责任限制</w:t>
      </w:r>
      <w:bookmarkEnd w:id="147"/>
      <w:bookmarkEnd w:id="148"/>
      <w:bookmarkEnd w:id="149"/>
    </w:p>
    <w:p>
      <w:pPr>
        <w:spacing w:line="360" w:lineRule="auto"/>
        <w:ind w:firstLine="480" w:firstLineChars="200"/>
        <w:rPr>
          <w:sz w:val="24"/>
          <w:szCs w:val="24"/>
        </w:rPr>
      </w:pPr>
      <w:r>
        <w:rPr>
          <w:rFonts w:hint="eastAsia"/>
          <w:sz w:val="24"/>
          <w:szCs w:val="24"/>
        </w:rPr>
        <w:t>承包人对发包人的赔偿责任不应超过专用合同条件约定的赔偿最高限额。若专用合同条件未约定，则承包人对发包人的赔偿责任不应超过签约合同价。但对于因欺诈、犯罪、故意、重大过失、人身伤害等不当行为造成的损失，赔偿的责任限度不受上述最高限额的限制。</w:t>
      </w:r>
    </w:p>
    <w:p>
      <w:pPr>
        <w:pStyle w:val="65"/>
        <w:widowControl/>
        <w:spacing w:afterLines="0"/>
        <w:ind w:left="0" w:firstLine="482" w:firstLineChars="200"/>
        <w:rPr>
          <w:rFonts w:ascii="宋体" w:hAnsi="宋体" w:eastAsia="宋体" w:cs="宋体"/>
          <w:b w:val="0"/>
          <w:bCs/>
        </w:rPr>
      </w:pPr>
      <w:bookmarkStart w:id="150" w:name="_Toc54862191"/>
      <w:bookmarkStart w:id="151" w:name="_Hlk51506160"/>
      <w:r>
        <w:rPr>
          <w:rFonts w:ascii="宋体" w:hAnsi="宋体" w:eastAsia="宋体" w:cs="宋体"/>
        </w:rPr>
        <w:t xml:space="preserve">1.14 </w:t>
      </w:r>
      <w:r>
        <w:rPr>
          <w:rFonts w:hint="eastAsia" w:ascii="宋体" w:hAnsi="宋体" w:eastAsia="宋体" w:cs="宋体"/>
          <w:b w:val="0"/>
          <w:bCs/>
        </w:rPr>
        <w:t>建筑信息模型技术的应用</w:t>
      </w:r>
      <w:bookmarkEnd w:id="150"/>
    </w:p>
    <w:bookmarkEnd w:id="151"/>
    <w:p>
      <w:pPr>
        <w:spacing w:line="360" w:lineRule="auto"/>
        <w:ind w:firstLine="480" w:firstLineChars="200"/>
        <w:rPr>
          <w:sz w:val="24"/>
          <w:szCs w:val="24"/>
        </w:rPr>
      </w:pPr>
      <w:r>
        <w:rPr>
          <w:rFonts w:hint="eastAsia"/>
          <w:sz w:val="24"/>
          <w:szCs w:val="24"/>
        </w:rPr>
        <w:t>如果项目中拟采用建筑信息模型技术，合同双方应遵守国家现行相关标准的规定，并符合项目所在地的相关地方标准或指南。合同双方应在专用合同条件中就建筑信息模型的开发、使用、存储、传输、交付及费用等相关内容进行约定。除专用合同条件另有约定外，承包人应负责与本项目中其他使用方协商。</w:t>
      </w:r>
    </w:p>
    <w:p>
      <w:pPr>
        <w:pStyle w:val="64"/>
        <w:numPr>
          <w:ilvl w:val="0"/>
          <w:numId w:val="0"/>
        </w:numPr>
        <w:spacing w:before="0"/>
        <w:ind w:firstLine="482" w:firstLineChars="200"/>
        <w:rPr>
          <w:rFonts w:ascii="宋体"/>
          <w:b/>
          <w:sz w:val="24"/>
          <w:szCs w:val="24"/>
        </w:rPr>
      </w:pPr>
      <w:bookmarkStart w:id="152" w:name="_Toc54862192"/>
      <w:bookmarkStart w:id="153" w:name="_Ref4796511"/>
      <w:r>
        <w:rPr>
          <w:rFonts w:hint="eastAsia" w:ascii="宋体" w:hAnsi="宋体"/>
          <w:b/>
          <w:sz w:val="24"/>
          <w:szCs w:val="24"/>
        </w:rPr>
        <w:t>第</w:t>
      </w:r>
      <w:r>
        <w:rPr>
          <w:rFonts w:ascii="宋体" w:hAnsi="宋体"/>
          <w:b/>
          <w:sz w:val="24"/>
          <w:szCs w:val="24"/>
        </w:rPr>
        <w:t>2</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发包人</w:t>
      </w:r>
      <w:bookmarkEnd w:id="152"/>
      <w:bookmarkEnd w:id="153"/>
    </w:p>
    <w:p>
      <w:pPr>
        <w:pStyle w:val="65"/>
        <w:widowControl/>
        <w:spacing w:afterLines="0"/>
        <w:ind w:left="0" w:firstLine="482" w:firstLineChars="200"/>
        <w:rPr>
          <w:rFonts w:ascii="宋体" w:hAnsi="宋体" w:eastAsia="宋体" w:cs="宋体"/>
          <w:b w:val="0"/>
          <w:bCs/>
        </w:rPr>
      </w:pPr>
      <w:bookmarkStart w:id="154" w:name="_Toc54862193"/>
      <w:r>
        <w:rPr>
          <w:rFonts w:ascii="宋体" w:hAnsi="宋体" w:eastAsia="宋体" w:cs="宋体"/>
        </w:rPr>
        <w:t xml:space="preserve">2.1 </w:t>
      </w:r>
      <w:r>
        <w:rPr>
          <w:rFonts w:hint="eastAsia" w:ascii="宋体" w:hAnsi="宋体" w:eastAsia="宋体" w:cs="宋体"/>
        </w:rPr>
        <w:t>遵守法律</w:t>
      </w:r>
      <w:bookmarkEnd w:id="154"/>
    </w:p>
    <w:p>
      <w:pPr>
        <w:spacing w:line="360" w:lineRule="auto"/>
        <w:ind w:firstLine="480" w:firstLineChars="200"/>
        <w:rPr>
          <w:sz w:val="24"/>
          <w:szCs w:val="24"/>
        </w:rPr>
      </w:pPr>
      <w:r>
        <w:rPr>
          <w:rFonts w:hint="eastAsia"/>
          <w:sz w:val="24"/>
          <w:szCs w:val="24"/>
        </w:rPr>
        <w:t>发包人在履行合同过程中应遵守法律，并承担因发包人违反法律给承包人造成的任何费用和损失。发包人不得以任何理由，要求承包人在工程实施过程中违反法律、行政法规以及建设工程质量、安全、环保标准，任意压缩合理工期或者降低工程质量。</w:t>
      </w:r>
    </w:p>
    <w:p>
      <w:pPr>
        <w:pStyle w:val="65"/>
        <w:widowControl/>
        <w:spacing w:afterLines="0"/>
        <w:ind w:left="0" w:firstLine="482" w:firstLineChars="200"/>
        <w:rPr>
          <w:rFonts w:ascii="宋体" w:hAnsi="宋体" w:eastAsia="宋体" w:cs="宋体"/>
          <w:b w:val="0"/>
          <w:bCs/>
        </w:rPr>
      </w:pPr>
      <w:bookmarkStart w:id="155" w:name="_Toc54862194"/>
      <w:bookmarkStart w:id="156" w:name="_Ref11917995"/>
      <w:bookmarkStart w:id="157" w:name="_Ref11917977"/>
      <w:r>
        <w:rPr>
          <w:rFonts w:ascii="宋体" w:hAnsi="宋体" w:eastAsia="宋体" w:cs="宋体"/>
        </w:rPr>
        <w:t xml:space="preserve">2.2 </w:t>
      </w:r>
      <w:r>
        <w:rPr>
          <w:rFonts w:hint="eastAsia" w:ascii="宋体" w:hAnsi="宋体" w:eastAsia="宋体" w:cs="宋体"/>
        </w:rPr>
        <w:t>提供施工现场和工作条件</w:t>
      </w:r>
      <w:bookmarkEnd w:id="155"/>
      <w:bookmarkEnd w:id="156"/>
      <w:bookmarkEnd w:id="157"/>
      <w:bookmarkStart w:id="158" w:name="_Toc54862196"/>
      <w:bookmarkEnd w:id="158"/>
      <w:bookmarkStart w:id="159" w:name="_Toc51505124"/>
      <w:bookmarkEnd w:id="159"/>
      <w:bookmarkStart w:id="160" w:name="_Toc51505123"/>
      <w:bookmarkEnd w:id="160"/>
      <w:bookmarkStart w:id="161" w:name="_Toc54862197"/>
      <w:bookmarkEnd w:id="161"/>
      <w:bookmarkStart w:id="162" w:name="_Toc51505125"/>
      <w:bookmarkEnd w:id="162"/>
      <w:bookmarkStart w:id="163" w:name="_Toc54862195"/>
      <w:bookmarkEnd w:id="163"/>
      <w:bookmarkStart w:id="164" w:name="_Ref531950085"/>
    </w:p>
    <w:p>
      <w:pPr>
        <w:pStyle w:val="66"/>
        <w:spacing w:afterLines="0"/>
        <w:ind w:left="0" w:firstLine="480" w:firstLineChars="200"/>
        <w:rPr>
          <w:rFonts w:cs="宋体"/>
          <w:szCs w:val="24"/>
        </w:rPr>
      </w:pPr>
      <w:r>
        <w:rPr>
          <w:rFonts w:cs="宋体"/>
          <w:szCs w:val="24"/>
        </w:rPr>
        <w:t xml:space="preserve">2.2.1 </w:t>
      </w:r>
      <w:r>
        <w:rPr>
          <w:rFonts w:hint="eastAsia" w:cs="宋体"/>
          <w:szCs w:val="24"/>
        </w:rPr>
        <w:t>提供施工</w:t>
      </w:r>
      <w:bookmarkEnd w:id="164"/>
      <w:r>
        <w:rPr>
          <w:rFonts w:hint="eastAsia" w:cs="宋体"/>
          <w:szCs w:val="24"/>
        </w:rPr>
        <w:t>现场</w:t>
      </w:r>
    </w:p>
    <w:p>
      <w:pPr>
        <w:spacing w:line="360" w:lineRule="auto"/>
        <w:ind w:firstLine="480" w:firstLineChars="200"/>
        <w:rPr>
          <w:color w:val="000000"/>
          <w:sz w:val="24"/>
          <w:szCs w:val="24"/>
        </w:rPr>
      </w:pPr>
      <w:r>
        <w:rPr>
          <w:rFonts w:hint="eastAsia"/>
          <w:sz w:val="24"/>
          <w:szCs w:val="24"/>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w:t>
      </w:r>
      <w:r>
        <w:rPr>
          <w:sz w:val="24"/>
          <w:szCs w:val="24"/>
        </w:rPr>
        <w:t>7</w:t>
      </w:r>
      <w:r>
        <w:rPr>
          <w:rFonts w:hint="eastAsia"/>
          <w:sz w:val="24"/>
          <w:szCs w:val="24"/>
        </w:rPr>
        <w:t>天前向承包人移交施工现场，但承包人未能按照第</w:t>
      </w:r>
      <w:r>
        <w:rPr>
          <w:sz w:val="24"/>
          <w:szCs w:val="24"/>
        </w:rPr>
        <w:t>4.2</w:t>
      </w:r>
      <w:r>
        <w:rPr>
          <w:rFonts w:hint="eastAsia"/>
          <w:sz w:val="24"/>
          <w:szCs w:val="24"/>
        </w:rPr>
        <w:t>款</w:t>
      </w:r>
      <w:r>
        <w:rPr>
          <w:sz w:val="24"/>
          <w:szCs w:val="24"/>
        </w:rPr>
        <w:t>[</w:t>
      </w:r>
      <w:r>
        <w:rPr>
          <w:rFonts w:hint="eastAsia"/>
          <w:sz w:val="24"/>
          <w:szCs w:val="24"/>
        </w:rPr>
        <w:t>履约担保</w:t>
      </w:r>
      <w:r>
        <w:rPr>
          <w:sz w:val="24"/>
          <w:szCs w:val="24"/>
        </w:rPr>
        <w:t>]</w:t>
      </w:r>
      <w:r>
        <w:rPr>
          <w:rFonts w:hint="eastAsia"/>
          <w:sz w:val="24"/>
          <w:szCs w:val="24"/>
        </w:rPr>
        <w:t>提供履约担保的除外。</w:t>
      </w:r>
    </w:p>
    <w:p>
      <w:pPr>
        <w:pStyle w:val="66"/>
        <w:spacing w:afterLines="0"/>
        <w:ind w:left="0" w:firstLine="480" w:firstLineChars="200"/>
        <w:rPr>
          <w:rFonts w:cs="宋体"/>
          <w:szCs w:val="24"/>
        </w:rPr>
      </w:pPr>
      <w:bookmarkStart w:id="165" w:name="_Ref531950101"/>
      <w:r>
        <w:rPr>
          <w:rFonts w:cs="宋体"/>
          <w:szCs w:val="24"/>
        </w:rPr>
        <w:t xml:space="preserve">2.2.2 </w:t>
      </w:r>
      <w:r>
        <w:rPr>
          <w:rFonts w:hint="eastAsia" w:cs="宋体"/>
          <w:szCs w:val="24"/>
        </w:rPr>
        <w:t>提供工作条件</w:t>
      </w:r>
      <w:bookmarkEnd w:id="165"/>
    </w:p>
    <w:p>
      <w:pPr>
        <w:spacing w:line="360" w:lineRule="auto"/>
        <w:ind w:firstLine="480" w:firstLineChars="200"/>
        <w:rPr>
          <w:sz w:val="24"/>
          <w:szCs w:val="24"/>
        </w:rPr>
      </w:pPr>
      <w:r>
        <w:rPr>
          <w:rFonts w:hint="eastAsia"/>
          <w:sz w:val="24"/>
          <w:szCs w:val="24"/>
        </w:rPr>
        <w:t>发包人应按专用合同条件约定向承包人提供工作条件。专用合同条件对此没有约定的，发包人应负责提供开展本合同相关工作所需要的条件，包括：</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将施工用水、电力、通讯线路等施工所必需的条件接至施工现场内；</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保证向承包人提供正常施工所需要的进入施工现场的交通条件；</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协调处理施工现场周围地下管线和邻近建筑物、构筑物、古树名木、文物、化石及坟墓等的保护工作，并承担相关费用；</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对工程现场临近发包人正在使用、运行、或由发包人用于生产的建筑物、构筑物、生产装置、设施、设备等，设置隔离设施，竖立禁止入内、禁止动火的明显标志，</w:t>
      </w:r>
      <w:r>
        <w:rPr>
          <w:sz w:val="24"/>
          <w:szCs w:val="24"/>
        </w:rPr>
        <w:t xml:space="preserve"> </w:t>
      </w:r>
      <w:r>
        <w:rPr>
          <w:rFonts w:hint="eastAsia"/>
          <w:sz w:val="24"/>
          <w:szCs w:val="24"/>
        </w:rPr>
        <w:t>并以书面形式通知承包人须遵守的安全规定和位置范围；</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按照专用合同条件约定应提供的其他设施和条件。</w:t>
      </w:r>
    </w:p>
    <w:p>
      <w:pPr>
        <w:pStyle w:val="66"/>
        <w:spacing w:afterLines="0"/>
        <w:ind w:left="0" w:firstLine="480" w:firstLineChars="200"/>
        <w:rPr>
          <w:rFonts w:cs="宋体"/>
          <w:szCs w:val="24"/>
        </w:rPr>
      </w:pPr>
      <w:r>
        <w:rPr>
          <w:rFonts w:cs="宋体"/>
          <w:szCs w:val="24"/>
        </w:rPr>
        <w:t xml:space="preserve">2.2.3 </w:t>
      </w:r>
      <w:r>
        <w:rPr>
          <w:rFonts w:hint="eastAsia" w:cs="宋体"/>
          <w:szCs w:val="24"/>
        </w:rPr>
        <w:t>逾期提供的责任</w:t>
      </w:r>
    </w:p>
    <w:p>
      <w:pPr>
        <w:spacing w:line="360" w:lineRule="auto"/>
        <w:ind w:firstLine="480" w:firstLineChars="200"/>
        <w:rPr>
          <w:sz w:val="24"/>
          <w:szCs w:val="24"/>
        </w:rPr>
      </w:pPr>
      <w:r>
        <w:rPr>
          <w:rFonts w:hint="eastAsia"/>
          <w:sz w:val="24"/>
          <w:szCs w:val="24"/>
        </w:rPr>
        <w:t>因发包人原因未能按合同约定及时向承包人提供施工现场和施工条件的，由发包人承担由此增加的费用和（或）延误的工期。</w:t>
      </w:r>
    </w:p>
    <w:p>
      <w:pPr>
        <w:pStyle w:val="65"/>
        <w:widowControl/>
        <w:spacing w:afterLines="0"/>
        <w:ind w:left="0" w:firstLine="482" w:firstLineChars="200"/>
        <w:rPr>
          <w:rFonts w:ascii="宋体" w:hAnsi="宋体" w:eastAsia="宋体" w:cs="宋体"/>
        </w:rPr>
      </w:pPr>
      <w:bookmarkStart w:id="166" w:name="_Ref11918025"/>
      <w:bookmarkStart w:id="167" w:name="_Ref11956647"/>
      <w:bookmarkStart w:id="168" w:name="_Ref11956654"/>
      <w:bookmarkStart w:id="169" w:name="_Ref11918036"/>
      <w:bookmarkStart w:id="170" w:name="_Toc54862198"/>
      <w:r>
        <w:rPr>
          <w:rFonts w:ascii="宋体" w:hAnsi="宋体" w:eastAsia="宋体" w:cs="宋体"/>
        </w:rPr>
        <w:t xml:space="preserve">2.3 </w:t>
      </w:r>
      <w:r>
        <w:rPr>
          <w:rFonts w:hint="eastAsia" w:ascii="宋体" w:hAnsi="宋体" w:eastAsia="宋体" w:cs="宋体"/>
        </w:rPr>
        <w:t>提供基础资料</w:t>
      </w:r>
      <w:bookmarkEnd w:id="166"/>
      <w:bookmarkEnd w:id="167"/>
      <w:bookmarkEnd w:id="168"/>
      <w:bookmarkEnd w:id="169"/>
      <w:bookmarkEnd w:id="170"/>
    </w:p>
    <w:p>
      <w:pPr>
        <w:spacing w:line="360" w:lineRule="auto"/>
        <w:ind w:firstLine="480" w:firstLineChars="200"/>
        <w:rPr>
          <w:sz w:val="24"/>
          <w:szCs w:val="24"/>
        </w:rPr>
      </w:pPr>
      <w:bookmarkStart w:id="171" w:name="_Hlk51506429"/>
      <w:r>
        <w:rPr>
          <w:rFonts w:hint="eastAsia"/>
          <w:sz w:val="24"/>
          <w:szCs w:val="24"/>
        </w:rPr>
        <w:t>发包人应按专用合同条件和《发包人要求》中的约定向承包人提供</w:t>
      </w:r>
      <w:bookmarkEnd w:id="171"/>
      <w:r>
        <w:rPr>
          <w:rFonts w:hint="eastAsia"/>
          <w:sz w:val="24"/>
          <w:szCs w:val="24"/>
        </w:rPr>
        <w:t>施工现场及工程实施所必需的毗邻区域内的供水、排水、供电、供气、供热、通信、广播电视等地上、地下管线和设施资料，气象和水文观测资料，地质勘察资料，相邻建筑物、构筑物和地下工程等有关基础资料，并根据第</w:t>
      </w:r>
      <w:r>
        <w:rPr>
          <w:sz w:val="24"/>
          <w:szCs w:val="24"/>
        </w:rPr>
        <w:t>1.12</w:t>
      </w:r>
      <w:r>
        <w:rPr>
          <w:rFonts w:hint="eastAsia"/>
          <w:sz w:val="24"/>
          <w:szCs w:val="24"/>
        </w:rPr>
        <w:t>款</w:t>
      </w:r>
      <w:r>
        <w:rPr>
          <w:sz w:val="24"/>
          <w:szCs w:val="24"/>
        </w:rPr>
        <w:t>[</w:t>
      </w:r>
      <w:r>
        <w:rPr>
          <w:rFonts w:hint="eastAsia"/>
          <w:sz w:val="24"/>
          <w:szCs w:val="24"/>
        </w:rPr>
        <w:t>《发包人要求》和基础资料中的错误</w:t>
      </w:r>
      <w:r>
        <w:rPr>
          <w:sz w:val="24"/>
          <w:szCs w:val="24"/>
        </w:rPr>
        <w:t>]</w:t>
      </w:r>
      <w:r>
        <w:rPr>
          <w:rFonts w:hint="eastAsia"/>
          <w:sz w:val="24"/>
          <w:szCs w:val="24"/>
        </w:rPr>
        <w:t>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pPr>
        <w:pStyle w:val="65"/>
        <w:widowControl/>
        <w:spacing w:afterLines="0"/>
        <w:ind w:left="0" w:firstLine="482" w:firstLineChars="200"/>
        <w:rPr>
          <w:rFonts w:ascii="宋体" w:hAnsi="宋体" w:eastAsia="宋体" w:cs="宋体"/>
        </w:rPr>
      </w:pPr>
      <w:bookmarkStart w:id="172" w:name="_Toc54862199"/>
      <w:bookmarkStart w:id="173" w:name="_Ref531950041"/>
      <w:bookmarkStart w:id="174" w:name="_Ref531950045"/>
      <w:r>
        <w:rPr>
          <w:rFonts w:ascii="宋体" w:hAnsi="宋体" w:eastAsia="宋体" w:cs="宋体"/>
        </w:rPr>
        <w:t xml:space="preserve">2.4 </w:t>
      </w:r>
      <w:r>
        <w:rPr>
          <w:rFonts w:hint="eastAsia" w:ascii="宋体" w:hAnsi="宋体" w:eastAsia="宋体" w:cs="宋体"/>
        </w:rPr>
        <w:t>办理许可和批准</w:t>
      </w:r>
      <w:bookmarkEnd w:id="172"/>
      <w:bookmarkEnd w:id="173"/>
      <w:bookmarkEnd w:id="174"/>
    </w:p>
    <w:p>
      <w:pPr>
        <w:pStyle w:val="66"/>
        <w:spacing w:afterLines="0"/>
        <w:ind w:left="0" w:firstLine="480" w:firstLineChars="200"/>
        <w:rPr>
          <w:rFonts w:cs="宋体"/>
          <w:szCs w:val="24"/>
        </w:rPr>
      </w:pPr>
      <w:bookmarkStart w:id="175" w:name="_Toc51505128"/>
      <w:r>
        <w:rPr>
          <w:rFonts w:cs="宋体"/>
          <w:szCs w:val="24"/>
        </w:rPr>
        <w:t xml:space="preserve">2.4.1 </w:t>
      </w:r>
      <w:r>
        <w:rPr>
          <w:rFonts w:hint="eastAsia" w:cs="宋体"/>
          <w:szCs w:val="24"/>
        </w:rPr>
        <w:t>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bookmarkEnd w:id="175"/>
    </w:p>
    <w:p>
      <w:pPr>
        <w:pStyle w:val="66"/>
        <w:spacing w:afterLines="0"/>
        <w:ind w:left="0" w:firstLine="480" w:firstLineChars="200"/>
        <w:rPr>
          <w:rFonts w:cs="宋体"/>
          <w:szCs w:val="24"/>
        </w:rPr>
      </w:pPr>
      <w:bookmarkStart w:id="176" w:name="_Toc51505129"/>
      <w:r>
        <w:rPr>
          <w:rFonts w:cs="宋体"/>
          <w:szCs w:val="24"/>
        </w:rPr>
        <w:t xml:space="preserve">2.4.2 </w:t>
      </w:r>
      <w:r>
        <w:rPr>
          <w:rFonts w:hint="eastAsia" w:cs="宋体"/>
          <w:szCs w:val="24"/>
        </w:rPr>
        <w:t>因发包人原因未能及时办理完毕前述许可、批准或备案，由发包人承担由此增加的费用和（或）延误的工期，并支付承包人合理的利润。</w:t>
      </w:r>
      <w:bookmarkEnd w:id="176"/>
    </w:p>
    <w:p>
      <w:pPr>
        <w:pStyle w:val="65"/>
        <w:widowControl/>
        <w:spacing w:afterLines="0"/>
        <w:ind w:left="0" w:firstLine="482" w:firstLineChars="200"/>
        <w:rPr>
          <w:rFonts w:ascii="宋体" w:hAnsi="宋体" w:eastAsia="宋体" w:cs="宋体"/>
        </w:rPr>
      </w:pPr>
      <w:bookmarkStart w:id="177" w:name="_Ref11918060"/>
      <w:bookmarkStart w:id="178" w:name="_Ref11956525"/>
      <w:bookmarkStart w:id="179" w:name="_Toc54862200"/>
      <w:bookmarkStart w:id="180" w:name="_Ref11956533"/>
      <w:bookmarkStart w:id="181" w:name="_Ref11918070"/>
      <w:r>
        <w:rPr>
          <w:rFonts w:ascii="宋体" w:hAnsi="宋体" w:eastAsia="宋体" w:cs="宋体"/>
        </w:rPr>
        <w:t xml:space="preserve">2.5 </w:t>
      </w:r>
      <w:r>
        <w:rPr>
          <w:rFonts w:hint="eastAsia" w:ascii="宋体" w:hAnsi="宋体" w:eastAsia="宋体" w:cs="宋体"/>
        </w:rPr>
        <w:t>支付合同价款</w:t>
      </w:r>
      <w:bookmarkEnd w:id="177"/>
      <w:bookmarkEnd w:id="178"/>
      <w:bookmarkEnd w:id="179"/>
      <w:bookmarkEnd w:id="180"/>
      <w:bookmarkEnd w:id="181"/>
    </w:p>
    <w:p>
      <w:pPr>
        <w:pStyle w:val="66"/>
        <w:spacing w:afterLines="0"/>
        <w:ind w:left="0" w:firstLine="480" w:firstLineChars="200"/>
        <w:rPr>
          <w:rFonts w:cs="宋体"/>
          <w:szCs w:val="24"/>
        </w:rPr>
      </w:pPr>
      <w:bookmarkStart w:id="182" w:name="_Toc51505131"/>
      <w:bookmarkStart w:id="183" w:name="_Ref531950147"/>
      <w:r>
        <w:rPr>
          <w:rFonts w:cs="宋体"/>
          <w:szCs w:val="24"/>
        </w:rPr>
        <w:t xml:space="preserve">2.5.1 </w:t>
      </w:r>
      <w:r>
        <w:rPr>
          <w:rFonts w:hint="eastAsia" w:cs="宋体"/>
          <w:szCs w:val="24"/>
        </w:rPr>
        <w:t>发包人应按合同约定向承包人及时支付合同价款。</w:t>
      </w:r>
      <w:bookmarkEnd w:id="182"/>
    </w:p>
    <w:bookmarkEnd w:id="183"/>
    <w:p>
      <w:pPr>
        <w:pStyle w:val="66"/>
        <w:spacing w:afterLines="0"/>
        <w:ind w:left="0" w:firstLine="480" w:firstLineChars="200"/>
        <w:rPr>
          <w:rFonts w:cs="宋体"/>
          <w:szCs w:val="24"/>
        </w:rPr>
      </w:pPr>
      <w:bookmarkStart w:id="184" w:name="_Toc51505132"/>
      <w:r>
        <w:rPr>
          <w:rFonts w:cs="宋体"/>
          <w:szCs w:val="24"/>
        </w:rPr>
        <w:t xml:space="preserve">2.5.2 </w:t>
      </w:r>
      <w:r>
        <w:rPr>
          <w:rFonts w:hint="eastAsia" w:cs="宋体"/>
          <w:szCs w:val="24"/>
        </w:rPr>
        <w:t>发包人应当制定资金安排计划，除专用合同条件另有约定外，如发包人拟对资金安排做任何重要变更，应将变更的详细情况通知承包人。如发生承包人收到价格大于签约合同价</w:t>
      </w:r>
      <w:r>
        <w:rPr>
          <w:rFonts w:cs="宋体"/>
          <w:szCs w:val="24"/>
        </w:rPr>
        <w:t>10%</w:t>
      </w:r>
      <w:r>
        <w:rPr>
          <w:rFonts w:hint="eastAsia" w:cs="宋体"/>
          <w:szCs w:val="24"/>
        </w:rPr>
        <w:t>的变更指示或累计变更的总价超过签约合同价</w:t>
      </w:r>
      <w:r>
        <w:rPr>
          <w:rFonts w:cs="宋体"/>
          <w:szCs w:val="24"/>
        </w:rPr>
        <w:t>30%</w:t>
      </w:r>
      <w:r>
        <w:rPr>
          <w:rFonts w:hint="eastAsia" w:cs="宋体"/>
          <w:szCs w:val="24"/>
        </w:rPr>
        <w:t>；或承包人未能根据第</w:t>
      </w:r>
      <w:r>
        <w:rPr>
          <w:rFonts w:cs="宋体"/>
          <w:szCs w:val="24"/>
        </w:rPr>
        <w:t>14</w:t>
      </w:r>
      <w:r>
        <w:rPr>
          <w:rFonts w:hint="eastAsia" w:cs="宋体"/>
          <w:szCs w:val="24"/>
        </w:rPr>
        <w:t>条</w:t>
      </w:r>
      <w:r>
        <w:rPr>
          <w:rFonts w:cs="宋体"/>
          <w:szCs w:val="24"/>
        </w:rPr>
        <w:t>[</w:t>
      </w:r>
      <w:r>
        <w:rPr>
          <w:rFonts w:hint="eastAsia" w:cs="宋体"/>
          <w:szCs w:val="24"/>
        </w:rPr>
        <w:t>合同价格与支付</w:t>
      </w:r>
      <w:r>
        <w:rPr>
          <w:rFonts w:cs="宋体"/>
          <w:szCs w:val="24"/>
        </w:rPr>
        <w:t>]</w:t>
      </w:r>
      <w:r>
        <w:rPr>
          <w:rFonts w:hint="eastAsia" w:cs="宋体"/>
          <w:szCs w:val="24"/>
        </w:rPr>
        <w:t>收到付款，或承包人得知发包人的资金安排发生重要变更但并未收到发包人上述重要变更通知的情况，则承包人可随时要求发包人在</w:t>
      </w:r>
      <w:r>
        <w:rPr>
          <w:rFonts w:cs="宋体"/>
          <w:szCs w:val="24"/>
        </w:rPr>
        <w:t>28</w:t>
      </w:r>
      <w:r>
        <w:rPr>
          <w:rFonts w:hint="eastAsia" w:cs="宋体"/>
          <w:szCs w:val="24"/>
        </w:rPr>
        <w:t>天内补充提供能够按照合同约定支付合同价款的相应资金来源证明。</w:t>
      </w:r>
      <w:bookmarkEnd w:id="184"/>
    </w:p>
    <w:p>
      <w:pPr>
        <w:pStyle w:val="66"/>
        <w:spacing w:afterLines="0"/>
        <w:ind w:left="0" w:firstLine="480" w:firstLineChars="200"/>
        <w:rPr>
          <w:rFonts w:cs="宋体"/>
          <w:szCs w:val="24"/>
        </w:rPr>
      </w:pPr>
      <w:bookmarkStart w:id="185" w:name="_Toc51505133"/>
      <w:bookmarkStart w:id="186" w:name="_Ref531950161"/>
      <w:r>
        <w:rPr>
          <w:rFonts w:cs="宋体"/>
          <w:szCs w:val="24"/>
        </w:rPr>
        <w:t xml:space="preserve">2.5.3 </w:t>
      </w:r>
      <w:r>
        <w:rPr>
          <w:rFonts w:hint="eastAsia" w:cs="宋体"/>
          <w:szCs w:val="24"/>
        </w:rPr>
        <w:t>发包人应当向承包人提供支付担保。支付担保可以采用银行保函或担保公司担保等形式，具体由合同当事人在专用合同条件中约定。</w:t>
      </w:r>
      <w:bookmarkEnd w:id="185"/>
      <w:bookmarkEnd w:id="186"/>
    </w:p>
    <w:p>
      <w:pPr>
        <w:pStyle w:val="65"/>
        <w:widowControl/>
        <w:spacing w:afterLines="0"/>
        <w:ind w:left="0" w:firstLine="482" w:firstLineChars="200"/>
        <w:rPr>
          <w:rFonts w:ascii="宋体" w:hAnsi="宋体" w:eastAsia="宋体" w:cs="宋体"/>
          <w:b w:val="0"/>
          <w:bCs/>
        </w:rPr>
      </w:pPr>
      <w:bookmarkStart w:id="187" w:name="_Toc54862201"/>
      <w:r>
        <w:rPr>
          <w:rFonts w:ascii="宋体" w:hAnsi="宋体" w:eastAsia="宋体" w:cs="宋体"/>
        </w:rPr>
        <w:t xml:space="preserve">2.6 </w:t>
      </w:r>
      <w:r>
        <w:rPr>
          <w:rFonts w:hint="eastAsia" w:ascii="宋体" w:hAnsi="宋体" w:eastAsia="宋体" w:cs="宋体"/>
        </w:rPr>
        <w:t>现场管理配合</w:t>
      </w:r>
      <w:bookmarkEnd w:id="187"/>
    </w:p>
    <w:p>
      <w:pPr>
        <w:spacing w:line="360" w:lineRule="auto"/>
        <w:ind w:firstLine="480" w:firstLineChars="200"/>
        <w:rPr>
          <w:sz w:val="24"/>
          <w:szCs w:val="24"/>
        </w:rPr>
      </w:pPr>
      <w:r>
        <w:rPr>
          <w:rFonts w:hint="eastAsia"/>
          <w:sz w:val="24"/>
          <w:szCs w:val="24"/>
        </w:rPr>
        <w:t>发包人应负责保证在现场或现场附近的发包人人员和发包人的其他承包人（如有）：</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根据第</w:t>
      </w:r>
      <w:r>
        <w:rPr>
          <w:sz w:val="24"/>
          <w:szCs w:val="24"/>
        </w:rPr>
        <w:t>7.3</w:t>
      </w:r>
      <w:r>
        <w:rPr>
          <w:rFonts w:hint="eastAsia"/>
          <w:sz w:val="24"/>
          <w:szCs w:val="24"/>
        </w:rPr>
        <w:t>款</w:t>
      </w:r>
      <w:r>
        <w:rPr>
          <w:sz w:val="24"/>
          <w:szCs w:val="24"/>
        </w:rPr>
        <w:t>[</w:t>
      </w:r>
      <w:r>
        <w:rPr>
          <w:rFonts w:hint="eastAsia"/>
          <w:sz w:val="24"/>
          <w:szCs w:val="24"/>
        </w:rPr>
        <w:t>现场合作</w:t>
      </w:r>
      <w:r>
        <w:rPr>
          <w:sz w:val="24"/>
          <w:szCs w:val="24"/>
        </w:rPr>
        <w:t>]</w:t>
      </w:r>
      <w:r>
        <w:rPr>
          <w:rFonts w:hint="eastAsia"/>
          <w:sz w:val="24"/>
          <w:szCs w:val="24"/>
        </w:rPr>
        <w:t>的约定，与承包人进行合作；</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遵守第</w:t>
      </w:r>
      <w:r>
        <w:rPr>
          <w:sz w:val="24"/>
          <w:szCs w:val="24"/>
        </w:rPr>
        <w:t>7.5</w:t>
      </w:r>
      <w:r>
        <w:rPr>
          <w:rFonts w:hint="eastAsia"/>
          <w:sz w:val="24"/>
          <w:szCs w:val="24"/>
        </w:rPr>
        <w:t>款</w:t>
      </w:r>
      <w:r>
        <w:rPr>
          <w:sz w:val="24"/>
          <w:szCs w:val="24"/>
        </w:rPr>
        <w:t>[</w:t>
      </w:r>
      <w:r>
        <w:rPr>
          <w:rFonts w:hint="eastAsia"/>
          <w:sz w:val="24"/>
          <w:szCs w:val="24"/>
        </w:rPr>
        <w:t>现场劳动用工</w:t>
      </w:r>
      <w:r>
        <w:rPr>
          <w:sz w:val="24"/>
          <w:szCs w:val="24"/>
        </w:rPr>
        <w:t>]</w:t>
      </w:r>
      <w:r>
        <w:rPr>
          <w:rFonts w:hint="eastAsia"/>
          <w:sz w:val="24"/>
          <w:szCs w:val="24"/>
        </w:rPr>
        <w:t>、第</w:t>
      </w:r>
      <w:r>
        <w:rPr>
          <w:sz w:val="24"/>
          <w:szCs w:val="24"/>
        </w:rPr>
        <w:t>7.6</w:t>
      </w:r>
      <w:r>
        <w:rPr>
          <w:rFonts w:hint="eastAsia"/>
          <w:sz w:val="24"/>
          <w:szCs w:val="24"/>
        </w:rPr>
        <w:t>款</w:t>
      </w:r>
      <w:r>
        <w:rPr>
          <w:sz w:val="24"/>
          <w:szCs w:val="24"/>
        </w:rPr>
        <w:t>[</w:t>
      </w:r>
      <w:r>
        <w:rPr>
          <w:rFonts w:hint="eastAsia"/>
          <w:sz w:val="24"/>
          <w:szCs w:val="24"/>
        </w:rPr>
        <w:t>安全文明施工</w:t>
      </w:r>
      <w:r>
        <w:rPr>
          <w:sz w:val="24"/>
          <w:szCs w:val="24"/>
        </w:rPr>
        <w:t>]</w:t>
      </w:r>
      <w:r>
        <w:rPr>
          <w:rFonts w:hint="eastAsia"/>
          <w:sz w:val="24"/>
          <w:szCs w:val="24"/>
        </w:rPr>
        <w:t>、第</w:t>
      </w:r>
      <w:r>
        <w:rPr>
          <w:sz w:val="24"/>
          <w:szCs w:val="24"/>
        </w:rPr>
        <w:t>7.7</w:t>
      </w:r>
      <w:r>
        <w:rPr>
          <w:rFonts w:hint="eastAsia"/>
          <w:sz w:val="24"/>
          <w:szCs w:val="24"/>
        </w:rPr>
        <w:t>款</w:t>
      </w:r>
      <w:r>
        <w:rPr>
          <w:sz w:val="24"/>
          <w:szCs w:val="24"/>
        </w:rPr>
        <w:t>[</w:t>
      </w:r>
      <w:r>
        <w:rPr>
          <w:rFonts w:hint="eastAsia"/>
          <w:sz w:val="24"/>
          <w:szCs w:val="24"/>
        </w:rPr>
        <w:t>职业健康</w:t>
      </w:r>
      <w:bookmarkStart w:id="188" w:name="_Ref531952756"/>
      <w:bookmarkStart w:id="189" w:name="_Ref531952761"/>
      <w:r>
        <w:rPr>
          <w:sz w:val="24"/>
          <w:szCs w:val="24"/>
        </w:rPr>
        <w:t>]</w:t>
      </w:r>
      <w:r>
        <w:rPr>
          <w:rFonts w:hint="eastAsia"/>
          <w:sz w:val="24"/>
          <w:szCs w:val="24"/>
        </w:rPr>
        <w:t>和第</w:t>
      </w:r>
      <w:r>
        <w:rPr>
          <w:sz w:val="24"/>
          <w:szCs w:val="24"/>
        </w:rPr>
        <w:t>7.8</w:t>
      </w:r>
      <w:r>
        <w:rPr>
          <w:rFonts w:hint="eastAsia"/>
          <w:sz w:val="24"/>
          <w:szCs w:val="24"/>
        </w:rPr>
        <w:t>款</w:t>
      </w:r>
      <w:r>
        <w:rPr>
          <w:sz w:val="24"/>
          <w:szCs w:val="24"/>
        </w:rPr>
        <w:t>[</w:t>
      </w:r>
      <w:r>
        <w:rPr>
          <w:rFonts w:hint="eastAsia"/>
          <w:sz w:val="24"/>
          <w:szCs w:val="24"/>
        </w:rPr>
        <w:t>环境保护</w:t>
      </w:r>
      <w:r>
        <w:rPr>
          <w:sz w:val="24"/>
          <w:szCs w:val="24"/>
        </w:rPr>
        <w:t>]</w:t>
      </w:r>
      <w:r>
        <w:rPr>
          <w:rFonts w:hint="eastAsia"/>
          <w:sz w:val="24"/>
          <w:szCs w:val="24"/>
        </w:rPr>
        <w:t>的相关约定。</w:t>
      </w:r>
    </w:p>
    <w:p>
      <w:pPr>
        <w:spacing w:line="360" w:lineRule="auto"/>
        <w:ind w:firstLine="480" w:firstLineChars="200"/>
        <w:rPr>
          <w:sz w:val="24"/>
          <w:szCs w:val="24"/>
        </w:rPr>
      </w:pPr>
      <w:r>
        <w:rPr>
          <w:rFonts w:hint="eastAsia"/>
          <w:sz w:val="24"/>
          <w:szCs w:val="24"/>
        </w:rPr>
        <w:t>发包人应与承包人、由发包人直接发包的其他承包人（如有）订立施工现场统一管理协议，明确各方的权利义务。</w:t>
      </w:r>
    </w:p>
    <w:p>
      <w:pPr>
        <w:pStyle w:val="65"/>
        <w:widowControl/>
        <w:spacing w:afterLines="0"/>
        <w:ind w:left="0" w:firstLine="482" w:firstLineChars="200"/>
        <w:rPr>
          <w:rFonts w:ascii="宋体" w:hAnsi="宋体" w:eastAsia="宋体" w:cs="宋体"/>
        </w:rPr>
      </w:pPr>
      <w:bookmarkStart w:id="190" w:name="_Toc54862202"/>
      <w:bookmarkStart w:id="191" w:name="_Ref11959376"/>
      <w:bookmarkStart w:id="192" w:name="_Ref11959372"/>
      <w:r>
        <w:rPr>
          <w:rFonts w:ascii="宋体" w:hAnsi="宋体" w:eastAsia="宋体" w:cs="宋体"/>
        </w:rPr>
        <w:t xml:space="preserve">2.7 </w:t>
      </w:r>
      <w:r>
        <w:rPr>
          <w:rFonts w:hint="eastAsia" w:ascii="宋体" w:hAnsi="宋体" w:eastAsia="宋体" w:cs="宋体"/>
        </w:rPr>
        <w:t>其他义务</w:t>
      </w:r>
      <w:bookmarkEnd w:id="190"/>
      <w:bookmarkEnd w:id="191"/>
      <w:bookmarkEnd w:id="192"/>
    </w:p>
    <w:p>
      <w:pPr>
        <w:spacing w:line="360" w:lineRule="auto"/>
        <w:ind w:firstLine="480" w:firstLineChars="200"/>
        <w:rPr>
          <w:sz w:val="24"/>
          <w:szCs w:val="24"/>
        </w:rPr>
      </w:pPr>
      <w:r>
        <w:rPr>
          <w:rFonts w:hint="eastAsia"/>
          <w:sz w:val="24"/>
          <w:szCs w:val="24"/>
        </w:rPr>
        <w:t>发包人应履行合同约定的其他义务，双方可在专用合同条件内对发包人应履行的其他义务进行补充约定。</w:t>
      </w:r>
    </w:p>
    <w:bookmarkEnd w:id="188"/>
    <w:bookmarkEnd w:id="189"/>
    <w:p>
      <w:pPr>
        <w:pStyle w:val="64"/>
        <w:numPr>
          <w:ilvl w:val="0"/>
          <w:numId w:val="0"/>
        </w:numPr>
        <w:spacing w:before="0"/>
        <w:ind w:firstLine="482" w:firstLineChars="200"/>
        <w:rPr>
          <w:rFonts w:ascii="宋体"/>
          <w:b/>
          <w:sz w:val="24"/>
          <w:szCs w:val="24"/>
        </w:rPr>
      </w:pPr>
      <w:bookmarkStart w:id="193" w:name="_Toc54862203"/>
      <w:bookmarkStart w:id="194" w:name="_Ref531952791"/>
      <w:r>
        <w:rPr>
          <w:rFonts w:hint="eastAsia" w:ascii="宋体" w:hAnsi="宋体"/>
          <w:b/>
          <w:sz w:val="24"/>
          <w:szCs w:val="24"/>
        </w:rPr>
        <w:t>第</w:t>
      </w:r>
      <w:r>
        <w:rPr>
          <w:rFonts w:ascii="宋体" w:hAnsi="宋体"/>
          <w:b/>
          <w:sz w:val="24"/>
          <w:szCs w:val="24"/>
        </w:rPr>
        <w:t>3</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发包人的管理</w:t>
      </w:r>
      <w:bookmarkEnd w:id="193"/>
      <w:bookmarkEnd w:id="194"/>
    </w:p>
    <w:p>
      <w:pPr>
        <w:pStyle w:val="65"/>
        <w:widowControl/>
        <w:spacing w:afterLines="0"/>
        <w:ind w:left="0" w:firstLine="482" w:firstLineChars="200"/>
        <w:rPr>
          <w:rFonts w:ascii="宋体" w:hAnsi="宋体" w:eastAsia="宋体" w:cs="宋体"/>
        </w:rPr>
      </w:pPr>
      <w:bookmarkStart w:id="195" w:name="_Ref522810094"/>
      <w:bookmarkStart w:id="196" w:name="_Ref522810097"/>
      <w:bookmarkStart w:id="197" w:name="_Ref531951538"/>
      <w:bookmarkStart w:id="198" w:name="_Ref531951533"/>
      <w:bookmarkStart w:id="199" w:name="_Toc54862204"/>
      <w:r>
        <w:rPr>
          <w:rFonts w:ascii="宋体" w:hAnsi="宋体" w:eastAsia="宋体" w:cs="宋体"/>
        </w:rPr>
        <w:t xml:space="preserve">3.1 </w:t>
      </w:r>
      <w:r>
        <w:rPr>
          <w:rFonts w:hint="eastAsia" w:ascii="宋体" w:hAnsi="宋体" w:eastAsia="宋体" w:cs="宋体"/>
        </w:rPr>
        <w:t>发包人</w:t>
      </w:r>
      <w:bookmarkEnd w:id="195"/>
      <w:bookmarkEnd w:id="196"/>
      <w:r>
        <w:rPr>
          <w:rFonts w:hint="eastAsia" w:ascii="宋体" w:hAnsi="宋体" w:eastAsia="宋体" w:cs="宋体"/>
        </w:rPr>
        <w:t>代表</w:t>
      </w:r>
      <w:bookmarkEnd w:id="197"/>
      <w:bookmarkEnd w:id="198"/>
      <w:bookmarkEnd w:id="199"/>
    </w:p>
    <w:p>
      <w:pPr>
        <w:spacing w:line="360" w:lineRule="auto"/>
        <w:ind w:firstLine="480" w:firstLineChars="200"/>
        <w:rPr>
          <w:sz w:val="24"/>
          <w:szCs w:val="24"/>
        </w:rPr>
      </w:pPr>
      <w:r>
        <w:rPr>
          <w:rFonts w:hint="eastAsia"/>
          <w:sz w:val="24"/>
          <w:szCs w:val="24"/>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pPr>
        <w:spacing w:line="360" w:lineRule="auto"/>
        <w:ind w:firstLine="480" w:firstLineChars="200"/>
        <w:rPr>
          <w:sz w:val="24"/>
          <w:szCs w:val="24"/>
        </w:rPr>
      </w:pPr>
      <w:r>
        <w:rPr>
          <w:rFonts w:hint="eastAsia"/>
          <w:sz w:val="24"/>
          <w:szCs w:val="24"/>
        </w:rPr>
        <w:t>除非发包人另行通知承包人，发包人代表应被授予并且被认为具有发包人在授权范围内享有的相应权利，涉及第</w:t>
      </w:r>
      <w:r>
        <w:rPr>
          <w:sz w:val="24"/>
          <w:szCs w:val="24"/>
        </w:rPr>
        <w:t>16.1</w:t>
      </w:r>
      <w:r>
        <w:rPr>
          <w:rFonts w:hint="eastAsia"/>
          <w:sz w:val="24"/>
          <w:szCs w:val="24"/>
        </w:rPr>
        <w:t>款</w:t>
      </w:r>
      <w:r>
        <w:rPr>
          <w:sz w:val="24"/>
          <w:szCs w:val="24"/>
        </w:rPr>
        <w:t>[</w:t>
      </w:r>
      <w:r>
        <w:rPr>
          <w:rFonts w:hint="eastAsia"/>
          <w:sz w:val="24"/>
          <w:szCs w:val="24"/>
        </w:rPr>
        <w:t>由发包人解除合同</w:t>
      </w:r>
      <w:r>
        <w:rPr>
          <w:sz w:val="24"/>
          <w:szCs w:val="24"/>
        </w:rPr>
        <w:t>]</w:t>
      </w:r>
      <w:r>
        <w:rPr>
          <w:rFonts w:hint="eastAsia"/>
          <w:sz w:val="24"/>
          <w:szCs w:val="24"/>
        </w:rPr>
        <w:t>的权利除外。</w:t>
      </w:r>
    </w:p>
    <w:p>
      <w:pPr>
        <w:spacing w:line="360" w:lineRule="auto"/>
        <w:ind w:firstLine="480" w:firstLineChars="200"/>
        <w:rPr>
          <w:sz w:val="24"/>
          <w:szCs w:val="24"/>
        </w:rPr>
      </w:pPr>
      <w:r>
        <w:rPr>
          <w:rFonts w:hint="eastAsia"/>
          <w:sz w:val="24"/>
          <w:szCs w:val="24"/>
        </w:rPr>
        <w:t>发包人代表（或者在其为法人的情况下，被任命代表其行事的自然人）应：</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履行指派给其的职责，行使发包人托付给的权利；</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具备履行这些职责、行使这些权利的能力；</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作为熟练的专业人员行事。</w:t>
      </w:r>
    </w:p>
    <w:p>
      <w:pPr>
        <w:spacing w:line="360" w:lineRule="auto"/>
        <w:ind w:firstLine="480" w:firstLineChars="200"/>
        <w:rPr>
          <w:sz w:val="24"/>
          <w:szCs w:val="24"/>
        </w:rPr>
      </w:pPr>
      <w:r>
        <w:rPr>
          <w:rFonts w:hint="eastAsia"/>
          <w:sz w:val="24"/>
          <w:szCs w:val="24"/>
        </w:rPr>
        <w:t>如果发包人代表为法人且在签订本合同时未能确定授权代表的，发包人代表应在本合同签订之日起</w:t>
      </w:r>
      <w:r>
        <w:rPr>
          <w:sz w:val="24"/>
          <w:szCs w:val="24"/>
        </w:rPr>
        <w:t>3</w:t>
      </w:r>
      <w:r>
        <w:rPr>
          <w:rFonts w:hint="eastAsia"/>
          <w:sz w:val="24"/>
          <w:szCs w:val="24"/>
        </w:rPr>
        <w:t>日内向双方发出书面通知，告知被任命和授权的自然人以及任何替代人员。此授权在双方收到本通知后生效。发包人代表撤销该授权或者变更授权代表时也应同样发出该通知。</w:t>
      </w:r>
    </w:p>
    <w:p>
      <w:pPr>
        <w:spacing w:line="360" w:lineRule="auto"/>
        <w:ind w:firstLine="480" w:firstLineChars="200"/>
        <w:rPr>
          <w:sz w:val="24"/>
          <w:szCs w:val="24"/>
        </w:rPr>
      </w:pPr>
      <w:r>
        <w:rPr>
          <w:rFonts w:hint="eastAsia"/>
          <w:sz w:val="24"/>
          <w:szCs w:val="24"/>
        </w:rPr>
        <w:t>发包人更换发包人代表的，应提前</w:t>
      </w:r>
      <w:r>
        <w:rPr>
          <w:sz w:val="24"/>
          <w:szCs w:val="24"/>
        </w:rPr>
        <w:t>14</w:t>
      </w:r>
      <w:r>
        <w:rPr>
          <w:rFonts w:hint="eastAsia"/>
          <w:sz w:val="24"/>
          <w:szCs w:val="24"/>
        </w:rPr>
        <w:t>天将更换人的姓名、地址、任务和权利、以及任命的日期书面通知承包人。发包人不得将发包人代表更换为承包人根据本款发出通知提出合理反对意见的人员，不论是法人还是自然人。</w:t>
      </w:r>
    </w:p>
    <w:p>
      <w:pPr>
        <w:spacing w:line="360" w:lineRule="auto"/>
        <w:ind w:firstLine="480" w:firstLineChars="200"/>
        <w:rPr>
          <w:sz w:val="24"/>
          <w:szCs w:val="24"/>
        </w:rPr>
      </w:pPr>
      <w:r>
        <w:rPr>
          <w:rFonts w:hint="eastAsia"/>
          <w:sz w:val="24"/>
          <w:szCs w:val="24"/>
        </w:rPr>
        <w:t>发包人代表不能按照合同约定履行其职责及义务，并导致合同无法继续正常履行的，承包人可以要求发包人撤换发包人代表。</w:t>
      </w:r>
    </w:p>
    <w:p>
      <w:pPr>
        <w:pStyle w:val="65"/>
        <w:widowControl/>
        <w:spacing w:afterLines="0"/>
        <w:ind w:left="0" w:firstLine="482" w:firstLineChars="200"/>
        <w:rPr>
          <w:rFonts w:ascii="宋体" w:hAnsi="宋体" w:eastAsia="宋体" w:cs="宋体"/>
        </w:rPr>
      </w:pPr>
      <w:bookmarkStart w:id="200" w:name="_Ref531951557"/>
      <w:bookmarkStart w:id="201" w:name="_Ref531951553"/>
      <w:bookmarkStart w:id="202" w:name="_Toc54862205"/>
      <w:r>
        <w:rPr>
          <w:rFonts w:ascii="宋体" w:hAnsi="宋体" w:eastAsia="宋体" w:cs="宋体"/>
        </w:rPr>
        <w:t xml:space="preserve">3.2 </w:t>
      </w:r>
      <w:r>
        <w:rPr>
          <w:rFonts w:hint="eastAsia" w:ascii="宋体" w:hAnsi="宋体" w:eastAsia="宋体" w:cs="宋体"/>
        </w:rPr>
        <w:t>发包人人员</w:t>
      </w:r>
      <w:bookmarkEnd w:id="200"/>
      <w:bookmarkEnd w:id="201"/>
      <w:bookmarkEnd w:id="202"/>
    </w:p>
    <w:p>
      <w:pPr>
        <w:spacing w:line="360" w:lineRule="auto"/>
        <w:ind w:firstLine="480" w:firstLineChars="200"/>
        <w:rPr>
          <w:sz w:val="24"/>
          <w:szCs w:val="24"/>
        </w:rPr>
      </w:pPr>
      <w:r>
        <w:rPr>
          <w:rFonts w:hint="eastAsia"/>
          <w:sz w:val="24"/>
          <w:szCs w:val="24"/>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pPr>
        <w:spacing w:line="360" w:lineRule="auto"/>
        <w:ind w:firstLine="480" w:firstLineChars="200"/>
        <w:rPr>
          <w:sz w:val="24"/>
          <w:szCs w:val="24"/>
        </w:rPr>
      </w:pPr>
      <w:r>
        <w:rPr>
          <w:rFonts w:hint="eastAsia"/>
          <w:sz w:val="24"/>
          <w:szCs w:val="24"/>
        </w:rPr>
        <w:t>发包人应要求在施工现场的发包人人员遵守法律及有关安全、质量、环境保护、文明施工等规定，因发包人人员未遵守上述要求给承包人造成的损失和责任由发包人承担。</w:t>
      </w:r>
    </w:p>
    <w:p>
      <w:pPr>
        <w:pStyle w:val="65"/>
        <w:widowControl/>
        <w:spacing w:afterLines="0"/>
        <w:ind w:left="0" w:firstLine="482" w:firstLineChars="200"/>
        <w:rPr>
          <w:rFonts w:ascii="宋体" w:hAnsi="宋体" w:eastAsia="宋体" w:cs="宋体"/>
        </w:rPr>
      </w:pPr>
      <w:bookmarkStart w:id="203" w:name="_Toc54862206"/>
      <w:r>
        <w:rPr>
          <w:rFonts w:ascii="宋体" w:hAnsi="宋体" w:eastAsia="宋体" w:cs="宋体"/>
        </w:rPr>
        <w:t xml:space="preserve">3.3 </w:t>
      </w:r>
      <w:r>
        <w:rPr>
          <w:rFonts w:hint="eastAsia" w:ascii="宋体" w:hAnsi="宋体" w:eastAsia="宋体" w:cs="宋体"/>
        </w:rPr>
        <w:t>工程师</w:t>
      </w:r>
      <w:bookmarkEnd w:id="203"/>
      <w:r>
        <w:rPr>
          <w:rFonts w:ascii="宋体" w:hAnsi="宋体" w:eastAsia="宋体" w:cs="宋体"/>
        </w:rPr>
        <w:t xml:space="preserve"> </w:t>
      </w:r>
    </w:p>
    <w:p>
      <w:pPr>
        <w:pStyle w:val="66"/>
        <w:spacing w:afterLines="0"/>
        <w:ind w:left="0" w:firstLine="480" w:firstLineChars="200"/>
        <w:rPr>
          <w:rFonts w:cs="宋体"/>
          <w:szCs w:val="24"/>
        </w:rPr>
      </w:pPr>
      <w:r>
        <w:rPr>
          <w:rFonts w:cs="宋体"/>
          <w:szCs w:val="24"/>
        </w:rPr>
        <w:t xml:space="preserve">3.3.1 </w:t>
      </w:r>
      <w:r>
        <w:rPr>
          <w:rFonts w:hint="eastAsia" w:cs="宋体"/>
          <w:szCs w:val="24"/>
        </w:rPr>
        <w:t>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pPr>
        <w:pStyle w:val="66"/>
        <w:spacing w:afterLines="0"/>
        <w:ind w:left="0" w:firstLine="480" w:firstLineChars="200"/>
        <w:rPr>
          <w:rFonts w:cs="宋体"/>
          <w:szCs w:val="24"/>
        </w:rPr>
      </w:pPr>
      <w:r>
        <w:rPr>
          <w:rFonts w:cs="宋体"/>
          <w:szCs w:val="24"/>
        </w:rPr>
        <w:t xml:space="preserve">3.3.2 </w:t>
      </w:r>
      <w:r>
        <w:rPr>
          <w:rFonts w:hint="eastAsia" w:cs="宋体"/>
          <w:szCs w:val="24"/>
        </w:rPr>
        <w:t>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pPr>
        <w:pStyle w:val="66"/>
        <w:spacing w:afterLines="0"/>
        <w:ind w:left="0" w:firstLine="480" w:firstLineChars="200"/>
        <w:rPr>
          <w:rFonts w:cs="宋体"/>
          <w:szCs w:val="24"/>
        </w:rPr>
      </w:pPr>
      <w:r>
        <w:rPr>
          <w:rFonts w:cs="宋体"/>
          <w:szCs w:val="24"/>
        </w:rPr>
        <w:t xml:space="preserve">3.3.3 </w:t>
      </w:r>
      <w:r>
        <w:rPr>
          <w:rFonts w:hint="eastAsia" w:cs="宋体"/>
          <w:szCs w:val="24"/>
        </w:rPr>
        <w:t>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pPr>
        <w:pStyle w:val="66"/>
        <w:spacing w:afterLines="0"/>
        <w:ind w:left="0" w:firstLine="480" w:firstLineChars="200"/>
        <w:rPr>
          <w:rFonts w:cs="宋体"/>
          <w:szCs w:val="24"/>
        </w:rPr>
      </w:pPr>
      <w:r>
        <w:rPr>
          <w:rFonts w:cs="宋体"/>
          <w:szCs w:val="24"/>
        </w:rPr>
        <w:t xml:space="preserve">3.3.4 </w:t>
      </w:r>
      <w:r>
        <w:rPr>
          <w:rFonts w:hint="eastAsia" w:cs="宋体"/>
          <w:szCs w:val="24"/>
        </w:rPr>
        <w:t>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pPr>
        <w:pStyle w:val="65"/>
        <w:widowControl/>
        <w:spacing w:afterLines="0"/>
        <w:ind w:left="0" w:firstLine="482" w:firstLineChars="200"/>
        <w:rPr>
          <w:rFonts w:ascii="宋体" w:hAnsi="宋体" w:eastAsia="宋体" w:cs="宋体"/>
        </w:rPr>
      </w:pPr>
      <w:bookmarkStart w:id="204" w:name="_Toc54862207"/>
      <w:bookmarkStart w:id="205" w:name="_Ref531951597"/>
      <w:bookmarkStart w:id="206" w:name="_Ref531951594"/>
      <w:r>
        <w:rPr>
          <w:rFonts w:ascii="宋体" w:hAnsi="宋体" w:eastAsia="宋体" w:cs="宋体"/>
        </w:rPr>
        <w:t xml:space="preserve">3.4 </w:t>
      </w:r>
      <w:r>
        <w:rPr>
          <w:rFonts w:hint="eastAsia" w:ascii="宋体" w:hAnsi="宋体" w:eastAsia="宋体" w:cs="宋体"/>
        </w:rPr>
        <w:t>任命和授权</w:t>
      </w:r>
      <w:bookmarkEnd w:id="204"/>
    </w:p>
    <w:p>
      <w:pPr>
        <w:pStyle w:val="66"/>
        <w:spacing w:afterLines="0"/>
        <w:ind w:left="0" w:firstLine="480" w:firstLineChars="200"/>
        <w:rPr>
          <w:rFonts w:cs="宋体"/>
          <w:szCs w:val="24"/>
        </w:rPr>
      </w:pPr>
      <w:r>
        <w:rPr>
          <w:rFonts w:cs="宋体"/>
          <w:szCs w:val="24"/>
        </w:rPr>
        <w:t xml:space="preserve">3.4.1 </w:t>
      </w:r>
      <w:r>
        <w:rPr>
          <w:rFonts w:hint="eastAsia" w:cs="宋体"/>
          <w:szCs w:val="24"/>
        </w:rPr>
        <w:t>发包人应在发出开始工作通知前将工程师的任命通知承包人。更换工程师的，发包人应提前</w:t>
      </w:r>
      <w:r>
        <w:rPr>
          <w:rFonts w:cs="宋体"/>
          <w:szCs w:val="24"/>
        </w:rPr>
        <w:t>7</w:t>
      </w:r>
      <w:r>
        <w:rPr>
          <w:rFonts w:hint="eastAsia" w:cs="宋体"/>
          <w:szCs w:val="24"/>
        </w:rPr>
        <w:t>天以书面形式通知承包人，并在通知中写明替换者的姓名、职务、职权、权限和任命时间。工程师超过</w:t>
      </w:r>
      <w:r>
        <w:rPr>
          <w:rFonts w:cs="宋体"/>
          <w:szCs w:val="24"/>
        </w:rPr>
        <w:t>2</w:t>
      </w:r>
      <w:r>
        <w:rPr>
          <w:rFonts w:hint="eastAsia" w:cs="宋体"/>
          <w:szCs w:val="24"/>
        </w:rPr>
        <w:t>天不能履行职责的，应委派代表代行其职责，并通知承包人。</w:t>
      </w:r>
    </w:p>
    <w:p>
      <w:pPr>
        <w:pStyle w:val="66"/>
        <w:spacing w:afterLines="0"/>
        <w:ind w:left="0" w:firstLine="480" w:firstLineChars="200"/>
        <w:rPr>
          <w:rFonts w:cs="宋体"/>
          <w:szCs w:val="24"/>
        </w:rPr>
      </w:pPr>
      <w:r>
        <w:rPr>
          <w:rFonts w:cs="宋体"/>
          <w:szCs w:val="24"/>
        </w:rPr>
        <w:t xml:space="preserve">3.4.2 </w:t>
      </w:r>
      <w:r>
        <w:rPr>
          <w:rFonts w:hint="eastAsia" w:cs="宋体"/>
          <w:szCs w:val="24"/>
        </w:rPr>
        <w:t>工程师可以授权其他人员负责执行其指派的一项或多项工作，但第</w:t>
      </w:r>
      <w:r>
        <w:rPr>
          <w:rFonts w:cs="宋体"/>
          <w:szCs w:val="24"/>
        </w:rPr>
        <w:t>3.6</w:t>
      </w:r>
      <w:r>
        <w:rPr>
          <w:rFonts w:hint="eastAsia" w:cs="宋体"/>
          <w:szCs w:val="24"/>
        </w:rPr>
        <w:t>款</w:t>
      </w:r>
      <w:r>
        <w:rPr>
          <w:rFonts w:cs="宋体"/>
          <w:szCs w:val="24"/>
        </w:rPr>
        <w:t>[</w:t>
      </w:r>
      <w:r>
        <w:rPr>
          <w:rFonts w:hint="eastAsia" w:cs="宋体"/>
          <w:szCs w:val="24"/>
        </w:rPr>
        <w:t>商定或确定</w:t>
      </w:r>
      <w:r>
        <w:rPr>
          <w:rFonts w:cs="宋体"/>
          <w:szCs w:val="24"/>
        </w:rPr>
        <w:t>]</w:t>
      </w:r>
      <w:r>
        <w:rPr>
          <w:rFonts w:hint="eastAsia" w:cs="宋体"/>
          <w:szCs w:val="24"/>
        </w:rPr>
        <w:t>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pPr>
        <w:pStyle w:val="65"/>
        <w:widowControl/>
        <w:spacing w:afterLines="0"/>
        <w:ind w:left="0" w:firstLine="482" w:firstLineChars="200"/>
        <w:rPr>
          <w:rFonts w:ascii="宋体" w:hAnsi="宋体" w:eastAsia="宋体" w:cs="宋体"/>
        </w:rPr>
      </w:pPr>
      <w:bookmarkStart w:id="207" w:name="_Toc54862208"/>
      <w:bookmarkStart w:id="208" w:name="_Ref20165400"/>
      <w:r>
        <w:rPr>
          <w:rFonts w:ascii="宋体" w:hAnsi="宋体" w:eastAsia="宋体" w:cs="宋体"/>
        </w:rPr>
        <w:t xml:space="preserve">3.5 </w:t>
      </w:r>
      <w:r>
        <w:rPr>
          <w:rFonts w:hint="eastAsia" w:ascii="宋体" w:hAnsi="宋体" w:eastAsia="宋体" w:cs="宋体"/>
        </w:rPr>
        <w:t>指示</w:t>
      </w:r>
      <w:bookmarkEnd w:id="205"/>
      <w:bookmarkEnd w:id="206"/>
      <w:bookmarkEnd w:id="207"/>
      <w:bookmarkEnd w:id="208"/>
    </w:p>
    <w:p>
      <w:pPr>
        <w:pStyle w:val="66"/>
        <w:spacing w:afterLines="0"/>
        <w:ind w:left="0" w:firstLine="480" w:firstLineChars="200"/>
        <w:rPr>
          <w:rFonts w:cs="宋体"/>
          <w:szCs w:val="24"/>
        </w:rPr>
      </w:pPr>
      <w:r>
        <w:rPr>
          <w:rFonts w:cs="宋体"/>
          <w:szCs w:val="24"/>
        </w:rPr>
        <w:t xml:space="preserve">3.5.1 </w:t>
      </w:r>
      <w:r>
        <w:rPr>
          <w:rFonts w:hint="eastAsia" w:cs="宋体"/>
          <w:szCs w:val="24"/>
        </w:rPr>
        <w:t>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w:t>
      </w:r>
      <w:r>
        <w:rPr>
          <w:rFonts w:cs="宋体"/>
          <w:szCs w:val="24"/>
        </w:rPr>
        <w:t>24</w:t>
      </w:r>
      <w:r>
        <w:rPr>
          <w:rFonts w:hint="eastAsia" w:cs="宋体"/>
          <w:szCs w:val="24"/>
        </w:rPr>
        <w:t>小时内发出书面确认函，在</w:t>
      </w:r>
      <w:r>
        <w:rPr>
          <w:rFonts w:cs="宋体"/>
          <w:szCs w:val="24"/>
        </w:rPr>
        <w:t>24</w:t>
      </w:r>
      <w:r>
        <w:rPr>
          <w:rFonts w:hint="eastAsia" w:cs="宋体"/>
          <w:szCs w:val="24"/>
        </w:rPr>
        <w:t>小时内未发出书面确认函的，该口头指示或临时书面指示应被视为工程师的正式指示。</w:t>
      </w:r>
    </w:p>
    <w:p>
      <w:pPr>
        <w:pStyle w:val="66"/>
        <w:spacing w:afterLines="0"/>
        <w:ind w:left="0" w:firstLine="480" w:firstLineChars="200"/>
        <w:rPr>
          <w:rFonts w:cs="宋体"/>
          <w:szCs w:val="24"/>
        </w:rPr>
      </w:pPr>
      <w:r>
        <w:rPr>
          <w:rFonts w:cs="宋体"/>
          <w:szCs w:val="24"/>
        </w:rPr>
        <w:t xml:space="preserve">3.5.2 </w:t>
      </w:r>
      <w:r>
        <w:rPr>
          <w:rFonts w:hint="eastAsia" w:cs="宋体"/>
          <w:szCs w:val="24"/>
        </w:rPr>
        <w:t>承包人收到工程师作出的指示后应遵照执行。如果任何此类指示构成一项变更时，应按照第</w:t>
      </w:r>
      <w:r>
        <w:rPr>
          <w:rFonts w:cs="宋体"/>
          <w:szCs w:val="24"/>
        </w:rPr>
        <w:t>13</w:t>
      </w:r>
      <w:r>
        <w:rPr>
          <w:rFonts w:hint="eastAsia" w:cs="宋体"/>
          <w:szCs w:val="24"/>
        </w:rPr>
        <w:t>条</w:t>
      </w:r>
      <w:r>
        <w:rPr>
          <w:rFonts w:cs="宋体"/>
          <w:szCs w:val="24"/>
        </w:rPr>
        <w:t>[</w:t>
      </w:r>
      <w:r>
        <w:rPr>
          <w:rFonts w:hint="eastAsia" w:cs="宋体"/>
          <w:szCs w:val="24"/>
        </w:rPr>
        <w:t>变更与调整</w:t>
      </w:r>
      <w:r>
        <w:rPr>
          <w:rFonts w:cs="宋体"/>
          <w:szCs w:val="24"/>
        </w:rPr>
        <w:t>]</w:t>
      </w:r>
      <w:r>
        <w:rPr>
          <w:rFonts w:hint="eastAsia" w:cs="宋体"/>
          <w:szCs w:val="24"/>
        </w:rPr>
        <w:t>的约定办理。</w:t>
      </w:r>
    </w:p>
    <w:p>
      <w:pPr>
        <w:pStyle w:val="66"/>
        <w:spacing w:afterLines="0"/>
        <w:ind w:left="0" w:firstLine="480" w:firstLineChars="200"/>
        <w:rPr>
          <w:rFonts w:cs="宋体"/>
          <w:szCs w:val="24"/>
        </w:rPr>
      </w:pPr>
      <w:r>
        <w:rPr>
          <w:rFonts w:cs="宋体"/>
          <w:szCs w:val="24"/>
        </w:rPr>
        <w:t xml:space="preserve">3.5.3 </w:t>
      </w:r>
      <w:r>
        <w:rPr>
          <w:rFonts w:hint="eastAsia" w:cs="宋体"/>
          <w:szCs w:val="24"/>
        </w:rPr>
        <w:t>由于工程师未能按合同约定发出指示、指示延误或指示错误而导致承包人费用增加和（或）工期延误的，发包人应承担由此增加的费用和（或）工期延误，并向承包人支付合理利润。</w:t>
      </w:r>
    </w:p>
    <w:p>
      <w:pPr>
        <w:pStyle w:val="65"/>
        <w:widowControl/>
        <w:spacing w:afterLines="0"/>
        <w:ind w:left="0" w:firstLine="482" w:firstLineChars="200"/>
        <w:rPr>
          <w:rFonts w:ascii="宋体" w:hAnsi="宋体" w:eastAsia="宋体" w:cs="宋体"/>
        </w:rPr>
      </w:pPr>
      <w:bookmarkStart w:id="209" w:name="_Ref531951611"/>
      <w:bookmarkStart w:id="210" w:name="_Toc54862209"/>
      <w:bookmarkStart w:id="211" w:name="_Ref531951609"/>
      <w:r>
        <w:rPr>
          <w:rFonts w:ascii="宋体" w:hAnsi="宋体" w:eastAsia="宋体" w:cs="宋体"/>
        </w:rPr>
        <w:t xml:space="preserve">3.6 </w:t>
      </w:r>
      <w:r>
        <w:rPr>
          <w:rFonts w:hint="eastAsia" w:ascii="宋体" w:hAnsi="宋体" w:eastAsia="宋体" w:cs="宋体"/>
        </w:rPr>
        <w:t>商定或确定</w:t>
      </w:r>
      <w:bookmarkEnd w:id="209"/>
      <w:bookmarkEnd w:id="210"/>
      <w:bookmarkEnd w:id="211"/>
    </w:p>
    <w:p>
      <w:pPr>
        <w:pStyle w:val="66"/>
        <w:spacing w:afterLines="0"/>
        <w:ind w:left="0" w:firstLine="480" w:firstLineChars="200"/>
        <w:rPr>
          <w:rFonts w:cs="宋体"/>
          <w:szCs w:val="24"/>
        </w:rPr>
      </w:pPr>
      <w:r>
        <w:rPr>
          <w:rFonts w:cs="宋体"/>
          <w:szCs w:val="24"/>
        </w:rPr>
        <w:t xml:space="preserve">3.6.1 </w:t>
      </w:r>
      <w:r>
        <w:rPr>
          <w:rFonts w:hint="eastAsia" w:cs="宋体"/>
          <w:szCs w:val="24"/>
        </w:rPr>
        <w:t>合同约定工程师应按照本款对任何事项进行商定或确定时，工程师应及时与合同当事人协商，尽量达成一致。工程师应将商定的结果以书面形式通知发包人和承包人，并由双方签署确认。</w:t>
      </w:r>
    </w:p>
    <w:p>
      <w:pPr>
        <w:pStyle w:val="66"/>
        <w:spacing w:afterLines="0"/>
        <w:ind w:left="0" w:firstLine="480" w:firstLineChars="200"/>
        <w:rPr>
          <w:rFonts w:cs="宋体"/>
          <w:szCs w:val="24"/>
        </w:rPr>
      </w:pPr>
      <w:r>
        <w:rPr>
          <w:rFonts w:cs="宋体"/>
          <w:szCs w:val="24"/>
        </w:rPr>
        <w:t xml:space="preserve">3.6.2 </w:t>
      </w:r>
      <w:r>
        <w:rPr>
          <w:rFonts w:hint="eastAsia" w:cs="宋体"/>
          <w:szCs w:val="24"/>
        </w:rPr>
        <w:t>除专用合同条件另有约定外，商定的期限应为工程师收到任何一方就商定事由发出的通知后</w:t>
      </w:r>
      <w:r>
        <w:rPr>
          <w:rFonts w:cs="宋体"/>
          <w:szCs w:val="24"/>
        </w:rPr>
        <w:t>42</w:t>
      </w:r>
      <w:r>
        <w:rPr>
          <w:rFonts w:hint="eastAsia" w:cs="宋体"/>
          <w:szCs w:val="24"/>
        </w:rPr>
        <w:t>天内或工程师提出并经双方同意的其他期限。未能在该期限内达成一致的，由工程师按照合同约定审慎做出公正的确定。确定的期限应为商定的期限届满后</w:t>
      </w:r>
      <w:r>
        <w:rPr>
          <w:rFonts w:cs="宋体"/>
          <w:szCs w:val="24"/>
        </w:rPr>
        <w:t>42</w:t>
      </w:r>
      <w:r>
        <w:rPr>
          <w:rFonts w:hint="eastAsia" w:cs="宋体"/>
          <w:szCs w:val="24"/>
        </w:rPr>
        <w:t>天内或工程师提出并经双方同意的其他期限。工程师应将确定的结果以书面形式通知发包人和承包人，并附详细依据。</w:t>
      </w:r>
    </w:p>
    <w:p>
      <w:pPr>
        <w:pStyle w:val="66"/>
        <w:spacing w:afterLines="0"/>
        <w:ind w:left="0" w:firstLine="480" w:firstLineChars="200"/>
        <w:rPr>
          <w:rFonts w:cs="宋体"/>
          <w:szCs w:val="24"/>
        </w:rPr>
      </w:pPr>
      <w:bookmarkStart w:id="212" w:name="_Ref532287856"/>
      <w:r>
        <w:rPr>
          <w:rFonts w:cs="宋体"/>
          <w:szCs w:val="24"/>
        </w:rPr>
        <w:t xml:space="preserve">3.6.3 </w:t>
      </w:r>
      <w:r>
        <w:rPr>
          <w:rFonts w:hint="eastAsia" w:cs="宋体"/>
          <w:szCs w:val="24"/>
        </w:rPr>
        <w:t>任何一方对工程师的确定有异议的，应在收到确定的结果后</w:t>
      </w:r>
      <w:r>
        <w:rPr>
          <w:rFonts w:cs="宋体"/>
          <w:szCs w:val="24"/>
        </w:rPr>
        <w:t>28</w:t>
      </w:r>
      <w:r>
        <w:rPr>
          <w:rFonts w:hint="eastAsia" w:cs="宋体"/>
          <w:szCs w:val="24"/>
        </w:rPr>
        <w:t>天内向另一方发出书面异议通知并抄送工程师。除第</w:t>
      </w:r>
      <w:r>
        <w:rPr>
          <w:rFonts w:cs="宋体"/>
          <w:szCs w:val="24"/>
        </w:rPr>
        <w:t>19.2</w:t>
      </w:r>
      <w:r>
        <w:rPr>
          <w:rFonts w:hint="eastAsia" w:cs="宋体"/>
          <w:szCs w:val="24"/>
        </w:rPr>
        <w:t>款</w:t>
      </w:r>
      <w:r>
        <w:rPr>
          <w:rFonts w:cs="宋体"/>
          <w:szCs w:val="24"/>
        </w:rPr>
        <w:t>[</w:t>
      </w:r>
      <w:r>
        <w:rPr>
          <w:rFonts w:hint="eastAsia" w:cs="宋体"/>
          <w:szCs w:val="24"/>
        </w:rPr>
        <w:t>承包人索赔的处理程序</w:t>
      </w:r>
      <w:r>
        <w:rPr>
          <w:rFonts w:cs="宋体"/>
          <w:szCs w:val="24"/>
        </w:rPr>
        <w:t>]</w:t>
      </w:r>
      <w:r>
        <w:rPr>
          <w:rFonts w:hint="eastAsia" w:cs="宋体"/>
          <w:szCs w:val="24"/>
        </w:rPr>
        <w:t>另有约定外，工程师未能在确定的期限内发出确定的结果通知的，或者任何一方发出对确定的结果有异议的通知的，则构成争议并应按照第</w:t>
      </w:r>
      <w:r>
        <w:rPr>
          <w:rFonts w:cs="宋体"/>
          <w:szCs w:val="24"/>
        </w:rPr>
        <w:t>20</w:t>
      </w:r>
      <w:r>
        <w:rPr>
          <w:rFonts w:hint="eastAsia" w:cs="宋体"/>
          <w:szCs w:val="24"/>
        </w:rPr>
        <w:t>条</w:t>
      </w:r>
      <w:r>
        <w:rPr>
          <w:rFonts w:cs="宋体"/>
          <w:szCs w:val="24"/>
        </w:rPr>
        <w:t>[</w:t>
      </w:r>
      <w:r>
        <w:rPr>
          <w:rFonts w:hint="eastAsia" w:cs="宋体"/>
          <w:szCs w:val="24"/>
        </w:rPr>
        <w:t>争议解决</w:t>
      </w:r>
      <w:r>
        <w:rPr>
          <w:rFonts w:cs="宋体"/>
          <w:szCs w:val="24"/>
        </w:rPr>
        <w:t>]</w:t>
      </w:r>
      <w:r>
        <w:rPr>
          <w:rFonts w:hint="eastAsia" w:cs="宋体"/>
          <w:szCs w:val="24"/>
        </w:rPr>
        <w:t>的约定处理。如未在</w:t>
      </w:r>
      <w:r>
        <w:rPr>
          <w:rFonts w:cs="宋体"/>
          <w:szCs w:val="24"/>
        </w:rPr>
        <w:t>28</w:t>
      </w:r>
      <w:r>
        <w:rPr>
          <w:rFonts w:hint="eastAsia" w:cs="宋体"/>
          <w:szCs w:val="24"/>
        </w:rPr>
        <w:t>天内发出上述通知的，工程师的确定应被视为已被双方接受并对双方具有约束力，但专用合同条件另有约定的除外。</w:t>
      </w:r>
      <w:bookmarkEnd w:id="212"/>
    </w:p>
    <w:p>
      <w:pPr>
        <w:pStyle w:val="66"/>
        <w:spacing w:afterLines="0"/>
        <w:ind w:left="0" w:firstLine="480" w:firstLineChars="200"/>
        <w:rPr>
          <w:rFonts w:cs="宋体"/>
          <w:szCs w:val="24"/>
        </w:rPr>
      </w:pPr>
      <w:r>
        <w:rPr>
          <w:rFonts w:cs="宋体"/>
          <w:szCs w:val="24"/>
        </w:rPr>
        <w:t xml:space="preserve">3.6.4 </w:t>
      </w:r>
      <w:r>
        <w:rPr>
          <w:rFonts w:hint="eastAsia" w:cs="宋体"/>
          <w:szCs w:val="24"/>
        </w:rPr>
        <w:t>在该争议解决前，双方应暂按工程师的确定执行。按照第</w:t>
      </w:r>
      <w:r>
        <w:rPr>
          <w:rFonts w:cs="宋体"/>
          <w:szCs w:val="24"/>
        </w:rPr>
        <w:t>20</w:t>
      </w:r>
      <w:r>
        <w:rPr>
          <w:rFonts w:hint="eastAsia" w:cs="宋体"/>
          <w:szCs w:val="24"/>
        </w:rPr>
        <w:t>条</w:t>
      </w:r>
      <w:r>
        <w:rPr>
          <w:rFonts w:cs="宋体"/>
          <w:szCs w:val="24"/>
        </w:rPr>
        <w:t>[</w:t>
      </w:r>
      <w:r>
        <w:rPr>
          <w:rFonts w:hint="eastAsia" w:cs="宋体"/>
          <w:szCs w:val="24"/>
        </w:rPr>
        <w:t>争议解决</w:t>
      </w:r>
      <w:r>
        <w:rPr>
          <w:rFonts w:cs="宋体"/>
          <w:szCs w:val="24"/>
        </w:rPr>
        <w:t>]</w:t>
      </w:r>
      <w:r>
        <w:rPr>
          <w:rFonts w:hint="eastAsia" w:cs="宋体"/>
          <w:szCs w:val="24"/>
        </w:rPr>
        <w:t>的约定对工程师的确定作出修改的，按修改后的结果执行，由此导致承包人增加的费用和延误的工期由责任方承担。</w:t>
      </w:r>
    </w:p>
    <w:p>
      <w:pPr>
        <w:pStyle w:val="65"/>
        <w:widowControl/>
        <w:spacing w:afterLines="0"/>
        <w:ind w:left="0" w:firstLine="482" w:firstLineChars="200"/>
        <w:rPr>
          <w:rFonts w:ascii="宋体" w:hAnsi="宋体" w:eastAsia="宋体" w:cs="宋体"/>
        </w:rPr>
      </w:pPr>
      <w:bookmarkStart w:id="213" w:name="_Ref531951749"/>
      <w:bookmarkStart w:id="214" w:name="_Ref531951747"/>
      <w:bookmarkStart w:id="215" w:name="_Toc54862210"/>
      <w:r>
        <w:rPr>
          <w:rFonts w:ascii="宋体" w:hAnsi="宋体" w:eastAsia="宋体" w:cs="宋体"/>
        </w:rPr>
        <w:t xml:space="preserve">3.7 </w:t>
      </w:r>
      <w:r>
        <w:rPr>
          <w:rFonts w:hint="eastAsia" w:ascii="宋体" w:hAnsi="宋体" w:eastAsia="宋体" w:cs="宋体"/>
        </w:rPr>
        <w:t>会议</w:t>
      </w:r>
      <w:bookmarkEnd w:id="213"/>
      <w:bookmarkEnd w:id="214"/>
      <w:bookmarkEnd w:id="215"/>
    </w:p>
    <w:p>
      <w:pPr>
        <w:pStyle w:val="66"/>
        <w:spacing w:afterLines="0"/>
        <w:ind w:left="0" w:firstLine="480" w:firstLineChars="200"/>
        <w:rPr>
          <w:rFonts w:cs="宋体"/>
          <w:szCs w:val="24"/>
        </w:rPr>
      </w:pPr>
      <w:r>
        <w:rPr>
          <w:rFonts w:cs="宋体"/>
          <w:szCs w:val="24"/>
        </w:rPr>
        <w:t xml:space="preserve">3.7.1 </w:t>
      </w:r>
      <w:r>
        <w:rPr>
          <w:rFonts w:hint="eastAsia" w:cs="宋体"/>
          <w:szCs w:val="24"/>
        </w:rPr>
        <w:t>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pPr>
        <w:pStyle w:val="66"/>
        <w:spacing w:afterLines="0"/>
        <w:ind w:left="0" w:firstLine="480" w:firstLineChars="200"/>
        <w:rPr>
          <w:rFonts w:cs="宋体"/>
          <w:szCs w:val="24"/>
        </w:rPr>
      </w:pPr>
      <w:r>
        <w:rPr>
          <w:rFonts w:cs="宋体"/>
          <w:szCs w:val="24"/>
        </w:rPr>
        <w:t xml:space="preserve">3.7.2 </w:t>
      </w:r>
      <w:r>
        <w:rPr>
          <w:rFonts w:hint="eastAsia" w:cs="宋体"/>
          <w:szCs w:val="24"/>
        </w:rPr>
        <w:t>除专用合同条件另有约定外，发包人应保存每次会议参加人签名的记录，并将会议纪要提供给出席会议的人员。任何根据此类会议以及会议纪要采取的行动应符合本合同的约定。</w:t>
      </w:r>
    </w:p>
    <w:p>
      <w:pPr>
        <w:pStyle w:val="64"/>
        <w:numPr>
          <w:ilvl w:val="0"/>
          <w:numId w:val="0"/>
        </w:numPr>
        <w:spacing w:before="0"/>
        <w:ind w:firstLine="482" w:firstLineChars="200"/>
        <w:rPr>
          <w:rFonts w:ascii="宋体"/>
          <w:b/>
          <w:sz w:val="24"/>
          <w:szCs w:val="24"/>
        </w:rPr>
      </w:pPr>
      <w:bookmarkStart w:id="216" w:name="_Toc54862211"/>
      <w:bookmarkStart w:id="217" w:name="_Ref531952805"/>
      <w:r>
        <w:rPr>
          <w:rFonts w:hint="eastAsia" w:ascii="宋体" w:hAnsi="宋体"/>
          <w:b/>
          <w:sz w:val="24"/>
          <w:szCs w:val="24"/>
        </w:rPr>
        <w:t>第</w:t>
      </w:r>
      <w:r>
        <w:rPr>
          <w:rFonts w:ascii="宋体" w:hAnsi="宋体"/>
          <w:b/>
          <w:sz w:val="24"/>
          <w:szCs w:val="24"/>
        </w:rPr>
        <w:t>4</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承包人</w:t>
      </w:r>
      <w:bookmarkEnd w:id="216"/>
      <w:bookmarkEnd w:id="217"/>
    </w:p>
    <w:p>
      <w:pPr>
        <w:pStyle w:val="65"/>
        <w:widowControl/>
        <w:spacing w:afterLines="0"/>
        <w:ind w:left="0" w:firstLine="482" w:firstLineChars="200"/>
        <w:rPr>
          <w:rFonts w:ascii="宋体" w:hAnsi="宋体" w:eastAsia="宋体" w:cs="宋体"/>
          <w:b w:val="0"/>
          <w:bCs/>
        </w:rPr>
      </w:pPr>
      <w:bookmarkStart w:id="218" w:name="_Ref531951945"/>
      <w:bookmarkStart w:id="219" w:name="_Toc54862212"/>
      <w:bookmarkStart w:id="220" w:name="_Ref531951961"/>
      <w:bookmarkStart w:id="221" w:name="_Ref531951975"/>
      <w:bookmarkStart w:id="222" w:name="_Ref531951941"/>
      <w:bookmarkStart w:id="223" w:name="_Ref531951958"/>
      <w:r>
        <w:rPr>
          <w:rFonts w:ascii="宋体" w:hAnsi="宋体" w:eastAsia="宋体" w:cs="宋体"/>
        </w:rPr>
        <w:t xml:space="preserve">4.1 </w:t>
      </w:r>
      <w:r>
        <w:rPr>
          <w:rFonts w:hint="eastAsia" w:ascii="宋体" w:hAnsi="宋体" w:eastAsia="宋体" w:cs="宋体"/>
        </w:rPr>
        <w:t>承包人的一般义务</w:t>
      </w:r>
      <w:bookmarkEnd w:id="218"/>
      <w:bookmarkEnd w:id="219"/>
      <w:bookmarkEnd w:id="220"/>
      <w:bookmarkEnd w:id="221"/>
      <w:bookmarkEnd w:id="222"/>
      <w:bookmarkEnd w:id="223"/>
      <w:r>
        <w:rPr>
          <w:rFonts w:ascii="宋体" w:hAnsi="宋体" w:eastAsia="宋体" w:cs="宋体"/>
          <w:b w:val="0"/>
          <w:bCs/>
        </w:rPr>
        <w:t xml:space="preserve"> </w:t>
      </w:r>
    </w:p>
    <w:p>
      <w:pPr>
        <w:spacing w:line="360" w:lineRule="auto"/>
        <w:ind w:firstLine="480" w:firstLineChars="200"/>
        <w:rPr>
          <w:sz w:val="24"/>
          <w:szCs w:val="24"/>
        </w:rPr>
      </w:pPr>
      <w:bookmarkStart w:id="224" w:name="_Ref509046929"/>
      <w:r>
        <w:rPr>
          <w:rFonts w:hint="eastAsia"/>
          <w:sz w:val="24"/>
          <w:szCs w:val="24"/>
        </w:rPr>
        <w:t>除专用合同条件另有约定外，承包人在履行合同过程中应遵守法律和工程建设标准规范，并履行以下义务：</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办理法律规定和合同约定由承包人办理的许可和批准，将办理结果书面报送发包人留存，并承担因承包人违反法律或合同约定给发包人造成的任何费用和损失；</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按合同约定完成全部工作并在缺陷责任期和保修期内承担缺陷保证责任和保修义务，对工作中的任何缺陷进行整改、完善和修补，使其满足合同约定的目的；</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提供合同约定的工程设备和承包人文件，以及为完成合同工作所需的劳务、材料、施工设备和其他物品，并按合同约定负责临时设施的设计、施工、运行、维护、管理和拆除；</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按合同约定的工作内容和进度要求，编制设计、施工的组织和实施计划，保证项目进度计划的实现，并对所有设计、施工作业和施工方法，以及全部工程的完备性和安全可靠性负责；</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按法律规定和合同约定采取安全文明施工、职业健康和环境保护措施，办理员工工伤保险等相关保险，确保工程及人员、材料、设备和设施的安全，防止因工程实施造成的人身伤害和财产损失；</w:t>
      </w:r>
    </w:p>
    <w:p>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将发包人按合同约定支付的各项价款专用于合同工程，且应及时支付其雇用人员（包括建筑工人）工资，并及时向分包人支付合同价款；</w:t>
      </w:r>
    </w:p>
    <w:p>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w:t>
      </w:r>
      <w:r>
        <w:rPr>
          <w:sz w:val="24"/>
          <w:szCs w:val="24"/>
        </w:rPr>
        <w:t xml:space="preserve"> </w:t>
      </w:r>
      <w:r>
        <w:rPr>
          <w:rFonts w:hint="eastAsia"/>
          <w:sz w:val="24"/>
          <w:szCs w:val="24"/>
        </w:rPr>
        <w:t>在进行合同约定的各项工作时，不得侵害发包人与他人使用公用道路、水源、市政管网等公共设施的权利，避免对邻近的公共设施产生干扰。</w:t>
      </w:r>
    </w:p>
    <w:p>
      <w:pPr>
        <w:pStyle w:val="65"/>
        <w:widowControl/>
        <w:spacing w:afterLines="0"/>
        <w:ind w:left="0" w:firstLine="482" w:firstLineChars="200"/>
        <w:rPr>
          <w:rFonts w:ascii="宋体" w:hAnsi="宋体" w:eastAsia="宋体" w:cs="宋体"/>
        </w:rPr>
      </w:pPr>
      <w:bookmarkStart w:id="225" w:name="_Toc54862213"/>
      <w:bookmarkStart w:id="226" w:name="_Ref4426803"/>
      <w:bookmarkStart w:id="227" w:name="_Ref4428418"/>
      <w:r>
        <w:rPr>
          <w:rFonts w:ascii="宋体" w:hAnsi="宋体" w:eastAsia="宋体" w:cs="宋体"/>
        </w:rPr>
        <w:t xml:space="preserve">4.2 </w:t>
      </w:r>
      <w:r>
        <w:rPr>
          <w:rFonts w:hint="eastAsia" w:ascii="宋体" w:hAnsi="宋体" w:eastAsia="宋体" w:cs="宋体"/>
        </w:rPr>
        <w:t>履约担保</w:t>
      </w:r>
      <w:bookmarkEnd w:id="225"/>
      <w:bookmarkEnd w:id="226"/>
    </w:p>
    <w:p>
      <w:pPr>
        <w:spacing w:line="360" w:lineRule="auto"/>
        <w:ind w:firstLine="480" w:firstLineChars="200"/>
        <w:rPr>
          <w:sz w:val="24"/>
          <w:szCs w:val="24"/>
        </w:rPr>
      </w:pPr>
      <w:r>
        <w:rPr>
          <w:rFonts w:hint="eastAsia"/>
          <w:sz w:val="24"/>
          <w:szCs w:val="24"/>
        </w:rPr>
        <w:t>发包人需要承包人提供履约担保的，由合同当事人在专用合同条件中约定履约担保的方式、金额及提交的时间等，并应符合第</w:t>
      </w:r>
      <w:r>
        <w:rPr>
          <w:sz w:val="24"/>
          <w:szCs w:val="24"/>
        </w:rPr>
        <w:t>2.5</w:t>
      </w:r>
      <w:r>
        <w:rPr>
          <w:rFonts w:hint="eastAsia"/>
          <w:sz w:val="24"/>
          <w:szCs w:val="24"/>
        </w:rPr>
        <w:t>款</w:t>
      </w:r>
      <w:r>
        <w:rPr>
          <w:sz w:val="24"/>
          <w:szCs w:val="24"/>
        </w:rPr>
        <w:t>[</w:t>
      </w:r>
      <w:r>
        <w:rPr>
          <w:rFonts w:hint="eastAsia"/>
          <w:sz w:val="24"/>
          <w:szCs w:val="24"/>
        </w:rPr>
        <w:t>支付合同价款</w:t>
      </w:r>
      <w:r>
        <w:rPr>
          <w:sz w:val="24"/>
          <w:szCs w:val="24"/>
        </w:rPr>
        <w:t>]</w:t>
      </w:r>
      <w:r>
        <w:rPr>
          <w:rFonts w:hint="eastAsia"/>
          <w:sz w:val="24"/>
          <w:szCs w:val="24"/>
        </w:rPr>
        <w:t>的规定。履约担保可以采用银行保函或担保公司担保等形式，承包人为联合体的，其履约担保由联合体各方或者联合体中牵头人的名义代表联合体提交，具体由合同当事人在专用合同条件中约定。</w:t>
      </w:r>
    </w:p>
    <w:p>
      <w:pPr>
        <w:spacing w:line="360" w:lineRule="auto"/>
        <w:ind w:firstLine="480" w:firstLineChars="200"/>
        <w:rPr>
          <w:sz w:val="24"/>
          <w:szCs w:val="24"/>
        </w:rPr>
      </w:pPr>
      <w:r>
        <w:rPr>
          <w:rFonts w:hint="eastAsia"/>
          <w:sz w:val="24"/>
          <w:szCs w:val="24"/>
        </w:rPr>
        <w:t>承包人应保证其履约担保在发包人竣工验收前一直有效，发包人应在竣工验收合格后</w:t>
      </w:r>
      <w:r>
        <w:rPr>
          <w:sz w:val="24"/>
          <w:szCs w:val="24"/>
        </w:rPr>
        <w:t>7</w:t>
      </w:r>
      <w:r>
        <w:rPr>
          <w:rFonts w:hint="eastAsia"/>
          <w:sz w:val="24"/>
          <w:szCs w:val="24"/>
        </w:rPr>
        <w:t>天内将履约担保款项退还给承包人或者解除履约担保。</w:t>
      </w:r>
    </w:p>
    <w:p>
      <w:pPr>
        <w:spacing w:line="360" w:lineRule="auto"/>
        <w:ind w:firstLine="480" w:firstLineChars="200"/>
        <w:rPr>
          <w:sz w:val="24"/>
          <w:szCs w:val="24"/>
        </w:rPr>
      </w:pPr>
      <w:r>
        <w:rPr>
          <w:rFonts w:hint="eastAsia"/>
          <w:sz w:val="24"/>
          <w:szCs w:val="24"/>
        </w:rPr>
        <w:t>因承包人原因导致工期延长的，继续提供履约担保所增加的费用由承包人承担；非因承包人原因导致工期延长的，继续提供履约担保所增加的费用由发包人承担。</w:t>
      </w:r>
    </w:p>
    <w:bookmarkEnd w:id="224"/>
    <w:bookmarkEnd w:id="227"/>
    <w:p>
      <w:pPr>
        <w:pStyle w:val="65"/>
        <w:widowControl/>
        <w:spacing w:afterLines="0"/>
        <w:ind w:left="0" w:firstLine="482" w:firstLineChars="200"/>
        <w:rPr>
          <w:rFonts w:ascii="宋体" w:hAnsi="宋体" w:eastAsia="宋体" w:cs="宋体"/>
        </w:rPr>
      </w:pPr>
      <w:bookmarkStart w:id="228" w:name="_Ref532689105"/>
      <w:bookmarkStart w:id="229" w:name="_Ref532689108"/>
      <w:bookmarkStart w:id="230" w:name="_Toc54862214"/>
      <w:r>
        <w:rPr>
          <w:rFonts w:ascii="宋体" w:hAnsi="宋体" w:eastAsia="宋体" w:cs="宋体"/>
        </w:rPr>
        <w:t xml:space="preserve">4.3 </w:t>
      </w:r>
      <w:r>
        <w:rPr>
          <w:rFonts w:hint="eastAsia" w:ascii="宋体" w:hAnsi="宋体" w:eastAsia="宋体" w:cs="宋体"/>
        </w:rPr>
        <w:t>工程总承包项目经理</w:t>
      </w:r>
      <w:bookmarkEnd w:id="228"/>
      <w:bookmarkEnd w:id="229"/>
      <w:bookmarkEnd w:id="230"/>
    </w:p>
    <w:p>
      <w:pPr>
        <w:pStyle w:val="66"/>
        <w:spacing w:afterLines="0"/>
        <w:ind w:left="0" w:firstLine="480" w:firstLineChars="200"/>
        <w:rPr>
          <w:rFonts w:cs="宋体"/>
          <w:szCs w:val="24"/>
        </w:rPr>
      </w:pPr>
      <w:bookmarkStart w:id="231" w:name="_Ref532351726"/>
      <w:r>
        <w:rPr>
          <w:rFonts w:cs="宋体"/>
          <w:szCs w:val="24"/>
        </w:rPr>
        <w:t xml:space="preserve">4.3.1 </w:t>
      </w:r>
      <w:r>
        <w:rPr>
          <w:rFonts w:hint="eastAsia" w:cs="宋体"/>
          <w:szCs w:val="24"/>
        </w:rPr>
        <w:t>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bookmarkEnd w:id="231"/>
    </w:p>
    <w:p>
      <w:pPr>
        <w:pStyle w:val="66"/>
        <w:spacing w:afterLines="0"/>
        <w:ind w:left="0" w:firstLine="480" w:firstLineChars="200"/>
        <w:rPr>
          <w:rFonts w:cs="宋体"/>
          <w:szCs w:val="24"/>
        </w:rPr>
      </w:pPr>
      <w:bookmarkStart w:id="232" w:name="_Ref532689263"/>
      <w:r>
        <w:rPr>
          <w:rFonts w:cs="宋体"/>
          <w:szCs w:val="24"/>
        </w:rPr>
        <w:t xml:space="preserve">4.3.2 </w:t>
      </w:r>
      <w:r>
        <w:rPr>
          <w:rFonts w:hint="eastAsia" w:cs="宋体"/>
          <w:szCs w:val="24"/>
        </w:rPr>
        <w:t>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bookmarkEnd w:id="232"/>
    </w:p>
    <w:p>
      <w:pPr>
        <w:pStyle w:val="66"/>
        <w:spacing w:afterLines="0"/>
        <w:ind w:left="0" w:firstLine="480" w:firstLineChars="200"/>
        <w:rPr>
          <w:rFonts w:cs="宋体"/>
          <w:szCs w:val="24"/>
        </w:rPr>
      </w:pPr>
      <w:bookmarkStart w:id="233" w:name="_Ref532689178"/>
      <w:bookmarkStart w:id="234" w:name="_Ref531952112"/>
      <w:r>
        <w:rPr>
          <w:rFonts w:cs="宋体"/>
          <w:szCs w:val="24"/>
        </w:rPr>
        <w:t xml:space="preserve">4.3.3 </w:t>
      </w:r>
      <w:r>
        <w:rPr>
          <w:rFonts w:hint="eastAsia" w:cs="宋体"/>
          <w:szCs w:val="24"/>
        </w:rPr>
        <w:t>承包人应根据本合同的约定授予工程总承包项目经理代表承包人履行合同所需的权利，工程总承包项目经理权限以专用合同条件中约定的权限为准。经承包人授权后，工程总承包项目经理应按合同约定以及工程师按第</w:t>
      </w:r>
      <w:r>
        <w:rPr>
          <w:rFonts w:cs="宋体"/>
          <w:szCs w:val="24"/>
        </w:rPr>
        <w:t>3.5</w:t>
      </w:r>
      <w:r>
        <w:rPr>
          <w:rFonts w:hint="eastAsia" w:cs="宋体"/>
          <w:szCs w:val="24"/>
        </w:rPr>
        <w:t>款</w:t>
      </w:r>
      <w:r>
        <w:rPr>
          <w:rFonts w:cs="宋体"/>
          <w:szCs w:val="24"/>
        </w:rPr>
        <w:t>[</w:t>
      </w:r>
      <w:r>
        <w:rPr>
          <w:rFonts w:hint="eastAsia" w:cs="宋体"/>
          <w:szCs w:val="24"/>
        </w:rPr>
        <w:t>指示</w:t>
      </w:r>
      <w:r>
        <w:rPr>
          <w:rFonts w:cs="宋体"/>
          <w:szCs w:val="24"/>
        </w:rPr>
        <w:t>]</w:t>
      </w:r>
      <w:r>
        <w:rPr>
          <w:rFonts w:hint="eastAsia" w:cs="宋体"/>
          <w:szCs w:val="24"/>
        </w:rPr>
        <w:t>作出的指示，代表承包人负责组织合同的实施。在紧急情况下，且无法与发包人和工程师取得联系时，工程总承包项目经理有权采取必要的措施保证人身、工程和财产的安全，但须在事后</w:t>
      </w:r>
      <w:r>
        <w:rPr>
          <w:rFonts w:cs="宋体"/>
          <w:szCs w:val="24"/>
        </w:rPr>
        <w:t>48</w:t>
      </w:r>
      <w:r>
        <w:rPr>
          <w:rFonts w:hint="eastAsia" w:cs="宋体"/>
          <w:szCs w:val="24"/>
        </w:rPr>
        <w:t>小时内向工程师送交书面报告。</w:t>
      </w:r>
      <w:bookmarkEnd w:id="233"/>
    </w:p>
    <w:bookmarkEnd w:id="234"/>
    <w:p>
      <w:pPr>
        <w:pStyle w:val="66"/>
        <w:spacing w:afterLines="0"/>
        <w:ind w:left="0" w:firstLine="480" w:firstLineChars="200"/>
        <w:rPr>
          <w:rFonts w:cs="宋体"/>
          <w:szCs w:val="24"/>
        </w:rPr>
      </w:pPr>
      <w:bookmarkStart w:id="235" w:name="_Ref4426412"/>
      <w:r>
        <w:rPr>
          <w:rFonts w:cs="宋体"/>
          <w:szCs w:val="24"/>
        </w:rPr>
        <w:t xml:space="preserve">4.3.4 </w:t>
      </w:r>
      <w:r>
        <w:rPr>
          <w:rFonts w:hint="eastAsia" w:cs="宋体"/>
          <w:szCs w:val="24"/>
        </w:rPr>
        <w:t>承包人需要更换工程总承包项目经理的，应提前</w:t>
      </w:r>
      <w:r>
        <w:rPr>
          <w:rFonts w:cs="宋体"/>
          <w:szCs w:val="24"/>
        </w:rPr>
        <w:t>14</w:t>
      </w:r>
      <w:r>
        <w:rPr>
          <w:rFonts w:hint="eastAsia" w:cs="宋体"/>
          <w:szCs w:val="24"/>
        </w:rPr>
        <w:t>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w:t>
      </w:r>
      <w:bookmarkStart w:id="236" w:name="_Hlk55056591"/>
      <w:r>
        <w:rPr>
          <w:rFonts w:hint="eastAsia" w:cs="宋体"/>
          <w:szCs w:val="24"/>
        </w:rPr>
        <w:t>应按照专用合同条件的约定承担违约责任。</w:t>
      </w:r>
      <w:bookmarkEnd w:id="235"/>
      <w:bookmarkEnd w:id="236"/>
    </w:p>
    <w:p>
      <w:pPr>
        <w:pStyle w:val="66"/>
        <w:spacing w:afterLines="0"/>
        <w:ind w:left="0" w:firstLine="480" w:firstLineChars="200"/>
        <w:rPr>
          <w:rFonts w:cs="宋体"/>
          <w:szCs w:val="24"/>
        </w:rPr>
      </w:pPr>
      <w:bookmarkStart w:id="237" w:name="_Ref531952137"/>
      <w:r>
        <w:rPr>
          <w:rFonts w:cs="宋体"/>
          <w:szCs w:val="24"/>
        </w:rPr>
        <w:t xml:space="preserve">4.3.5 </w:t>
      </w:r>
      <w:r>
        <w:rPr>
          <w:rFonts w:hint="eastAsia" w:cs="宋体"/>
          <w:szCs w:val="24"/>
        </w:rPr>
        <w:t>发包人有权书面通知承包人要求更换其认为不称职的工程总承包项目经理，通知中应当载明要求更换的理由。承包人应在接到更换通知后</w:t>
      </w:r>
      <w:r>
        <w:rPr>
          <w:rFonts w:cs="宋体"/>
          <w:szCs w:val="24"/>
        </w:rPr>
        <w:t>14</w:t>
      </w:r>
      <w:r>
        <w:rPr>
          <w:rFonts w:hint="eastAsia" w:cs="宋体"/>
          <w:szCs w:val="24"/>
        </w:rPr>
        <w:t>天内向发包人提出书面的改进报告。如承包人没有提出改进报告，应在收到更换通知后</w:t>
      </w:r>
      <w:r>
        <w:rPr>
          <w:rFonts w:cs="宋体"/>
          <w:szCs w:val="24"/>
        </w:rPr>
        <w:t>28</w:t>
      </w:r>
      <w:r>
        <w:rPr>
          <w:rFonts w:hint="eastAsia" w:cs="宋体"/>
          <w:szCs w:val="24"/>
        </w:rPr>
        <w:t>天内更换项目经理。发包人收到改进报告后仍要求更换的，承包人应在接到第二次更换通知的</w:t>
      </w:r>
      <w:r>
        <w:rPr>
          <w:rFonts w:cs="宋体"/>
          <w:szCs w:val="24"/>
        </w:rPr>
        <w:t>28</w:t>
      </w:r>
      <w:r>
        <w:rPr>
          <w:rFonts w:hint="eastAsia" w:cs="宋体"/>
          <w:szCs w:val="24"/>
        </w:rPr>
        <w:t>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bookmarkEnd w:id="237"/>
    </w:p>
    <w:p>
      <w:pPr>
        <w:pStyle w:val="66"/>
        <w:spacing w:afterLines="0"/>
        <w:ind w:left="0" w:firstLine="480" w:firstLineChars="200"/>
        <w:rPr>
          <w:rFonts w:cs="宋体"/>
          <w:szCs w:val="24"/>
        </w:rPr>
      </w:pPr>
      <w:bookmarkStart w:id="238" w:name="_Ref122620"/>
      <w:r>
        <w:rPr>
          <w:rFonts w:cs="宋体"/>
          <w:szCs w:val="24"/>
        </w:rPr>
        <w:t xml:space="preserve">4.3.6 </w:t>
      </w:r>
      <w:r>
        <w:rPr>
          <w:rFonts w:hint="eastAsia" w:cs="宋体"/>
          <w:szCs w:val="24"/>
        </w:rPr>
        <w:t>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bookmarkEnd w:id="238"/>
    </w:p>
    <w:p>
      <w:pPr>
        <w:pStyle w:val="65"/>
        <w:widowControl/>
        <w:spacing w:afterLines="0"/>
        <w:ind w:left="0" w:firstLine="482" w:firstLineChars="200"/>
        <w:rPr>
          <w:rFonts w:ascii="宋体" w:hAnsi="宋体" w:eastAsia="宋体" w:cs="宋体"/>
        </w:rPr>
      </w:pPr>
      <w:bookmarkStart w:id="239" w:name="_Toc54862215"/>
      <w:bookmarkStart w:id="240" w:name="_Ref531952172"/>
      <w:bookmarkStart w:id="241" w:name="_Ref531952175"/>
      <w:r>
        <w:rPr>
          <w:rFonts w:ascii="宋体" w:hAnsi="宋体" w:eastAsia="宋体" w:cs="宋体"/>
        </w:rPr>
        <w:t xml:space="preserve">4.4 </w:t>
      </w:r>
      <w:r>
        <w:rPr>
          <w:rFonts w:hint="eastAsia" w:ascii="宋体" w:hAnsi="宋体" w:eastAsia="宋体" w:cs="宋体"/>
        </w:rPr>
        <w:t>承包人人员</w:t>
      </w:r>
      <w:bookmarkEnd w:id="239"/>
      <w:bookmarkEnd w:id="240"/>
      <w:bookmarkEnd w:id="241"/>
    </w:p>
    <w:p>
      <w:pPr>
        <w:pStyle w:val="66"/>
        <w:spacing w:afterLines="0"/>
        <w:ind w:left="0" w:firstLine="480" w:firstLineChars="200"/>
        <w:rPr>
          <w:rFonts w:cs="宋体"/>
          <w:szCs w:val="24"/>
        </w:rPr>
      </w:pPr>
      <w:bookmarkStart w:id="242" w:name="_Ref531952185"/>
      <w:r>
        <w:rPr>
          <w:rFonts w:cs="宋体"/>
          <w:szCs w:val="24"/>
        </w:rPr>
        <w:t xml:space="preserve">4.4.1 </w:t>
      </w:r>
      <w:r>
        <w:rPr>
          <w:rFonts w:hint="eastAsia" w:cs="宋体"/>
          <w:szCs w:val="24"/>
        </w:rPr>
        <w:t>人员安排</w:t>
      </w:r>
      <w:bookmarkEnd w:id="242"/>
    </w:p>
    <w:p>
      <w:pPr>
        <w:spacing w:line="360" w:lineRule="auto"/>
        <w:ind w:firstLine="480" w:firstLineChars="200"/>
        <w:rPr>
          <w:sz w:val="24"/>
          <w:szCs w:val="24"/>
        </w:rPr>
      </w:pPr>
      <w:r>
        <w:rPr>
          <w:rFonts w:hint="eastAsia"/>
          <w:sz w:val="24"/>
          <w:szCs w:val="24"/>
        </w:rPr>
        <w:t>承包人人员的资质、数量、配置和管理应能满足工程实施的需要。除专用合同条件另有约定外，承包人应在接到开始工作通知之日起</w:t>
      </w:r>
      <w:r>
        <w:rPr>
          <w:sz w:val="24"/>
          <w:szCs w:val="24"/>
        </w:rPr>
        <w:t>14</w:t>
      </w:r>
      <w:r>
        <w:rPr>
          <w:rFonts w:hint="eastAsia"/>
          <w:sz w:val="24"/>
          <w:szCs w:val="24"/>
        </w:rPr>
        <w:t>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pPr>
        <w:spacing w:line="360" w:lineRule="auto"/>
        <w:ind w:firstLine="480" w:firstLineChars="200"/>
        <w:rPr>
          <w:sz w:val="24"/>
          <w:szCs w:val="24"/>
        </w:rPr>
      </w:pPr>
      <w:r>
        <w:rPr>
          <w:rFonts w:hint="eastAsia"/>
          <w:sz w:val="24"/>
          <w:szCs w:val="24"/>
        </w:rPr>
        <w:t>关键人员</w:t>
      </w:r>
      <w:bookmarkStart w:id="243" w:name="_Hlk16210335"/>
      <w:r>
        <w:rPr>
          <w:rFonts w:hint="eastAsia"/>
          <w:sz w:val="24"/>
          <w:szCs w:val="24"/>
        </w:rPr>
        <w:t>是发包人及承包人一致认为对工程建设起重要作用的承包人主要管理人员或技术人员。关键人员的具体范围由发包人及承包人在附件</w:t>
      </w:r>
      <w:r>
        <w:rPr>
          <w:sz w:val="24"/>
          <w:szCs w:val="24"/>
        </w:rPr>
        <w:t>5[</w:t>
      </w:r>
      <w:r>
        <w:rPr>
          <w:rFonts w:hint="eastAsia"/>
          <w:sz w:val="24"/>
          <w:szCs w:val="24"/>
        </w:rPr>
        <w:t>承包人主要管理人员表</w:t>
      </w:r>
      <w:r>
        <w:rPr>
          <w:sz w:val="24"/>
          <w:szCs w:val="24"/>
        </w:rPr>
        <w:t>]</w:t>
      </w:r>
      <w:r>
        <w:rPr>
          <w:rFonts w:hint="eastAsia"/>
          <w:sz w:val="24"/>
          <w:szCs w:val="24"/>
        </w:rPr>
        <w:t>中另行约定。</w:t>
      </w:r>
    </w:p>
    <w:bookmarkEnd w:id="243"/>
    <w:p>
      <w:pPr>
        <w:pStyle w:val="66"/>
        <w:spacing w:afterLines="0"/>
        <w:ind w:left="0" w:firstLine="480" w:firstLineChars="200"/>
        <w:rPr>
          <w:rFonts w:cs="宋体"/>
          <w:szCs w:val="24"/>
        </w:rPr>
      </w:pPr>
      <w:bookmarkStart w:id="244" w:name="_Ref531952211"/>
      <w:bookmarkStart w:id="245" w:name="_Ref4426641"/>
      <w:r>
        <w:rPr>
          <w:rFonts w:cs="宋体"/>
          <w:szCs w:val="24"/>
        </w:rPr>
        <w:t xml:space="preserve">4.4.2 </w:t>
      </w:r>
      <w:r>
        <w:rPr>
          <w:rFonts w:hint="eastAsia" w:cs="宋体"/>
          <w:szCs w:val="24"/>
        </w:rPr>
        <w:t>关键人员更换</w:t>
      </w:r>
      <w:bookmarkEnd w:id="244"/>
      <w:bookmarkEnd w:id="245"/>
    </w:p>
    <w:p>
      <w:pPr>
        <w:spacing w:line="360" w:lineRule="auto"/>
        <w:ind w:firstLine="480" w:firstLineChars="200"/>
        <w:rPr>
          <w:sz w:val="24"/>
          <w:szCs w:val="24"/>
        </w:rPr>
      </w:pPr>
      <w:r>
        <w:rPr>
          <w:rFonts w:hint="eastAsia"/>
          <w:sz w:val="24"/>
          <w:szCs w:val="24"/>
        </w:rPr>
        <w:t>承包人派驻到施工现场的关键人员应相对稳定。承包人更换关键人员时，应提前</w:t>
      </w:r>
      <w:r>
        <w:rPr>
          <w:sz w:val="24"/>
          <w:szCs w:val="24"/>
        </w:rPr>
        <w:t>14</w:t>
      </w:r>
      <w:r>
        <w:rPr>
          <w:rFonts w:hint="eastAsia"/>
          <w:sz w:val="24"/>
          <w:szCs w:val="24"/>
        </w:rPr>
        <w:t>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pPr>
        <w:spacing w:line="360" w:lineRule="auto"/>
        <w:ind w:firstLine="480" w:firstLineChars="200"/>
        <w:rPr>
          <w:sz w:val="24"/>
          <w:szCs w:val="24"/>
        </w:rPr>
      </w:pPr>
      <w:r>
        <w:rPr>
          <w:rFonts w:hint="eastAsia"/>
          <w:sz w:val="24"/>
          <w:szCs w:val="24"/>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pPr>
        <w:pStyle w:val="66"/>
        <w:spacing w:afterLines="0"/>
        <w:ind w:left="0" w:firstLine="480" w:firstLineChars="200"/>
        <w:rPr>
          <w:rFonts w:cs="宋体"/>
          <w:szCs w:val="24"/>
        </w:rPr>
      </w:pPr>
      <w:bookmarkStart w:id="246" w:name="_Ref531952227"/>
      <w:r>
        <w:rPr>
          <w:rFonts w:cs="宋体"/>
          <w:szCs w:val="24"/>
        </w:rPr>
        <w:t xml:space="preserve">4.4.3 </w:t>
      </w:r>
      <w:r>
        <w:rPr>
          <w:rFonts w:hint="eastAsia" w:cs="宋体"/>
          <w:szCs w:val="24"/>
        </w:rPr>
        <w:t>现场管理关键人员在岗要求</w:t>
      </w:r>
      <w:bookmarkEnd w:id="246"/>
    </w:p>
    <w:p>
      <w:pPr>
        <w:spacing w:line="360" w:lineRule="auto"/>
        <w:ind w:firstLine="480" w:firstLineChars="200"/>
        <w:rPr>
          <w:sz w:val="24"/>
          <w:szCs w:val="24"/>
        </w:rPr>
      </w:pPr>
      <w:r>
        <w:rPr>
          <w:rFonts w:hint="eastAsia"/>
          <w:sz w:val="24"/>
          <w:szCs w:val="24"/>
        </w:rPr>
        <w:t>除专用合同条件另有约定外，承包人的现场管理关键人员离开施工现场每月累计不超过</w:t>
      </w:r>
      <w:r>
        <w:rPr>
          <w:sz w:val="24"/>
          <w:szCs w:val="24"/>
        </w:rPr>
        <w:t>7</w:t>
      </w:r>
      <w:r>
        <w:rPr>
          <w:rFonts w:hint="eastAsia"/>
          <w:sz w:val="24"/>
          <w:szCs w:val="24"/>
        </w:rPr>
        <w:t>天的，应报工程师同意；离开施工现场每月累计超过</w:t>
      </w:r>
      <w:r>
        <w:rPr>
          <w:sz w:val="24"/>
          <w:szCs w:val="24"/>
        </w:rPr>
        <w:t>7</w:t>
      </w:r>
      <w:r>
        <w:rPr>
          <w:rFonts w:hint="eastAsia"/>
          <w:sz w:val="24"/>
          <w:szCs w:val="24"/>
        </w:rPr>
        <w:t>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pPr>
        <w:pStyle w:val="65"/>
        <w:widowControl/>
        <w:spacing w:afterLines="0"/>
        <w:ind w:left="0" w:firstLine="482" w:firstLineChars="200"/>
        <w:rPr>
          <w:rFonts w:ascii="宋体" w:hAnsi="宋体" w:eastAsia="宋体" w:cs="宋体"/>
        </w:rPr>
      </w:pPr>
      <w:bookmarkStart w:id="247" w:name="_Ref531952259"/>
      <w:bookmarkStart w:id="248" w:name="_Toc54862216"/>
      <w:bookmarkStart w:id="249" w:name="_Ref531952262"/>
      <w:r>
        <w:rPr>
          <w:rFonts w:ascii="宋体" w:hAnsi="宋体" w:eastAsia="宋体" w:cs="宋体"/>
        </w:rPr>
        <w:t xml:space="preserve">4.5 </w:t>
      </w:r>
      <w:r>
        <w:rPr>
          <w:rFonts w:hint="eastAsia" w:ascii="宋体" w:hAnsi="宋体" w:eastAsia="宋体" w:cs="宋体"/>
        </w:rPr>
        <w:t>分包</w:t>
      </w:r>
      <w:bookmarkEnd w:id="247"/>
      <w:bookmarkEnd w:id="248"/>
      <w:bookmarkEnd w:id="249"/>
      <w:r>
        <w:rPr>
          <w:rFonts w:ascii="宋体" w:hAnsi="宋体" w:eastAsia="宋体" w:cs="宋体"/>
        </w:rPr>
        <w:t xml:space="preserve"> </w:t>
      </w:r>
    </w:p>
    <w:p>
      <w:pPr>
        <w:pStyle w:val="66"/>
        <w:spacing w:afterLines="0"/>
        <w:ind w:left="0" w:firstLine="480" w:firstLineChars="200"/>
        <w:rPr>
          <w:rFonts w:cs="宋体"/>
          <w:szCs w:val="24"/>
        </w:rPr>
      </w:pPr>
      <w:bookmarkStart w:id="250" w:name="_Ref531952273"/>
      <w:r>
        <w:rPr>
          <w:rFonts w:cs="宋体"/>
          <w:szCs w:val="24"/>
        </w:rPr>
        <w:t xml:space="preserve">4.5.1 </w:t>
      </w:r>
      <w:r>
        <w:rPr>
          <w:rFonts w:hint="eastAsia" w:cs="宋体"/>
          <w:szCs w:val="24"/>
        </w:rPr>
        <w:t>一般约定</w:t>
      </w:r>
      <w:bookmarkEnd w:id="250"/>
    </w:p>
    <w:p>
      <w:pPr>
        <w:spacing w:line="360" w:lineRule="auto"/>
        <w:ind w:firstLine="480" w:firstLineChars="200"/>
        <w:rPr>
          <w:sz w:val="24"/>
          <w:szCs w:val="24"/>
        </w:rPr>
      </w:pPr>
      <w:r>
        <w:rPr>
          <w:rFonts w:hint="eastAsia"/>
          <w:sz w:val="24"/>
          <w:szCs w:val="24"/>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pPr>
        <w:pStyle w:val="66"/>
        <w:spacing w:afterLines="0"/>
        <w:ind w:left="0" w:firstLine="480" w:firstLineChars="200"/>
        <w:rPr>
          <w:rFonts w:cs="宋体"/>
          <w:szCs w:val="24"/>
        </w:rPr>
      </w:pPr>
      <w:bookmarkStart w:id="251" w:name="_Ref531952286"/>
      <w:r>
        <w:rPr>
          <w:rFonts w:cs="宋体"/>
          <w:szCs w:val="24"/>
        </w:rPr>
        <w:t xml:space="preserve">4.5.2 </w:t>
      </w:r>
      <w:r>
        <w:rPr>
          <w:rFonts w:hint="eastAsia" w:cs="宋体"/>
          <w:szCs w:val="24"/>
        </w:rPr>
        <w:t>分包的确定</w:t>
      </w:r>
      <w:bookmarkEnd w:id="251"/>
    </w:p>
    <w:p>
      <w:pPr>
        <w:spacing w:line="360" w:lineRule="auto"/>
        <w:ind w:firstLine="480" w:firstLineChars="200"/>
        <w:rPr>
          <w:sz w:val="24"/>
          <w:szCs w:val="24"/>
        </w:rPr>
      </w:pPr>
      <w:r>
        <w:rPr>
          <w:rFonts w:hint="eastAsia"/>
          <w:sz w:val="24"/>
          <w:szCs w:val="24"/>
        </w:rPr>
        <w:t>承包人应按照专用合同条件约定对工作事项进行分包，确定分包人。</w:t>
      </w:r>
    </w:p>
    <w:p>
      <w:pPr>
        <w:spacing w:line="360" w:lineRule="auto"/>
        <w:ind w:firstLine="480" w:firstLineChars="200"/>
        <w:rPr>
          <w:sz w:val="24"/>
          <w:szCs w:val="24"/>
        </w:rPr>
      </w:pPr>
      <w:r>
        <w:rPr>
          <w:rFonts w:hint="eastAsia"/>
          <w:sz w:val="24"/>
          <w:szCs w:val="24"/>
        </w:rPr>
        <w:t>专用合同条件未列出的分包事项，承包人可在工程实施阶段分批分期就分包事项向发包人提交申请，发包人在接到分包事项申请后的</w:t>
      </w:r>
      <w:r>
        <w:rPr>
          <w:sz w:val="24"/>
          <w:szCs w:val="24"/>
        </w:rPr>
        <w:t>14</w:t>
      </w:r>
      <w:r>
        <w:rPr>
          <w:rFonts w:hint="eastAsia"/>
          <w:sz w:val="24"/>
          <w:szCs w:val="24"/>
        </w:rPr>
        <w:t>天内，予以批准或提出意见。未经发包人同意，承包人不得将提出的拟分包事项对外分包。发包人未能在</w:t>
      </w:r>
      <w:r>
        <w:rPr>
          <w:sz w:val="24"/>
          <w:szCs w:val="24"/>
        </w:rPr>
        <w:t>14</w:t>
      </w:r>
      <w:r>
        <w:rPr>
          <w:rFonts w:hint="eastAsia"/>
          <w:sz w:val="24"/>
          <w:szCs w:val="24"/>
        </w:rPr>
        <w:t>天内批准亦未提出意见的，承包人有权将提出的拟分包事项对外分包，但应在分包人确定后通知发包人。</w:t>
      </w:r>
    </w:p>
    <w:p>
      <w:pPr>
        <w:pStyle w:val="66"/>
        <w:spacing w:afterLines="0"/>
        <w:ind w:left="0" w:firstLine="480" w:firstLineChars="200"/>
        <w:rPr>
          <w:rFonts w:cs="宋体"/>
          <w:szCs w:val="24"/>
        </w:rPr>
      </w:pPr>
      <w:r>
        <w:rPr>
          <w:rFonts w:cs="宋体"/>
          <w:szCs w:val="24"/>
        </w:rPr>
        <w:t xml:space="preserve">4.5.3 </w:t>
      </w:r>
      <w:r>
        <w:rPr>
          <w:rFonts w:hint="eastAsia" w:cs="宋体"/>
          <w:szCs w:val="24"/>
        </w:rPr>
        <w:t>分包人资质</w:t>
      </w:r>
    </w:p>
    <w:p>
      <w:pPr>
        <w:spacing w:line="360" w:lineRule="auto"/>
        <w:ind w:firstLine="480" w:firstLineChars="200"/>
        <w:rPr>
          <w:sz w:val="24"/>
          <w:szCs w:val="24"/>
        </w:rPr>
      </w:pPr>
      <w:r>
        <w:rPr>
          <w:rFonts w:hint="eastAsia"/>
          <w:sz w:val="24"/>
          <w:szCs w:val="24"/>
        </w:rPr>
        <w:t>分包人应符合国家法律规定的资质等级，否则不能作为分包人。承包人有义务对分包人的资质进行审查。</w:t>
      </w:r>
    </w:p>
    <w:p>
      <w:pPr>
        <w:pStyle w:val="66"/>
        <w:spacing w:afterLines="0"/>
        <w:ind w:left="0" w:firstLine="480" w:firstLineChars="200"/>
        <w:rPr>
          <w:rFonts w:cs="宋体"/>
          <w:szCs w:val="24"/>
        </w:rPr>
      </w:pPr>
      <w:r>
        <w:rPr>
          <w:rFonts w:cs="宋体"/>
          <w:szCs w:val="24"/>
        </w:rPr>
        <w:t xml:space="preserve">4.5.4 </w:t>
      </w:r>
      <w:r>
        <w:rPr>
          <w:rFonts w:hint="eastAsia" w:cs="宋体"/>
          <w:szCs w:val="24"/>
        </w:rPr>
        <w:t>分包管理</w:t>
      </w:r>
    </w:p>
    <w:p>
      <w:pPr>
        <w:spacing w:line="360" w:lineRule="auto"/>
        <w:ind w:firstLine="480" w:firstLineChars="200"/>
        <w:rPr>
          <w:sz w:val="24"/>
          <w:szCs w:val="24"/>
        </w:rPr>
      </w:pPr>
      <w:r>
        <w:rPr>
          <w:rFonts w:hint="eastAsia"/>
          <w:sz w:val="24"/>
          <w:szCs w:val="24"/>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pPr>
        <w:pStyle w:val="66"/>
        <w:spacing w:afterLines="0"/>
        <w:ind w:left="0" w:firstLine="480" w:firstLineChars="200"/>
        <w:rPr>
          <w:rFonts w:cs="宋体"/>
          <w:szCs w:val="24"/>
        </w:rPr>
      </w:pPr>
      <w:bookmarkStart w:id="252" w:name="_Ref531952298"/>
      <w:r>
        <w:rPr>
          <w:rFonts w:cs="宋体"/>
          <w:szCs w:val="24"/>
        </w:rPr>
        <w:t xml:space="preserve">4.5.5 </w:t>
      </w:r>
      <w:r>
        <w:rPr>
          <w:rFonts w:hint="eastAsia" w:cs="宋体"/>
          <w:szCs w:val="24"/>
        </w:rPr>
        <w:t>分包合同价款支付</w:t>
      </w:r>
      <w:bookmarkEnd w:id="252"/>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除本项第（</w:t>
      </w:r>
      <w:r>
        <w:rPr>
          <w:sz w:val="24"/>
          <w:szCs w:val="24"/>
        </w:rPr>
        <w:t>2</w:t>
      </w:r>
      <w:r>
        <w:rPr>
          <w:rFonts w:hint="eastAsia"/>
          <w:sz w:val="24"/>
          <w:szCs w:val="24"/>
        </w:rPr>
        <w:t>）目约定的情况或专用合同条件另有约定外，分包合同价款由承包人与分包人结算，未经承包人同意，发包人不得向分包人支付分包合同价款；</w:t>
      </w:r>
    </w:p>
    <w:p>
      <w:pPr>
        <w:spacing w:line="360" w:lineRule="auto"/>
        <w:ind w:firstLine="480" w:firstLineChars="200"/>
        <w:rPr>
          <w:sz w:val="24"/>
          <w:szCs w:val="24"/>
        </w:rPr>
      </w:pPr>
      <w:bookmarkStart w:id="253" w:name="_Ref4613798"/>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生效法律文书要求发包人向分包人支付分包合同价款的，发包人有权从应付承包人工程款中扣除该部分款项</w:t>
      </w:r>
      <w:bookmarkEnd w:id="253"/>
      <w:r>
        <w:rPr>
          <w:rFonts w:hint="eastAsia"/>
          <w:sz w:val="24"/>
          <w:szCs w:val="24"/>
        </w:rPr>
        <w:t>，将扣款直接支付给分包人，并书面通知承包人。</w:t>
      </w:r>
    </w:p>
    <w:p>
      <w:pPr>
        <w:pStyle w:val="66"/>
        <w:spacing w:afterLines="0"/>
        <w:ind w:left="0" w:firstLine="480" w:firstLineChars="200"/>
        <w:rPr>
          <w:rFonts w:cs="宋体"/>
          <w:szCs w:val="24"/>
        </w:rPr>
      </w:pPr>
      <w:r>
        <w:rPr>
          <w:rFonts w:cs="宋体"/>
          <w:szCs w:val="24"/>
        </w:rPr>
        <w:t xml:space="preserve">4.5.6 </w:t>
      </w:r>
      <w:r>
        <w:rPr>
          <w:rFonts w:hint="eastAsia" w:cs="宋体"/>
          <w:szCs w:val="24"/>
        </w:rPr>
        <w:t>责任承担</w:t>
      </w:r>
    </w:p>
    <w:p>
      <w:pPr>
        <w:spacing w:line="360" w:lineRule="auto"/>
        <w:ind w:firstLine="480" w:firstLineChars="200"/>
        <w:rPr>
          <w:sz w:val="24"/>
          <w:szCs w:val="24"/>
        </w:rPr>
      </w:pPr>
      <w:r>
        <w:rPr>
          <w:rFonts w:hint="eastAsia"/>
          <w:sz w:val="24"/>
          <w:szCs w:val="24"/>
        </w:rPr>
        <w:t>承包人对分包人的行为向发包人负责，承包人和分包人就分包工作向发包人承担连带责任。</w:t>
      </w:r>
    </w:p>
    <w:p>
      <w:pPr>
        <w:pStyle w:val="65"/>
        <w:widowControl/>
        <w:spacing w:afterLines="0"/>
        <w:ind w:left="0" w:firstLine="480" w:firstLineChars="200"/>
        <w:rPr>
          <w:rFonts w:ascii="宋体" w:hAnsi="宋体" w:eastAsia="宋体" w:cs="宋体"/>
          <w:b w:val="0"/>
          <w:bCs/>
        </w:rPr>
      </w:pPr>
      <w:bookmarkStart w:id="254" w:name="_Toc54862217"/>
      <w:bookmarkStart w:id="255" w:name="_Ref4426916"/>
      <w:bookmarkStart w:id="256" w:name="_Ref4768805"/>
      <w:bookmarkStart w:id="257" w:name="_Ref531952317"/>
      <w:bookmarkStart w:id="258" w:name="_Ref531952321"/>
      <w:r>
        <w:rPr>
          <w:rFonts w:ascii="宋体" w:hAnsi="宋体" w:eastAsia="宋体" w:cs="宋体"/>
          <w:b w:val="0"/>
          <w:bCs/>
        </w:rPr>
        <w:t xml:space="preserve">4.6 </w:t>
      </w:r>
      <w:r>
        <w:rPr>
          <w:rFonts w:hint="eastAsia" w:ascii="宋体" w:hAnsi="宋体" w:eastAsia="宋体" w:cs="宋体"/>
          <w:b w:val="0"/>
          <w:bCs/>
        </w:rPr>
        <w:t>联合体</w:t>
      </w:r>
      <w:bookmarkEnd w:id="254"/>
      <w:bookmarkEnd w:id="255"/>
    </w:p>
    <w:p>
      <w:pPr>
        <w:pStyle w:val="66"/>
        <w:spacing w:afterLines="0"/>
        <w:ind w:left="0" w:firstLine="480" w:firstLineChars="200"/>
        <w:rPr>
          <w:rFonts w:cs="宋体"/>
          <w:szCs w:val="24"/>
        </w:rPr>
      </w:pPr>
      <w:bookmarkStart w:id="259" w:name="_Hlk16235129"/>
      <w:r>
        <w:rPr>
          <w:rFonts w:cs="宋体"/>
          <w:szCs w:val="24"/>
        </w:rPr>
        <w:t xml:space="preserve">4.6.1 </w:t>
      </w:r>
      <w:r>
        <w:rPr>
          <w:rFonts w:hint="eastAsia" w:cs="宋体"/>
          <w:szCs w:val="24"/>
        </w:rPr>
        <w:t>经发包人同意，</w:t>
      </w:r>
      <w:bookmarkEnd w:id="259"/>
      <w:r>
        <w:rPr>
          <w:rFonts w:hint="eastAsia" w:cs="宋体"/>
          <w:szCs w:val="24"/>
        </w:rPr>
        <w:t>以联合体方式承包工程的，联合体各方应共同与发包人订立合同协议书。联合体各方应为履行合同向发包人承担连带责任。</w:t>
      </w:r>
    </w:p>
    <w:p>
      <w:pPr>
        <w:pStyle w:val="66"/>
        <w:spacing w:afterLines="0"/>
        <w:ind w:left="0" w:firstLine="480" w:firstLineChars="200"/>
        <w:rPr>
          <w:rFonts w:cs="宋体"/>
          <w:szCs w:val="24"/>
        </w:rPr>
      </w:pPr>
      <w:r>
        <w:rPr>
          <w:rFonts w:cs="宋体"/>
          <w:szCs w:val="24"/>
        </w:rPr>
        <w:t xml:space="preserve">4.6.2 </w:t>
      </w:r>
      <w:r>
        <w:rPr>
          <w:rFonts w:hint="eastAsia" w:cs="宋体"/>
          <w:szCs w:val="24"/>
        </w:rPr>
        <w:t>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pPr>
        <w:pStyle w:val="66"/>
        <w:spacing w:afterLines="0"/>
        <w:ind w:left="0" w:firstLine="480" w:firstLineChars="200"/>
        <w:rPr>
          <w:rFonts w:cs="宋体"/>
          <w:szCs w:val="24"/>
        </w:rPr>
      </w:pPr>
      <w:r>
        <w:rPr>
          <w:rFonts w:cs="宋体"/>
          <w:szCs w:val="24"/>
        </w:rPr>
        <w:t xml:space="preserve">4.6.3 </w:t>
      </w:r>
      <w:r>
        <w:rPr>
          <w:rFonts w:hint="eastAsia" w:cs="宋体"/>
          <w:szCs w:val="24"/>
        </w:rPr>
        <w:t>联合体协议经发包人确认后作为合同附件。在履行合同过程中，未经发包人同意，不得变更联合体成员和其负责的工作范围，或者修改联合体协议中与本合同履行相关的内容。</w:t>
      </w:r>
    </w:p>
    <w:p>
      <w:pPr>
        <w:pStyle w:val="65"/>
        <w:widowControl/>
        <w:spacing w:afterLines="0"/>
        <w:ind w:left="0" w:firstLine="482" w:firstLineChars="200"/>
        <w:rPr>
          <w:rFonts w:ascii="宋体" w:hAnsi="宋体" w:eastAsia="宋体" w:cs="宋体"/>
        </w:rPr>
      </w:pPr>
      <w:bookmarkStart w:id="260" w:name="_Toc54862218"/>
      <w:bookmarkStart w:id="261" w:name="_Ref11926629"/>
      <w:bookmarkStart w:id="262" w:name="_Ref11926631"/>
      <w:r>
        <w:rPr>
          <w:rFonts w:ascii="宋体" w:hAnsi="宋体" w:eastAsia="宋体" w:cs="宋体"/>
        </w:rPr>
        <w:t xml:space="preserve">4.7 </w:t>
      </w:r>
      <w:r>
        <w:rPr>
          <w:rFonts w:hint="eastAsia" w:ascii="宋体" w:hAnsi="宋体" w:eastAsia="宋体" w:cs="宋体"/>
        </w:rPr>
        <w:t>承包人现场查勘</w:t>
      </w:r>
      <w:bookmarkEnd w:id="260"/>
      <w:bookmarkEnd w:id="261"/>
      <w:bookmarkEnd w:id="262"/>
    </w:p>
    <w:p>
      <w:pPr>
        <w:pStyle w:val="66"/>
        <w:spacing w:afterLines="0"/>
        <w:ind w:left="0" w:firstLine="480" w:firstLineChars="200"/>
        <w:rPr>
          <w:rFonts w:cs="宋体"/>
          <w:szCs w:val="24"/>
        </w:rPr>
      </w:pPr>
      <w:r>
        <w:rPr>
          <w:rFonts w:cs="宋体"/>
          <w:szCs w:val="24"/>
        </w:rPr>
        <w:t xml:space="preserve">4.7.1 </w:t>
      </w:r>
      <w:r>
        <w:rPr>
          <w:rFonts w:hint="eastAsia" w:cs="宋体"/>
          <w:szCs w:val="24"/>
        </w:rPr>
        <w:t>除专用合同条件另有约定外，承包人应对基于发包人提交的基础资料所做出的解释和推断负责，因基础资料存在错误、遗漏导致承包人解释或推断失实的，按照第</w:t>
      </w:r>
      <w:r>
        <w:rPr>
          <w:rFonts w:cs="宋体"/>
          <w:szCs w:val="24"/>
        </w:rPr>
        <w:t>2.3</w:t>
      </w:r>
      <w:r>
        <w:rPr>
          <w:rFonts w:hint="eastAsia" w:cs="宋体"/>
          <w:szCs w:val="24"/>
        </w:rPr>
        <w:t>项</w:t>
      </w:r>
      <w:r>
        <w:rPr>
          <w:rFonts w:cs="宋体"/>
          <w:szCs w:val="24"/>
        </w:rPr>
        <w:t>[</w:t>
      </w:r>
      <w:r>
        <w:rPr>
          <w:rFonts w:hint="eastAsia" w:cs="宋体"/>
          <w:szCs w:val="24"/>
        </w:rPr>
        <w:t>提供基础资料</w:t>
      </w:r>
      <w:r>
        <w:rPr>
          <w:rFonts w:cs="宋体"/>
          <w:szCs w:val="24"/>
        </w:rPr>
        <w:t>]</w:t>
      </w:r>
      <w:r>
        <w:rPr>
          <w:rFonts w:hint="eastAsia" w:cs="宋体"/>
          <w:szCs w:val="24"/>
        </w:rPr>
        <w:t>的规定承担责任。承包人发现基础资料中存在明显错误或疏忽的，应及时书面通知发包人。</w:t>
      </w:r>
    </w:p>
    <w:p>
      <w:pPr>
        <w:pStyle w:val="66"/>
        <w:spacing w:afterLines="0"/>
        <w:ind w:left="0" w:firstLine="480" w:firstLineChars="200"/>
        <w:rPr>
          <w:rFonts w:cs="宋体"/>
          <w:szCs w:val="24"/>
        </w:rPr>
      </w:pPr>
      <w:r>
        <w:rPr>
          <w:rFonts w:cs="宋体"/>
          <w:szCs w:val="24"/>
        </w:rPr>
        <w:t xml:space="preserve">4.7.2 </w:t>
      </w:r>
      <w:r>
        <w:rPr>
          <w:rFonts w:hint="eastAsia" w:cs="宋体"/>
          <w:szCs w:val="24"/>
        </w:rPr>
        <w:t>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w:t>
      </w:r>
      <w:r>
        <w:rPr>
          <w:rFonts w:cs="宋体"/>
          <w:szCs w:val="24"/>
        </w:rPr>
        <w:t>4.8</w:t>
      </w:r>
      <w:r>
        <w:rPr>
          <w:rFonts w:hint="eastAsia" w:cs="宋体"/>
          <w:szCs w:val="24"/>
        </w:rPr>
        <w:t>款</w:t>
      </w:r>
      <w:r>
        <w:rPr>
          <w:rFonts w:cs="宋体"/>
          <w:szCs w:val="24"/>
        </w:rPr>
        <w:t>[</w:t>
      </w:r>
      <w:r>
        <w:rPr>
          <w:rFonts w:hint="eastAsia" w:cs="宋体"/>
          <w:szCs w:val="24"/>
        </w:rPr>
        <w:t>不可预见的困难</w:t>
      </w:r>
      <w:r>
        <w:rPr>
          <w:rFonts w:cs="宋体"/>
          <w:szCs w:val="24"/>
        </w:rPr>
        <w:t>]</w:t>
      </w:r>
      <w:r>
        <w:rPr>
          <w:rFonts w:hint="eastAsia" w:cs="宋体"/>
          <w:szCs w:val="24"/>
        </w:rPr>
        <w:t>约定的情形除外。</w:t>
      </w:r>
    </w:p>
    <w:p>
      <w:pPr>
        <w:pStyle w:val="65"/>
        <w:widowControl/>
        <w:spacing w:afterLines="0"/>
        <w:ind w:left="0" w:firstLine="482" w:firstLineChars="200"/>
        <w:rPr>
          <w:rFonts w:ascii="宋体" w:hAnsi="宋体" w:eastAsia="宋体" w:cs="宋体"/>
          <w:b w:val="0"/>
          <w:bCs/>
        </w:rPr>
      </w:pPr>
      <w:bookmarkStart w:id="263" w:name="_Ref11918626"/>
      <w:bookmarkStart w:id="264" w:name="_Toc54862219"/>
      <w:bookmarkStart w:id="265" w:name="_Ref11918693"/>
      <w:bookmarkStart w:id="266" w:name="不可预见的困难"/>
      <w:bookmarkStart w:id="267" w:name="_Ref11918789"/>
      <w:r>
        <w:rPr>
          <w:rFonts w:ascii="宋体" w:hAnsi="宋体" w:eastAsia="宋体" w:cs="宋体"/>
        </w:rPr>
        <w:t xml:space="preserve">4.8 </w:t>
      </w:r>
      <w:r>
        <w:rPr>
          <w:rFonts w:hint="eastAsia" w:ascii="宋体" w:hAnsi="宋体" w:eastAsia="宋体" w:cs="宋体"/>
        </w:rPr>
        <w:t>不可预见的困难</w:t>
      </w:r>
      <w:bookmarkEnd w:id="256"/>
      <w:bookmarkEnd w:id="257"/>
      <w:bookmarkEnd w:id="258"/>
      <w:bookmarkEnd w:id="263"/>
      <w:bookmarkEnd w:id="264"/>
      <w:bookmarkEnd w:id="265"/>
      <w:bookmarkEnd w:id="266"/>
      <w:bookmarkEnd w:id="267"/>
      <w:r>
        <w:rPr>
          <w:rFonts w:ascii="宋体" w:hAnsi="宋体" w:eastAsia="宋体" w:cs="宋体"/>
        </w:rPr>
        <w:t xml:space="preserve"> </w:t>
      </w:r>
    </w:p>
    <w:p>
      <w:pPr>
        <w:spacing w:line="360" w:lineRule="auto"/>
        <w:ind w:firstLine="480" w:firstLineChars="200"/>
        <w:rPr>
          <w:sz w:val="24"/>
          <w:szCs w:val="24"/>
        </w:rPr>
      </w:pPr>
      <w:r>
        <w:rPr>
          <w:rFonts w:hint="eastAsia"/>
          <w:sz w:val="24"/>
          <w:szCs w:val="24"/>
        </w:rPr>
        <w:t>不可预见的困难是指有经验的承包人在施工现场遇到的不可预见的自然物质条件、非自然的物质障碍和污染物，包括地表以下物质条件和水文条件以及专用合同条件约定的其他情形，但不包括气候条件。</w:t>
      </w:r>
    </w:p>
    <w:p>
      <w:pPr>
        <w:spacing w:line="360" w:lineRule="auto"/>
        <w:ind w:firstLine="480" w:firstLineChars="200"/>
        <w:rPr>
          <w:sz w:val="24"/>
          <w:szCs w:val="24"/>
        </w:rPr>
      </w:pPr>
      <w:r>
        <w:rPr>
          <w:rFonts w:hint="eastAsia"/>
          <w:sz w:val="24"/>
          <w:szCs w:val="24"/>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约定执行。承包人因采取合理措施而增加的费用和（或）延误的工期由发包人承担。</w:t>
      </w:r>
    </w:p>
    <w:p>
      <w:pPr>
        <w:pStyle w:val="65"/>
        <w:widowControl/>
        <w:spacing w:afterLines="0"/>
        <w:ind w:left="0" w:firstLine="482" w:firstLineChars="200"/>
        <w:rPr>
          <w:rFonts w:ascii="宋体" w:hAnsi="宋体" w:eastAsia="宋体" w:cs="宋体"/>
        </w:rPr>
      </w:pPr>
      <w:bookmarkStart w:id="268" w:name="_Toc54862220"/>
      <w:bookmarkStart w:id="269" w:name="_Ref11926566"/>
      <w:bookmarkStart w:id="270" w:name="_Ref11926570"/>
      <w:r>
        <w:rPr>
          <w:rFonts w:ascii="宋体" w:hAnsi="宋体" w:eastAsia="宋体" w:cs="宋体"/>
        </w:rPr>
        <w:t xml:space="preserve">4.9 </w:t>
      </w:r>
      <w:r>
        <w:rPr>
          <w:rFonts w:hint="eastAsia" w:ascii="宋体" w:hAnsi="宋体" w:eastAsia="宋体" w:cs="宋体"/>
        </w:rPr>
        <w:t>工程质量管理</w:t>
      </w:r>
      <w:bookmarkEnd w:id="268"/>
      <w:bookmarkEnd w:id="269"/>
      <w:bookmarkEnd w:id="270"/>
    </w:p>
    <w:p>
      <w:pPr>
        <w:pStyle w:val="66"/>
        <w:spacing w:afterLines="0"/>
        <w:ind w:left="0" w:firstLine="480" w:firstLineChars="200"/>
        <w:rPr>
          <w:rFonts w:cs="宋体"/>
          <w:szCs w:val="24"/>
        </w:rPr>
      </w:pPr>
      <w:r>
        <w:rPr>
          <w:rFonts w:cs="宋体"/>
          <w:szCs w:val="24"/>
        </w:rPr>
        <w:t xml:space="preserve">4.9.1 </w:t>
      </w:r>
      <w:r>
        <w:rPr>
          <w:rFonts w:hint="eastAsia" w:cs="宋体"/>
          <w:szCs w:val="24"/>
        </w:rPr>
        <w:t>承包人应按合同约定的质量标准规范，建立有效的质量管理系统，确保设计、采购、加工制造、施工、竣工试验等各项工作的质量，并按照国家有关规定，通过质量保修责任书的形式约定保修范围、保修期限和保修责任。</w:t>
      </w:r>
    </w:p>
    <w:p>
      <w:pPr>
        <w:pStyle w:val="66"/>
        <w:spacing w:afterLines="0"/>
        <w:ind w:left="0" w:firstLine="480" w:firstLineChars="200"/>
        <w:rPr>
          <w:rFonts w:cs="宋体"/>
          <w:szCs w:val="24"/>
        </w:rPr>
      </w:pPr>
      <w:r>
        <w:rPr>
          <w:rFonts w:cs="宋体"/>
          <w:szCs w:val="24"/>
        </w:rPr>
        <w:t xml:space="preserve">4.9.2 </w:t>
      </w:r>
      <w:r>
        <w:rPr>
          <w:rFonts w:hint="eastAsia" w:cs="宋体"/>
          <w:szCs w:val="24"/>
        </w:rPr>
        <w:t>承包人按照第</w:t>
      </w:r>
      <w:r>
        <w:rPr>
          <w:rFonts w:cs="宋体"/>
          <w:szCs w:val="24"/>
        </w:rPr>
        <w:t>8.4</w:t>
      </w:r>
      <w:r>
        <w:rPr>
          <w:rFonts w:hint="eastAsia" w:cs="宋体"/>
          <w:szCs w:val="24"/>
        </w:rPr>
        <w:t>款</w:t>
      </w:r>
      <w:r>
        <w:rPr>
          <w:rFonts w:cs="宋体"/>
          <w:szCs w:val="24"/>
        </w:rPr>
        <w:t>[</w:t>
      </w:r>
      <w:r>
        <w:rPr>
          <w:rFonts w:hint="eastAsia" w:cs="宋体"/>
          <w:szCs w:val="24"/>
        </w:rPr>
        <w:t>项目进度计划</w:t>
      </w:r>
      <w:r>
        <w:rPr>
          <w:rFonts w:cs="宋体"/>
          <w:szCs w:val="24"/>
        </w:rPr>
        <w:t>]</w:t>
      </w:r>
      <w:r>
        <w:rPr>
          <w:rFonts w:hint="eastAsia" w:cs="宋体"/>
          <w:szCs w:val="24"/>
        </w:rPr>
        <w:t>约定向工程师提交工程质量保证体系及措施文件，建立完善的质量检查制度，并提交相应的工程质量文件。对于发包人和工程师违反法律规定和合同约定的错误指示，承包人有权拒绝实施。</w:t>
      </w:r>
    </w:p>
    <w:p>
      <w:pPr>
        <w:pStyle w:val="66"/>
        <w:spacing w:afterLines="0"/>
        <w:ind w:left="0" w:firstLine="480" w:firstLineChars="200"/>
        <w:rPr>
          <w:rFonts w:cs="宋体"/>
          <w:szCs w:val="24"/>
        </w:rPr>
      </w:pPr>
      <w:r>
        <w:rPr>
          <w:rFonts w:cs="宋体"/>
          <w:szCs w:val="24"/>
        </w:rPr>
        <w:t xml:space="preserve">4.9.3 </w:t>
      </w:r>
      <w:r>
        <w:rPr>
          <w:rFonts w:hint="eastAsia" w:cs="宋体"/>
          <w:szCs w:val="24"/>
        </w:rPr>
        <w:t>承包人应对其人员进行质量教育和技术培训，定期考核人员的劳动技能，严格执行相关规范和操作规程。</w:t>
      </w:r>
    </w:p>
    <w:p>
      <w:pPr>
        <w:pStyle w:val="66"/>
        <w:spacing w:afterLines="0"/>
        <w:ind w:left="0" w:firstLine="480" w:firstLineChars="200"/>
        <w:rPr>
          <w:rFonts w:cs="宋体"/>
          <w:szCs w:val="24"/>
        </w:rPr>
      </w:pPr>
      <w:r>
        <w:rPr>
          <w:rFonts w:cs="宋体"/>
          <w:szCs w:val="24"/>
        </w:rPr>
        <w:t xml:space="preserve">4.9.4 </w:t>
      </w:r>
      <w:r>
        <w:rPr>
          <w:rFonts w:hint="eastAsia" w:cs="宋体"/>
          <w:szCs w:val="24"/>
        </w:rPr>
        <w:t>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pStyle w:val="64"/>
        <w:numPr>
          <w:ilvl w:val="0"/>
          <w:numId w:val="0"/>
        </w:numPr>
        <w:spacing w:before="0"/>
        <w:ind w:firstLine="482" w:firstLineChars="200"/>
        <w:rPr>
          <w:rFonts w:ascii="宋体"/>
          <w:b/>
          <w:sz w:val="24"/>
          <w:szCs w:val="24"/>
        </w:rPr>
      </w:pPr>
      <w:bookmarkStart w:id="271" w:name="_Ref531952837"/>
      <w:bookmarkStart w:id="272" w:name="_Toc54862221"/>
      <w:r>
        <w:rPr>
          <w:rFonts w:hint="eastAsia" w:ascii="宋体" w:hAnsi="宋体"/>
          <w:b/>
          <w:sz w:val="24"/>
          <w:szCs w:val="24"/>
        </w:rPr>
        <w:t>第</w:t>
      </w:r>
      <w:r>
        <w:rPr>
          <w:rFonts w:ascii="宋体" w:hAnsi="宋体"/>
          <w:b/>
          <w:sz w:val="24"/>
          <w:szCs w:val="24"/>
        </w:rPr>
        <w:t>5</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设计</w:t>
      </w:r>
      <w:bookmarkEnd w:id="271"/>
      <w:bookmarkEnd w:id="272"/>
    </w:p>
    <w:p>
      <w:pPr>
        <w:pStyle w:val="65"/>
        <w:widowControl/>
        <w:spacing w:afterLines="0"/>
        <w:ind w:left="0" w:firstLine="482" w:firstLineChars="200"/>
        <w:rPr>
          <w:rFonts w:ascii="宋体" w:hAnsi="宋体" w:eastAsia="宋体" w:cs="宋体"/>
          <w:b w:val="0"/>
          <w:bCs/>
        </w:rPr>
      </w:pPr>
      <w:bookmarkStart w:id="273" w:name="_Toc54862222"/>
      <w:bookmarkStart w:id="274" w:name="_Ref531952863"/>
      <w:bookmarkStart w:id="275" w:name="_Ref531952860"/>
      <w:r>
        <w:rPr>
          <w:rFonts w:ascii="宋体" w:hAnsi="宋体" w:eastAsia="宋体" w:cs="宋体"/>
        </w:rPr>
        <w:t xml:space="preserve">5.1 </w:t>
      </w:r>
      <w:r>
        <w:rPr>
          <w:rFonts w:hint="eastAsia" w:ascii="宋体" w:hAnsi="宋体" w:eastAsia="宋体" w:cs="宋体"/>
        </w:rPr>
        <w:t>承包人的设计义务</w:t>
      </w:r>
      <w:bookmarkEnd w:id="273"/>
      <w:bookmarkEnd w:id="274"/>
      <w:bookmarkEnd w:id="275"/>
      <w:r>
        <w:rPr>
          <w:rFonts w:ascii="宋体" w:hAnsi="宋体" w:eastAsia="宋体" w:cs="宋体"/>
        </w:rPr>
        <w:t xml:space="preserve"> </w:t>
      </w:r>
    </w:p>
    <w:p>
      <w:pPr>
        <w:pStyle w:val="66"/>
        <w:spacing w:afterLines="0"/>
        <w:ind w:left="0" w:firstLine="480" w:firstLineChars="200"/>
        <w:rPr>
          <w:rFonts w:cs="宋体"/>
          <w:szCs w:val="24"/>
        </w:rPr>
      </w:pPr>
      <w:bookmarkStart w:id="276" w:name="_Ref531952881"/>
      <w:r>
        <w:rPr>
          <w:rFonts w:cs="宋体"/>
          <w:szCs w:val="24"/>
        </w:rPr>
        <w:t xml:space="preserve">5.1.1 </w:t>
      </w:r>
      <w:r>
        <w:rPr>
          <w:rFonts w:hint="eastAsia" w:cs="宋体"/>
          <w:szCs w:val="24"/>
        </w:rPr>
        <w:t>设计义务的一般要求</w:t>
      </w:r>
      <w:bookmarkEnd w:id="276"/>
    </w:p>
    <w:p>
      <w:pPr>
        <w:spacing w:line="360" w:lineRule="auto"/>
        <w:ind w:firstLine="480" w:firstLineChars="200"/>
        <w:rPr>
          <w:sz w:val="24"/>
          <w:szCs w:val="24"/>
        </w:rPr>
      </w:pPr>
      <w:r>
        <w:rPr>
          <w:rFonts w:hint="eastAsia"/>
          <w:sz w:val="24"/>
          <w:szCs w:val="24"/>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pPr>
        <w:pStyle w:val="66"/>
        <w:spacing w:afterLines="0"/>
        <w:ind w:left="0" w:firstLine="480" w:firstLineChars="200"/>
        <w:rPr>
          <w:rFonts w:cs="宋体"/>
          <w:szCs w:val="24"/>
        </w:rPr>
      </w:pPr>
      <w:bookmarkStart w:id="277" w:name="_Ref531952952"/>
      <w:bookmarkStart w:id="278" w:name="_Ref531952899"/>
      <w:r>
        <w:rPr>
          <w:rFonts w:cs="宋体"/>
          <w:szCs w:val="24"/>
        </w:rPr>
        <w:t xml:space="preserve">5.1.2 </w:t>
      </w:r>
      <w:r>
        <w:rPr>
          <w:rFonts w:hint="eastAsia" w:cs="宋体"/>
          <w:szCs w:val="24"/>
        </w:rPr>
        <w:t>对设计人员的要求</w:t>
      </w:r>
      <w:bookmarkEnd w:id="277"/>
    </w:p>
    <w:p>
      <w:pPr>
        <w:spacing w:line="360" w:lineRule="auto"/>
        <w:ind w:firstLine="480" w:firstLineChars="200"/>
        <w:rPr>
          <w:sz w:val="24"/>
          <w:szCs w:val="24"/>
        </w:rPr>
      </w:pPr>
      <w:r>
        <w:rPr>
          <w:rFonts w:hint="eastAsia"/>
          <w:sz w:val="24"/>
          <w:szCs w:val="24"/>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bookmarkEnd w:id="278"/>
    <w:p>
      <w:pPr>
        <w:pStyle w:val="66"/>
        <w:spacing w:afterLines="0"/>
        <w:ind w:left="0" w:firstLine="480" w:firstLineChars="200"/>
        <w:rPr>
          <w:rFonts w:cs="宋体"/>
          <w:szCs w:val="24"/>
        </w:rPr>
      </w:pPr>
      <w:r>
        <w:rPr>
          <w:rFonts w:cs="宋体"/>
          <w:szCs w:val="24"/>
        </w:rPr>
        <w:t xml:space="preserve">5.1.3 </w:t>
      </w:r>
      <w:r>
        <w:rPr>
          <w:rFonts w:hint="eastAsia" w:cs="宋体"/>
          <w:szCs w:val="24"/>
        </w:rPr>
        <w:t>法律和标准的变化</w:t>
      </w:r>
    </w:p>
    <w:p>
      <w:pPr>
        <w:spacing w:line="360" w:lineRule="auto"/>
        <w:ind w:firstLine="480" w:firstLineChars="200"/>
        <w:rPr>
          <w:sz w:val="24"/>
          <w:szCs w:val="24"/>
        </w:rPr>
      </w:pPr>
      <w:r>
        <w:rPr>
          <w:rFonts w:hint="eastAsia"/>
          <w:sz w:val="24"/>
          <w:szCs w:val="24"/>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w:t>
      </w:r>
      <w:r>
        <w:rPr>
          <w:sz w:val="24"/>
          <w:szCs w:val="24"/>
        </w:rPr>
        <w:t>7</w:t>
      </w:r>
      <w:r>
        <w:rPr>
          <w:rFonts w:hint="eastAsia"/>
          <w:sz w:val="24"/>
          <w:szCs w:val="24"/>
        </w:rPr>
        <w:t>天内发出是否遵守新规定的指示。如果该项建议构成变更的，按照第</w:t>
      </w:r>
      <w:r>
        <w:rPr>
          <w:sz w:val="24"/>
          <w:szCs w:val="24"/>
        </w:rPr>
        <w:t>13.2</w:t>
      </w:r>
      <w:r>
        <w:rPr>
          <w:rFonts w:hint="eastAsia"/>
          <w:sz w:val="24"/>
          <w:szCs w:val="24"/>
        </w:rPr>
        <w:t>款</w:t>
      </w:r>
      <w:r>
        <w:rPr>
          <w:sz w:val="24"/>
          <w:szCs w:val="24"/>
        </w:rPr>
        <w:t>[</w:t>
      </w:r>
      <w:r>
        <w:rPr>
          <w:rFonts w:hint="eastAsia"/>
          <w:sz w:val="24"/>
          <w:szCs w:val="24"/>
        </w:rPr>
        <w:t>承包人的合理化建议</w:t>
      </w:r>
      <w:r>
        <w:rPr>
          <w:sz w:val="24"/>
          <w:szCs w:val="24"/>
        </w:rPr>
        <w:t>]</w:t>
      </w:r>
      <w:r>
        <w:rPr>
          <w:rFonts w:hint="eastAsia"/>
          <w:sz w:val="24"/>
          <w:szCs w:val="24"/>
        </w:rPr>
        <w:t>的约定执行。</w:t>
      </w:r>
    </w:p>
    <w:p>
      <w:pPr>
        <w:spacing w:line="360" w:lineRule="auto"/>
        <w:ind w:firstLine="480" w:firstLineChars="200"/>
        <w:rPr>
          <w:sz w:val="24"/>
          <w:szCs w:val="24"/>
        </w:rPr>
      </w:pPr>
      <w:r>
        <w:rPr>
          <w:rFonts w:hint="eastAsia"/>
          <w:sz w:val="24"/>
          <w:szCs w:val="24"/>
        </w:rPr>
        <w:t>在基准日期之后，因国家颁布新的强制性规范、标准导致承包人的费用变化的，发包人应合理调整合同价格；导致工期延误的，发包人应合理延长工期。</w:t>
      </w:r>
    </w:p>
    <w:p>
      <w:pPr>
        <w:pStyle w:val="65"/>
        <w:widowControl/>
        <w:spacing w:afterLines="0"/>
        <w:ind w:left="0" w:firstLine="482" w:firstLineChars="200"/>
        <w:rPr>
          <w:rFonts w:ascii="宋体" w:hAnsi="宋体" w:eastAsia="宋体" w:cs="宋体"/>
        </w:rPr>
      </w:pPr>
      <w:bookmarkStart w:id="279" w:name="_Toc54862223"/>
      <w:bookmarkStart w:id="280" w:name="_Ref531953051"/>
      <w:bookmarkStart w:id="281" w:name="_Ref531953054"/>
      <w:r>
        <w:rPr>
          <w:rFonts w:ascii="宋体" w:hAnsi="宋体" w:eastAsia="宋体" w:cs="宋体"/>
        </w:rPr>
        <w:t xml:space="preserve">5.2 </w:t>
      </w:r>
      <w:r>
        <w:rPr>
          <w:rFonts w:hint="eastAsia" w:ascii="宋体" w:hAnsi="宋体" w:eastAsia="宋体" w:cs="宋体"/>
        </w:rPr>
        <w:t>承包人文件审查</w:t>
      </w:r>
      <w:bookmarkEnd w:id="279"/>
      <w:bookmarkEnd w:id="280"/>
      <w:bookmarkEnd w:id="281"/>
      <w:r>
        <w:rPr>
          <w:rFonts w:ascii="宋体" w:hAnsi="宋体" w:eastAsia="宋体" w:cs="宋体"/>
        </w:rPr>
        <w:t xml:space="preserve"> </w:t>
      </w:r>
    </w:p>
    <w:p>
      <w:pPr>
        <w:pStyle w:val="66"/>
        <w:spacing w:afterLines="0"/>
        <w:ind w:left="0" w:firstLine="480" w:firstLineChars="200"/>
        <w:rPr>
          <w:rFonts w:cs="宋体"/>
          <w:szCs w:val="24"/>
        </w:rPr>
      </w:pPr>
      <w:bookmarkStart w:id="282" w:name="_Ref531953064"/>
      <w:r>
        <w:rPr>
          <w:rFonts w:cs="宋体"/>
          <w:szCs w:val="24"/>
        </w:rPr>
        <w:t xml:space="preserve">5.2.1 </w:t>
      </w:r>
      <w:r>
        <w:rPr>
          <w:rFonts w:hint="eastAsia" w:cs="宋体"/>
          <w:szCs w:val="24"/>
        </w:rPr>
        <w:t>根据《发包人要求》应当通过工程师报发包人审查同意的承包人文件，承包人应当按照《发包人要求》约定的范围和内容及时报送审查。</w:t>
      </w:r>
      <w:bookmarkEnd w:id="282"/>
    </w:p>
    <w:p>
      <w:pPr>
        <w:spacing w:line="360" w:lineRule="auto"/>
        <w:ind w:firstLine="480" w:firstLineChars="200"/>
        <w:rPr>
          <w:sz w:val="24"/>
          <w:szCs w:val="24"/>
        </w:rPr>
      </w:pPr>
      <w:r>
        <w:rPr>
          <w:rFonts w:hint="eastAsia"/>
          <w:sz w:val="24"/>
          <w:szCs w:val="24"/>
        </w:rPr>
        <w:t>除专用合同条件另有约定外，自工程师收到承包人文件以及承包人的通知之日起，发包人对承包人文件审查期不超过</w:t>
      </w:r>
      <w:r>
        <w:rPr>
          <w:sz w:val="24"/>
          <w:szCs w:val="24"/>
        </w:rPr>
        <w:t>21</w:t>
      </w:r>
      <w:r>
        <w:rPr>
          <w:rFonts w:hint="eastAsia"/>
          <w:sz w:val="24"/>
          <w:szCs w:val="24"/>
        </w:rPr>
        <w:t>天。承包人的设计文件对于合同约定有偏离的，应在通知中说明。承包人需要修改已提交的承包人文件的，应立即通知工程师，并向工程师提交修改后的承包人文件，审查期重新起算。</w:t>
      </w:r>
    </w:p>
    <w:p>
      <w:pPr>
        <w:spacing w:line="360" w:lineRule="auto"/>
        <w:ind w:firstLine="480" w:firstLineChars="200"/>
        <w:rPr>
          <w:sz w:val="24"/>
          <w:szCs w:val="24"/>
        </w:rPr>
      </w:pPr>
      <w:r>
        <w:rPr>
          <w:rFonts w:hint="eastAsia"/>
          <w:sz w:val="24"/>
          <w:szCs w:val="24"/>
        </w:rPr>
        <w:t>发包人同意承包人文件的，应及时通知承包人，发包人不同意承包人文件的，应在审查期限内通过工程师以书面形式通知承包人，并说明不同意的具体内容和理由。</w:t>
      </w:r>
    </w:p>
    <w:p>
      <w:pPr>
        <w:spacing w:line="360" w:lineRule="auto"/>
        <w:ind w:firstLine="480" w:firstLineChars="200"/>
        <w:rPr>
          <w:sz w:val="24"/>
          <w:szCs w:val="24"/>
        </w:rPr>
      </w:pPr>
      <w:r>
        <w:rPr>
          <w:rFonts w:hint="eastAsia"/>
          <w:sz w:val="24"/>
          <w:szCs w:val="24"/>
        </w:rPr>
        <w:t>承包人对发包人的意见按以下方式处理：</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发包人的意见构成变更的，承包人应在</w:t>
      </w:r>
      <w:r>
        <w:rPr>
          <w:sz w:val="24"/>
          <w:szCs w:val="24"/>
        </w:rPr>
        <w:t>7</w:t>
      </w:r>
      <w:r>
        <w:rPr>
          <w:rFonts w:hint="eastAsia"/>
          <w:sz w:val="24"/>
          <w:szCs w:val="24"/>
        </w:rPr>
        <w:t>天内通知发包人按照第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中关于发包人指示变更的约定执行，双方对是否构成变更无法达成一致的，按照第</w:t>
      </w:r>
      <w:r>
        <w:rPr>
          <w:sz w:val="24"/>
          <w:szCs w:val="24"/>
        </w:rPr>
        <w:t>20</w:t>
      </w:r>
      <w:r>
        <w:rPr>
          <w:rFonts w:hint="eastAsia"/>
          <w:sz w:val="24"/>
          <w:szCs w:val="24"/>
        </w:rPr>
        <w:t>条</w:t>
      </w:r>
      <w:r>
        <w:rPr>
          <w:sz w:val="24"/>
          <w:szCs w:val="24"/>
        </w:rPr>
        <w:t>[</w:t>
      </w:r>
      <w:r>
        <w:rPr>
          <w:rFonts w:hint="eastAsia"/>
          <w:sz w:val="24"/>
          <w:szCs w:val="24"/>
        </w:rPr>
        <w:t>争议解决</w:t>
      </w:r>
      <w:r>
        <w:rPr>
          <w:sz w:val="24"/>
          <w:szCs w:val="24"/>
        </w:rPr>
        <w:t>]</w:t>
      </w:r>
      <w:r>
        <w:rPr>
          <w:rFonts w:hint="eastAsia"/>
          <w:sz w:val="24"/>
          <w:szCs w:val="24"/>
        </w:rPr>
        <w:t>的约定执行；</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因承包人原因导致无法通过审查的，承包人应根据发包人的书面说明，对承包人文件进行修改后重新报送发包人审查，审查期重新起算。因此引起的工期延长和必要的工程费用增加，由承包人负责。</w:t>
      </w:r>
    </w:p>
    <w:p>
      <w:pPr>
        <w:spacing w:line="360" w:lineRule="auto"/>
        <w:ind w:firstLine="480" w:firstLineChars="200"/>
        <w:rPr>
          <w:sz w:val="24"/>
          <w:szCs w:val="24"/>
        </w:rPr>
      </w:pPr>
      <w:r>
        <w:rPr>
          <w:rFonts w:hint="eastAsia"/>
          <w:sz w:val="24"/>
          <w:szCs w:val="24"/>
        </w:rPr>
        <w:t>合同约定的审查期满，发包人没有做出审查结论也没有提出异议的，视为承包人文件已获发包人同意。</w:t>
      </w:r>
    </w:p>
    <w:p>
      <w:pPr>
        <w:spacing w:line="360" w:lineRule="auto"/>
        <w:ind w:firstLine="480" w:firstLineChars="200"/>
        <w:rPr>
          <w:sz w:val="24"/>
          <w:szCs w:val="24"/>
        </w:rPr>
      </w:pPr>
      <w:r>
        <w:rPr>
          <w:rFonts w:hint="eastAsia"/>
          <w:sz w:val="24"/>
          <w:szCs w:val="24"/>
        </w:rPr>
        <w:t>发包人对承包人文件的审查和同意不得被理解为对合同的修改或改变，也并不减轻或免除承包人任何的责任和义务。</w:t>
      </w:r>
    </w:p>
    <w:p>
      <w:pPr>
        <w:pStyle w:val="66"/>
        <w:spacing w:afterLines="0"/>
        <w:ind w:left="0" w:firstLine="480" w:firstLineChars="200"/>
        <w:rPr>
          <w:rFonts w:cs="宋体"/>
          <w:szCs w:val="24"/>
        </w:rPr>
      </w:pPr>
      <w:r>
        <w:rPr>
          <w:rFonts w:cs="宋体"/>
          <w:szCs w:val="24"/>
        </w:rPr>
        <w:t xml:space="preserve">5.2.2 </w:t>
      </w:r>
      <w:r>
        <w:rPr>
          <w:rFonts w:hint="eastAsia" w:cs="宋体"/>
          <w:szCs w:val="24"/>
        </w:rPr>
        <w:t>承包人文件不需要政府有关部门或专用合同条件约定的第三方审查单位审查或批准的，承包人应当严格按照经发包人审查同意的承包人文件设计和实施工程。</w:t>
      </w:r>
    </w:p>
    <w:p>
      <w:pPr>
        <w:spacing w:line="360" w:lineRule="auto"/>
        <w:ind w:firstLine="480" w:firstLineChars="200"/>
        <w:rPr>
          <w:sz w:val="24"/>
          <w:szCs w:val="24"/>
        </w:rPr>
      </w:pPr>
      <w:r>
        <w:rPr>
          <w:rFonts w:hint="eastAsia"/>
          <w:sz w:val="24"/>
          <w:szCs w:val="24"/>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pPr>
        <w:spacing w:line="360" w:lineRule="auto"/>
        <w:ind w:firstLine="480" w:firstLineChars="200"/>
        <w:rPr>
          <w:sz w:val="24"/>
          <w:szCs w:val="24"/>
        </w:rPr>
      </w:pPr>
      <w:r>
        <w:rPr>
          <w:rFonts w:hint="eastAsia"/>
          <w:sz w:val="24"/>
          <w:szCs w:val="24"/>
        </w:rPr>
        <w:t>发包人有义务向承包人提供审查会议的批准文件和纪要。承包人有义务按照相关审查会议批准的文件和纪要，并依据合同约定及相关技术标准，对承包人文件进行修改、补充和完善。</w:t>
      </w:r>
    </w:p>
    <w:p>
      <w:pPr>
        <w:pStyle w:val="66"/>
        <w:spacing w:afterLines="0"/>
        <w:ind w:left="0" w:firstLine="480" w:firstLineChars="200"/>
        <w:rPr>
          <w:rFonts w:cs="宋体"/>
          <w:szCs w:val="24"/>
        </w:rPr>
      </w:pPr>
      <w:bookmarkStart w:id="283" w:name="_Ref531953074"/>
      <w:r>
        <w:rPr>
          <w:rFonts w:cs="宋体"/>
          <w:szCs w:val="24"/>
        </w:rPr>
        <w:t xml:space="preserve">5.2.3 </w:t>
      </w:r>
      <w:r>
        <w:rPr>
          <w:rFonts w:hint="eastAsia" w:cs="宋体"/>
          <w:szCs w:val="24"/>
        </w:rPr>
        <w:t>承包人文件需政府有关部门或专用合同条件约定的第三方审查单位审查或批准的，发包人应在发包人审查同意承包人文件后</w:t>
      </w:r>
      <w:r>
        <w:rPr>
          <w:rFonts w:cs="宋体"/>
          <w:szCs w:val="24"/>
        </w:rPr>
        <w:t>7</w:t>
      </w:r>
      <w:r>
        <w:rPr>
          <w:rFonts w:hint="eastAsia" w:cs="宋体"/>
          <w:szCs w:val="24"/>
        </w:rPr>
        <w:t>天内，向政府有关部门或第三方报送承包人文件，承包人应予以协助。</w:t>
      </w:r>
      <w:bookmarkEnd w:id="283"/>
    </w:p>
    <w:p>
      <w:pPr>
        <w:spacing w:line="360" w:lineRule="auto"/>
        <w:ind w:firstLine="480" w:firstLineChars="200"/>
        <w:rPr>
          <w:sz w:val="24"/>
          <w:szCs w:val="24"/>
        </w:rPr>
      </w:pPr>
      <w:r>
        <w:rPr>
          <w:rFonts w:hint="eastAsia"/>
          <w:sz w:val="24"/>
          <w:szCs w:val="24"/>
        </w:rPr>
        <w:t>对于政府有关部门或第三方审查单位的审查意见，不需要修改《发包人要求》的，承包人需按该审查意见修改承包人的设计文件；需要修改《发包人要求》的，承包人应按第</w:t>
      </w:r>
      <w:r>
        <w:rPr>
          <w:sz w:val="24"/>
          <w:szCs w:val="24"/>
        </w:rPr>
        <w:t>13.2</w:t>
      </w:r>
      <w:r>
        <w:rPr>
          <w:rFonts w:hint="eastAsia"/>
          <w:sz w:val="24"/>
          <w:szCs w:val="24"/>
        </w:rPr>
        <w:t>款</w:t>
      </w:r>
      <w:r>
        <w:rPr>
          <w:sz w:val="24"/>
          <w:szCs w:val="24"/>
        </w:rPr>
        <w:t>[</w:t>
      </w:r>
      <w:r>
        <w:rPr>
          <w:rFonts w:hint="eastAsia"/>
          <w:sz w:val="24"/>
          <w:szCs w:val="24"/>
        </w:rPr>
        <w:t>承包人的合理化建议</w:t>
      </w:r>
      <w:r>
        <w:rPr>
          <w:sz w:val="24"/>
          <w:szCs w:val="24"/>
        </w:rPr>
        <w:t>]</w:t>
      </w:r>
      <w:r>
        <w:rPr>
          <w:rFonts w:hint="eastAsia"/>
          <w:sz w:val="24"/>
          <w:szCs w:val="24"/>
        </w:rPr>
        <w:t>的约定执行。上述情形还应适用第</w:t>
      </w:r>
      <w:r>
        <w:rPr>
          <w:sz w:val="24"/>
          <w:szCs w:val="24"/>
        </w:rPr>
        <w:t>5.1</w:t>
      </w:r>
      <w:r>
        <w:rPr>
          <w:rFonts w:hint="eastAsia"/>
          <w:sz w:val="24"/>
          <w:szCs w:val="24"/>
        </w:rPr>
        <w:t>款</w:t>
      </w:r>
      <w:r>
        <w:rPr>
          <w:sz w:val="24"/>
          <w:szCs w:val="24"/>
        </w:rPr>
        <w:t>[</w:t>
      </w:r>
      <w:r>
        <w:rPr>
          <w:rFonts w:hint="eastAsia"/>
          <w:sz w:val="24"/>
          <w:szCs w:val="24"/>
        </w:rPr>
        <w:t>承包人的设计义务</w:t>
      </w:r>
      <w:r>
        <w:rPr>
          <w:sz w:val="24"/>
          <w:szCs w:val="24"/>
        </w:rPr>
        <w:t>]</w:t>
      </w:r>
      <w:r>
        <w:rPr>
          <w:rFonts w:hint="eastAsia"/>
          <w:sz w:val="24"/>
          <w:szCs w:val="24"/>
        </w:rPr>
        <w:t>和第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的有关约定。</w:t>
      </w:r>
    </w:p>
    <w:p>
      <w:pPr>
        <w:spacing w:line="360" w:lineRule="auto"/>
        <w:ind w:firstLine="480" w:firstLineChars="200"/>
        <w:rPr>
          <w:sz w:val="24"/>
          <w:szCs w:val="24"/>
        </w:rPr>
      </w:pPr>
      <w:r>
        <w:rPr>
          <w:rFonts w:hint="eastAsia"/>
          <w:sz w:val="24"/>
          <w:szCs w:val="24"/>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pPr>
        <w:pStyle w:val="65"/>
        <w:widowControl/>
        <w:spacing w:afterLines="0"/>
        <w:ind w:left="0" w:firstLine="482" w:firstLineChars="200"/>
        <w:rPr>
          <w:rFonts w:ascii="宋体" w:hAnsi="宋体" w:eastAsia="宋体" w:cs="宋体"/>
        </w:rPr>
      </w:pPr>
      <w:bookmarkStart w:id="284" w:name="_Toc54862224"/>
      <w:bookmarkStart w:id="285" w:name="_Ref531953095"/>
      <w:bookmarkStart w:id="286" w:name="_Ref531953097"/>
      <w:r>
        <w:rPr>
          <w:rFonts w:ascii="宋体" w:hAnsi="宋体" w:eastAsia="宋体" w:cs="宋体"/>
        </w:rPr>
        <w:t xml:space="preserve">5.3 </w:t>
      </w:r>
      <w:r>
        <w:rPr>
          <w:rFonts w:hint="eastAsia" w:ascii="宋体" w:hAnsi="宋体" w:eastAsia="宋体" w:cs="宋体"/>
        </w:rPr>
        <w:t>培训</w:t>
      </w:r>
      <w:bookmarkEnd w:id="284"/>
      <w:bookmarkEnd w:id="285"/>
      <w:bookmarkEnd w:id="286"/>
    </w:p>
    <w:p>
      <w:pPr>
        <w:spacing w:line="360" w:lineRule="auto"/>
        <w:ind w:firstLine="480" w:firstLineChars="200"/>
        <w:rPr>
          <w:sz w:val="24"/>
          <w:szCs w:val="24"/>
        </w:rPr>
      </w:pPr>
      <w:r>
        <w:rPr>
          <w:rFonts w:hint="eastAsia"/>
          <w:sz w:val="24"/>
          <w:szCs w:val="24"/>
        </w:rPr>
        <w:t>承包人应按照《发包人要求》，对发包人的雇员或其它发包人指定的人员进行工程操作、维修或其它合同中约定的培训。合同约定接收之前进行培训的，应在第</w:t>
      </w:r>
      <w:r>
        <w:rPr>
          <w:sz w:val="24"/>
          <w:szCs w:val="24"/>
        </w:rPr>
        <w:t>10.1</w:t>
      </w:r>
      <w:r>
        <w:rPr>
          <w:rFonts w:hint="eastAsia"/>
          <w:sz w:val="24"/>
          <w:szCs w:val="24"/>
        </w:rPr>
        <w:t>款</w:t>
      </w:r>
      <w:r>
        <w:rPr>
          <w:sz w:val="24"/>
          <w:szCs w:val="24"/>
        </w:rPr>
        <w:t>[</w:t>
      </w:r>
      <w:r>
        <w:rPr>
          <w:rFonts w:hint="eastAsia"/>
          <w:sz w:val="24"/>
          <w:szCs w:val="24"/>
        </w:rPr>
        <w:t>竣工验收</w:t>
      </w:r>
      <w:r>
        <w:rPr>
          <w:sz w:val="24"/>
          <w:szCs w:val="24"/>
        </w:rPr>
        <w:t>]</w:t>
      </w:r>
      <w:r>
        <w:rPr>
          <w:rFonts w:hint="eastAsia"/>
          <w:sz w:val="24"/>
          <w:szCs w:val="24"/>
        </w:rPr>
        <w:t>约定的竣工验收前或试运行结束前完成培训。</w:t>
      </w:r>
    </w:p>
    <w:p>
      <w:pPr>
        <w:spacing w:line="360" w:lineRule="auto"/>
        <w:ind w:firstLine="480" w:firstLineChars="200"/>
        <w:rPr>
          <w:sz w:val="24"/>
          <w:szCs w:val="24"/>
        </w:rPr>
      </w:pPr>
      <w:r>
        <w:rPr>
          <w:rFonts w:hint="eastAsia"/>
          <w:sz w:val="24"/>
          <w:szCs w:val="24"/>
        </w:rPr>
        <w:t>培训的时长应由双方在专用合同条件中约定，承包人应为培训提供有经验的人员、设施和其它必要条件。</w:t>
      </w:r>
    </w:p>
    <w:p>
      <w:pPr>
        <w:pStyle w:val="65"/>
        <w:widowControl/>
        <w:spacing w:afterLines="0"/>
        <w:ind w:left="0" w:firstLine="482" w:firstLineChars="200"/>
        <w:rPr>
          <w:rFonts w:ascii="宋体" w:hAnsi="宋体" w:eastAsia="宋体" w:cs="宋体"/>
        </w:rPr>
      </w:pPr>
      <w:bookmarkStart w:id="287" w:name="_Ref531953105"/>
      <w:bookmarkStart w:id="288" w:name="_Ref531953108"/>
      <w:bookmarkStart w:id="289" w:name="_Toc54862225"/>
      <w:r>
        <w:rPr>
          <w:rFonts w:ascii="宋体" w:hAnsi="宋体" w:eastAsia="宋体" w:cs="宋体"/>
        </w:rPr>
        <w:t xml:space="preserve">5.4 </w:t>
      </w:r>
      <w:r>
        <w:rPr>
          <w:rFonts w:hint="eastAsia" w:ascii="宋体" w:hAnsi="宋体" w:eastAsia="宋体" w:cs="宋体"/>
        </w:rPr>
        <w:t>竣工文件</w:t>
      </w:r>
      <w:bookmarkEnd w:id="287"/>
      <w:bookmarkEnd w:id="288"/>
      <w:bookmarkEnd w:id="289"/>
    </w:p>
    <w:p>
      <w:pPr>
        <w:pStyle w:val="66"/>
        <w:spacing w:afterLines="0"/>
        <w:ind w:left="0" w:firstLine="480" w:firstLineChars="200"/>
        <w:rPr>
          <w:rFonts w:cs="宋体"/>
          <w:szCs w:val="24"/>
        </w:rPr>
      </w:pPr>
      <w:bookmarkStart w:id="290" w:name="_Ref531953134"/>
      <w:r>
        <w:rPr>
          <w:rFonts w:cs="宋体"/>
          <w:szCs w:val="24"/>
        </w:rPr>
        <w:t xml:space="preserve">5.4.1 </w:t>
      </w:r>
      <w:r>
        <w:rPr>
          <w:rFonts w:hint="eastAsia" w:cs="宋体"/>
          <w:szCs w:val="24"/>
        </w:rPr>
        <w:t>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bookmarkEnd w:id="290"/>
    </w:p>
    <w:p>
      <w:pPr>
        <w:pStyle w:val="66"/>
        <w:spacing w:afterLines="0"/>
        <w:ind w:left="0" w:firstLine="480" w:firstLineChars="200"/>
        <w:rPr>
          <w:rFonts w:cs="宋体"/>
          <w:szCs w:val="24"/>
        </w:rPr>
      </w:pPr>
      <w:r>
        <w:rPr>
          <w:rFonts w:cs="宋体"/>
          <w:szCs w:val="24"/>
        </w:rPr>
        <w:t xml:space="preserve">5.4.2 </w:t>
      </w:r>
      <w:r>
        <w:rPr>
          <w:rFonts w:hint="eastAsia" w:cs="宋体"/>
          <w:szCs w:val="24"/>
        </w:rPr>
        <w:t>在颁发工程接收证书之前，承包人应按照《发包人要求》的份数和形式向工程师提交相应竣工图纸，并取得工程师对尺寸、参照系统及其他有关细节的认可。工程师应按照第</w:t>
      </w:r>
      <w:r>
        <w:rPr>
          <w:rFonts w:cs="宋体"/>
          <w:szCs w:val="24"/>
        </w:rPr>
        <w:t>5.2</w:t>
      </w:r>
      <w:r>
        <w:rPr>
          <w:rFonts w:hint="eastAsia" w:cs="宋体"/>
          <w:szCs w:val="24"/>
        </w:rPr>
        <w:t>款</w:t>
      </w:r>
      <w:r>
        <w:rPr>
          <w:rFonts w:cs="宋体"/>
          <w:szCs w:val="24"/>
        </w:rPr>
        <w:t>[</w:t>
      </w:r>
      <w:r>
        <w:rPr>
          <w:rFonts w:hint="eastAsia" w:cs="宋体"/>
          <w:szCs w:val="24"/>
        </w:rPr>
        <w:t>承包人文件审查</w:t>
      </w:r>
      <w:r>
        <w:rPr>
          <w:rFonts w:cs="宋体"/>
          <w:szCs w:val="24"/>
        </w:rPr>
        <w:t>]</w:t>
      </w:r>
      <w:r>
        <w:rPr>
          <w:rFonts w:hint="eastAsia" w:cs="宋体"/>
          <w:szCs w:val="24"/>
        </w:rPr>
        <w:t>的约定进行审查。</w:t>
      </w:r>
    </w:p>
    <w:p>
      <w:pPr>
        <w:pStyle w:val="66"/>
        <w:spacing w:afterLines="0"/>
        <w:ind w:left="0" w:firstLine="480" w:firstLineChars="200"/>
        <w:rPr>
          <w:rFonts w:cs="宋体"/>
          <w:szCs w:val="24"/>
        </w:rPr>
      </w:pPr>
      <w:r>
        <w:rPr>
          <w:rFonts w:cs="宋体"/>
          <w:szCs w:val="24"/>
        </w:rPr>
        <w:t xml:space="preserve">5.4.3 </w:t>
      </w:r>
      <w:r>
        <w:rPr>
          <w:rFonts w:hint="eastAsia" w:cs="宋体"/>
          <w:szCs w:val="24"/>
        </w:rPr>
        <w:t>除专用合同条件另有约定外，在工程师收到本款下的文件前，不应认为工程已根据第</w:t>
      </w:r>
      <w:r>
        <w:rPr>
          <w:rFonts w:cs="宋体"/>
          <w:szCs w:val="24"/>
        </w:rPr>
        <w:t>10.1</w:t>
      </w:r>
      <w:r>
        <w:rPr>
          <w:rFonts w:hint="eastAsia" w:cs="宋体"/>
          <w:szCs w:val="24"/>
        </w:rPr>
        <w:t>款</w:t>
      </w:r>
      <w:r>
        <w:rPr>
          <w:rFonts w:cs="宋体"/>
          <w:szCs w:val="24"/>
        </w:rPr>
        <w:t>[</w:t>
      </w:r>
      <w:r>
        <w:rPr>
          <w:rFonts w:hint="eastAsia" w:cs="宋体"/>
          <w:szCs w:val="24"/>
        </w:rPr>
        <w:t>竣工验收</w:t>
      </w:r>
      <w:r>
        <w:rPr>
          <w:rFonts w:cs="宋体"/>
          <w:szCs w:val="24"/>
        </w:rPr>
        <w:t>]</w:t>
      </w:r>
      <w:r>
        <w:rPr>
          <w:rFonts w:hint="eastAsia" w:cs="宋体"/>
          <w:szCs w:val="24"/>
        </w:rPr>
        <w:t>和第</w:t>
      </w:r>
      <w:r>
        <w:rPr>
          <w:rFonts w:cs="宋体"/>
          <w:szCs w:val="24"/>
        </w:rPr>
        <w:t>10.2</w:t>
      </w:r>
      <w:r>
        <w:rPr>
          <w:rFonts w:hint="eastAsia" w:cs="宋体"/>
          <w:szCs w:val="24"/>
        </w:rPr>
        <w:t>款</w:t>
      </w:r>
      <w:r>
        <w:rPr>
          <w:rFonts w:cs="宋体"/>
          <w:szCs w:val="24"/>
        </w:rPr>
        <w:t>[</w:t>
      </w:r>
      <w:r>
        <w:rPr>
          <w:rFonts w:hint="eastAsia" w:cs="宋体"/>
          <w:szCs w:val="24"/>
        </w:rPr>
        <w:t>单位</w:t>
      </w:r>
      <w:r>
        <w:rPr>
          <w:rFonts w:cs="宋体"/>
          <w:szCs w:val="24"/>
        </w:rPr>
        <w:t>/</w:t>
      </w:r>
      <w:r>
        <w:rPr>
          <w:rFonts w:hint="eastAsia" w:cs="宋体"/>
          <w:szCs w:val="24"/>
        </w:rPr>
        <w:t>区段工程的验收</w:t>
      </w:r>
      <w:r>
        <w:rPr>
          <w:rFonts w:cs="宋体"/>
          <w:szCs w:val="24"/>
        </w:rPr>
        <w:t>]</w:t>
      </w:r>
      <w:r>
        <w:rPr>
          <w:rFonts w:hint="eastAsia" w:cs="宋体"/>
          <w:szCs w:val="24"/>
        </w:rPr>
        <w:t>的约定完成验收。</w:t>
      </w:r>
    </w:p>
    <w:p>
      <w:pPr>
        <w:pStyle w:val="65"/>
        <w:widowControl/>
        <w:spacing w:afterLines="0"/>
        <w:ind w:left="0" w:firstLine="482" w:firstLineChars="200"/>
        <w:rPr>
          <w:rFonts w:ascii="宋体" w:hAnsi="宋体" w:eastAsia="宋体" w:cs="宋体"/>
          <w:b w:val="0"/>
          <w:bCs/>
        </w:rPr>
      </w:pPr>
      <w:bookmarkStart w:id="291" w:name="_Toc54862226"/>
      <w:bookmarkStart w:id="292" w:name="_Ref531953117"/>
      <w:bookmarkStart w:id="293" w:name="_Ref531953119"/>
      <w:r>
        <w:rPr>
          <w:rFonts w:ascii="宋体" w:hAnsi="宋体" w:eastAsia="宋体" w:cs="宋体"/>
        </w:rPr>
        <w:t xml:space="preserve">5.5 </w:t>
      </w:r>
      <w:r>
        <w:rPr>
          <w:rFonts w:hint="eastAsia" w:ascii="宋体" w:hAnsi="宋体" w:eastAsia="宋体" w:cs="宋体"/>
        </w:rPr>
        <w:t>操作和维修手册</w:t>
      </w:r>
      <w:bookmarkEnd w:id="291"/>
      <w:bookmarkEnd w:id="292"/>
      <w:bookmarkEnd w:id="293"/>
    </w:p>
    <w:p>
      <w:pPr>
        <w:pStyle w:val="66"/>
        <w:spacing w:afterLines="0"/>
        <w:ind w:left="0" w:firstLine="480" w:firstLineChars="200"/>
        <w:rPr>
          <w:rFonts w:cs="宋体"/>
          <w:szCs w:val="24"/>
        </w:rPr>
      </w:pPr>
      <w:bookmarkStart w:id="294" w:name="_Ref531953145"/>
      <w:r>
        <w:rPr>
          <w:rFonts w:cs="宋体"/>
          <w:szCs w:val="24"/>
        </w:rPr>
        <w:t xml:space="preserve">5.5.1 </w:t>
      </w:r>
      <w:r>
        <w:rPr>
          <w:rFonts w:hint="eastAsia" w:cs="宋体"/>
          <w:szCs w:val="24"/>
        </w:rPr>
        <w:t>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bookmarkEnd w:id="294"/>
    </w:p>
    <w:p>
      <w:pPr>
        <w:pStyle w:val="66"/>
        <w:spacing w:afterLines="0"/>
        <w:ind w:left="0" w:firstLine="480" w:firstLineChars="200"/>
        <w:rPr>
          <w:rFonts w:cs="宋体"/>
          <w:szCs w:val="24"/>
        </w:rPr>
      </w:pPr>
      <w:r>
        <w:rPr>
          <w:rFonts w:cs="宋体"/>
          <w:szCs w:val="24"/>
        </w:rPr>
        <w:t xml:space="preserve">5.5.2 </w:t>
      </w:r>
      <w:r>
        <w:rPr>
          <w:rFonts w:hint="eastAsia" w:cs="宋体"/>
          <w:szCs w:val="24"/>
        </w:rPr>
        <w:t>工程师收到承包人提交的文件后，应依据第</w:t>
      </w:r>
      <w:r>
        <w:rPr>
          <w:rFonts w:cs="宋体"/>
          <w:szCs w:val="24"/>
        </w:rPr>
        <w:t>5.2</w:t>
      </w:r>
      <w:r>
        <w:rPr>
          <w:rFonts w:hint="eastAsia" w:cs="宋体"/>
          <w:szCs w:val="24"/>
        </w:rPr>
        <w:t>款</w:t>
      </w:r>
      <w:r>
        <w:rPr>
          <w:rFonts w:cs="宋体"/>
          <w:szCs w:val="24"/>
        </w:rPr>
        <w:t>[</w:t>
      </w:r>
      <w:r>
        <w:rPr>
          <w:rFonts w:hint="eastAsia" w:cs="宋体"/>
          <w:szCs w:val="24"/>
        </w:rPr>
        <w:t>承包人文件审查</w:t>
      </w:r>
      <w:r>
        <w:rPr>
          <w:rFonts w:cs="宋体"/>
          <w:szCs w:val="24"/>
        </w:rPr>
        <w:t>]</w:t>
      </w:r>
      <w:r>
        <w:rPr>
          <w:rFonts w:hint="eastAsia" w:cs="宋体"/>
          <w:szCs w:val="24"/>
        </w:rPr>
        <w:t>的约定对操作和维修手册进行审查，竣工试验工程中，承包人应为任何因操作和维修手册错误或遗漏引起的风险或损失承担责任。</w:t>
      </w:r>
    </w:p>
    <w:p>
      <w:pPr>
        <w:pStyle w:val="66"/>
        <w:spacing w:afterLines="0"/>
        <w:ind w:left="0" w:firstLine="480" w:firstLineChars="200"/>
        <w:rPr>
          <w:rFonts w:cs="宋体"/>
          <w:szCs w:val="24"/>
        </w:rPr>
      </w:pPr>
      <w:r>
        <w:rPr>
          <w:rFonts w:cs="宋体"/>
          <w:szCs w:val="24"/>
        </w:rPr>
        <w:t xml:space="preserve">5.5.3 </w:t>
      </w:r>
      <w:r>
        <w:rPr>
          <w:rFonts w:hint="eastAsia" w:cs="宋体"/>
          <w:szCs w:val="24"/>
        </w:rPr>
        <w:t>除专用合同条件另有约定外，承包人应提交足够详细的最终操作和维修手册，以及在《发包人要求》中明确的相关操作和维修手册。除专用合同条件另有约定外，在工程师收到上述文件前，不应认为工程已根据第</w:t>
      </w:r>
      <w:r>
        <w:rPr>
          <w:rFonts w:cs="宋体"/>
          <w:szCs w:val="24"/>
        </w:rPr>
        <w:t>10.1</w:t>
      </w:r>
      <w:r>
        <w:rPr>
          <w:rFonts w:hint="eastAsia" w:cs="宋体"/>
          <w:szCs w:val="24"/>
        </w:rPr>
        <w:t>款</w:t>
      </w:r>
      <w:r>
        <w:rPr>
          <w:rFonts w:cs="宋体"/>
          <w:szCs w:val="24"/>
        </w:rPr>
        <w:t>[</w:t>
      </w:r>
      <w:r>
        <w:rPr>
          <w:rFonts w:hint="eastAsia" w:cs="宋体"/>
          <w:szCs w:val="24"/>
        </w:rPr>
        <w:t>竣工验收</w:t>
      </w:r>
      <w:r>
        <w:rPr>
          <w:rFonts w:cs="宋体"/>
          <w:szCs w:val="24"/>
        </w:rPr>
        <w:t>]</w:t>
      </w:r>
      <w:r>
        <w:rPr>
          <w:rFonts w:hint="eastAsia" w:cs="宋体"/>
          <w:szCs w:val="24"/>
        </w:rPr>
        <w:t>和第</w:t>
      </w:r>
      <w:r>
        <w:rPr>
          <w:rFonts w:cs="宋体"/>
          <w:szCs w:val="24"/>
        </w:rPr>
        <w:t>10.2</w:t>
      </w:r>
      <w:r>
        <w:rPr>
          <w:rFonts w:hint="eastAsia" w:cs="宋体"/>
          <w:szCs w:val="24"/>
        </w:rPr>
        <w:t>款</w:t>
      </w:r>
      <w:r>
        <w:rPr>
          <w:rFonts w:cs="宋体"/>
          <w:szCs w:val="24"/>
        </w:rPr>
        <w:t>[</w:t>
      </w:r>
      <w:r>
        <w:rPr>
          <w:rFonts w:hint="eastAsia" w:cs="宋体"/>
          <w:szCs w:val="24"/>
        </w:rPr>
        <w:t>单位</w:t>
      </w:r>
      <w:r>
        <w:rPr>
          <w:rFonts w:cs="宋体"/>
          <w:szCs w:val="24"/>
        </w:rPr>
        <w:t>/</w:t>
      </w:r>
      <w:r>
        <w:rPr>
          <w:rFonts w:hint="eastAsia" w:cs="宋体"/>
          <w:szCs w:val="24"/>
        </w:rPr>
        <w:t>区段工程的验收</w:t>
      </w:r>
      <w:r>
        <w:rPr>
          <w:rFonts w:cs="宋体"/>
          <w:szCs w:val="24"/>
        </w:rPr>
        <w:t>]</w:t>
      </w:r>
      <w:r>
        <w:rPr>
          <w:rFonts w:hint="eastAsia" w:cs="宋体"/>
          <w:szCs w:val="24"/>
        </w:rPr>
        <w:t>的约定完成验收。</w:t>
      </w:r>
    </w:p>
    <w:p>
      <w:pPr>
        <w:pStyle w:val="65"/>
        <w:widowControl/>
        <w:spacing w:afterLines="0"/>
        <w:ind w:left="0" w:firstLine="482" w:firstLineChars="200"/>
        <w:rPr>
          <w:rFonts w:ascii="宋体" w:hAnsi="宋体" w:eastAsia="宋体" w:cs="宋体"/>
        </w:rPr>
      </w:pPr>
      <w:bookmarkStart w:id="295" w:name="_Toc54862227"/>
      <w:r>
        <w:rPr>
          <w:rFonts w:ascii="宋体" w:hAnsi="宋体" w:eastAsia="宋体" w:cs="宋体"/>
        </w:rPr>
        <w:t xml:space="preserve">5.6 </w:t>
      </w:r>
      <w:r>
        <w:rPr>
          <w:rFonts w:hint="eastAsia" w:ascii="宋体" w:hAnsi="宋体" w:eastAsia="宋体" w:cs="宋体"/>
        </w:rPr>
        <w:t>承包人文件错误</w:t>
      </w:r>
      <w:bookmarkEnd w:id="295"/>
      <w:r>
        <w:rPr>
          <w:rFonts w:ascii="宋体" w:hAnsi="宋体" w:eastAsia="宋体" w:cs="宋体"/>
        </w:rPr>
        <w:t xml:space="preserve"> </w:t>
      </w:r>
    </w:p>
    <w:p>
      <w:pPr>
        <w:spacing w:line="360" w:lineRule="auto"/>
        <w:ind w:firstLine="480" w:firstLineChars="200"/>
        <w:rPr>
          <w:sz w:val="24"/>
          <w:szCs w:val="24"/>
        </w:rPr>
      </w:pPr>
      <w:r>
        <w:rPr>
          <w:rFonts w:hint="eastAsia"/>
          <w:sz w:val="24"/>
          <w:szCs w:val="24"/>
        </w:rPr>
        <w:t>承包人文件存在错误、遗漏、含混、矛盾、不充分之处或其他缺陷，无论承包人是否根据本款获得了同意，承包人均应自费对前述问题带来的缺陷和工程问题进行改正，并按照第</w:t>
      </w:r>
      <w:r>
        <w:rPr>
          <w:sz w:val="24"/>
          <w:szCs w:val="24"/>
        </w:rPr>
        <w:t>5.2</w:t>
      </w:r>
      <w:r>
        <w:rPr>
          <w:rFonts w:hint="eastAsia"/>
          <w:sz w:val="24"/>
          <w:szCs w:val="24"/>
        </w:rPr>
        <w:t>款</w:t>
      </w:r>
      <w:r>
        <w:rPr>
          <w:sz w:val="24"/>
          <w:szCs w:val="24"/>
        </w:rPr>
        <w:t>[</w:t>
      </w:r>
      <w:r>
        <w:rPr>
          <w:rFonts w:hint="eastAsia"/>
          <w:sz w:val="24"/>
          <w:szCs w:val="24"/>
        </w:rPr>
        <w:t>承包人文件审查</w:t>
      </w:r>
      <w:r>
        <w:rPr>
          <w:sz w:val="24"/>
          <w:szCs w:val="24"/>
        </w:rPr>
        <w:t>]</w:t>
      </w:r>
      <w:r>
        <w:rPr>
          <w:rFonts w:hint="eastAsia"/>
          <w:sz w:val="24"/>
          <w:szCs w:val="24"/>
        </w:rPr>
        <w:t>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pPr>
        <w:pStyle w:val="64"/>
        <w:numPr>
          <w:ilvl w:val="0"/>
          <w:numId w:val="0"/>
        </w:numPr>
        <w:spacing w:before="0"/>
        <w:ind w:firstLine="482" w:firstLineChars="200"/>
        <w:rPr>
          <w:rFonts w:ascii="宋体"/>
          <w:bCs/>
          <w:sz w:val="24"/>
          <w:szCs w:val="24"/>
        </w:rPr>
      </w:pPr>
      <w:bookmarkStart w:id="296" w:name="_Ref531953761"/>
      <w:bookmarkStart w:id="297" w:name="_Ref531953765"/>
      <w:bookmarkStart w:id="298" w:name="_Toc54862228"/>
      <w:r>
        <w:rPr>
          <w:rFonts w:hint="eastAsia" w:ascii="宋体" w:hAnsi="宋体"/>
          <w:b/>
          <w:sz w:val="24"/>
          <w:szCs w:val="24"/>
        </w:rPr>
        <w:t>第</w:t>
      </w:r>
      <w:r>
        <w:rPr>
          <w:rFonts w:ascii="宋体" w:hAnsi="宋体"/>
          <w:b/>
          <w:sz w:val="24"/>
          <w:szCs w:val="24"/>
        </w:rPr>
        <w:t>6</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材料、工程设备</w:t>
      </w:r>
      <w:bookmarkEnd w:id="296"/>
      <w:bookmarkEnd w:id="297"/>
      <w:bookmarkEnd w:id="298"/>
    </w:p>
    <w:p>
      <w:pPr>
        <w:pStyle w:val="65"/>
        <w:widowControl/>
        <w:spacing w:afterLines="0"/>
        <w:ind w:left="0" w:firstLine="482" w:firstLineChars="200"/>
        <w:rPr>
          <w:rFonts w:ascii="宋体" w:hAnsi="宋体" w:eastAsia="宋体" w:cs="宋体"/>
        </w:rPr>
      </w:pPr>
      <w:bookmarkStart w:id="299" w:name="_Ref531953832"/>
      <w:bookmarkStart w:id="300" w:name="_Toc54862229"/>
      <w:bookmarkStart w:id="301" w:name="_Ref531953828"/>
      <w:r>
        <w:rPr>
          <w:rFonts w:ascii="宋体" w:hAnsi="宋体" w:eastAsia="宋体" w:cs="宋体"/>
        </w:rPr>
        <w:t xml:space="preserve">6.1 </w:t>
      </w:r>
      <w:r>
        <w:rPr>
          <w:rFonts w:hint="eastAsia" w:ascii="宋体" w:hAnsi="宋体" w:eastAsia="宋体" w:cs="宋体"/>
        </w:rPr>
        <w:t>实施方法</w:t>
      </w:r>
      <w:bookmarkEnd w:id="299"/>
      <w:bookmarkEnd w:id="300"/>
      <w:bookmarkEnd w:id="301"/>
      <w:r>
        <w:rPr>
          <w:rFonts w:ascii="宋体" w:hAnsi="宋体" w:eastAsia="宋体" w:cs="宋体"/>
        </w:rPr>
        <w:t xml:space="preserve"> </w:t>
      </w:r>
    </w:p>
    <w:p>
      <w:pPr>
        <w:spacing w:line="360" w:lineRule="auto"/>
        <w:ind w:firstLine="480" w:firstLineChars="200"/>
        <w:rPr>
          <w:sz w:val="24"/>
          <w:szCs w:val="24"/>
        </w:rPr>
      </w:pPr>
      <w:r>
        <w:rPr>
          <w:rFonts w:hint="eastAsia"/>
          <w:sz w:val="24"/>
          <w:szCs w:val="24"/>
        </w:rPr>
        <w:t>承包人应按以下方法进行材料的加工、工程设备的采购、制造和安装、以及工程的所有其他实施作业：</w:t>
      </w:r>
    </w:p>
    <w:p>
      <w:pPr>
        <w:spacing w:line="360" w:lineRule="auto"/>
        <w:ind w:firstLine="480" w:firstLineChars="200"/>
        <w:rPr>
          <w:sz w:val="24"/>
          <w:szCs w:val="24"/>
        </w:rPr>
      </w:pPr>
      <w:bookmarkStart w:id="302" w:name="_Ref531953847"/>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按照法律规定和合同约定的方法；</w:t>
      </w:r>
      <w:bookmarkEnd w:id="302"/>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按照公认的良好行业习惯，使用恰当、审慎、先进的方法；</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除专用合同条件另有规定外，应使用适当配备的实施方法、设备、设施和无危险的材料。</w:t>
      </w:r>
    </w:p>
    <w:p>
      <w:pPr>
        <w:pStyle w:val="65"/>
        <w:widowControl/>
        <w:spacing w:afterLines="0"/>
        <w:ind w:left="0" w:firstLine="482" w:firstLineChars="200"/>
        <w:rPr>
          <w:rFonts w:ascii="宋体" w:hAnsi="宋体" w:eastAsia="宋体" w:cs="宋体"/>
        </w:rPr>
      </w:pPr>
      <w:bookmarkStart w:id="303" w:name="_Toc54862230"/>
      <w:bookmarkStart w:id="304" w:name="_Ref11926422"/>
      <w:bookmarkStart w:id="305" w:name="_Ref4427594"/>
      <w:r>
        <w:rPr>
          <w:rFonts w:ascii="宋体" w:hAnsi="宋体" w:eastAsia="宋体" w:cs="宋体"/>
        </w:rPr>
        <w:t xml:space="preserve">6.2 </w:t>
      </w:r>
      <w:r>
        <w:rPr>
          <w:rFonts w:hint="eastAsia" w:ascii="宋体" w:hAnsi="宋体" w:eastAsia="宋体" w:cs="宋体"/>
        </w:rPr>
        <w:t>材料和工程设备</w:t>
      </w:r>
      <w:bookmarkEnd w:id="303"/>
      <w:bookmarkEnd w:id="304"/>
    </w:p>
    <w:p>
      <w:pPr>
        <w:pStyle w:val="66"/>
        <w:spacing w:afterLines="0"/>
        <w:ind w:left="0" w:firstLine="480" w:firstLineChars="200"/>
        <w:rPr>
          <w:rFonts w:cs="宋体"/>
          <w:szCs w:val="24"/>
        </w:rPr>
      </w:pPr>
      <w:bookmarkStart w:id="306" w:name="_Ref11960295"/>
      <w:r>
        <w:rPr>
          <w:rFonts w:cs="宋体"/>
          <w:szCs w:val="24"/>
        </w:rPr>
        <w:t xml:space="preserve">6.2.1 </w:t>
      </w:r>
      <w:r>
        <w:rPr>
          <w:rFonts w:hint="eastAsia" w:cs="宋体"/>
          <w:szCs w:val="24"/>
        </w:rPr>
        <w:t>发包人提供的材料和工程设备</w:t>
      </w:r>
      <w:bookmarkEnd w:id="305"/>
      <w:bookmarkEnd w:id="306"/>
    </w:p>
    <w:p>
      <w:pPr>
        <w:spacing w:line="360" w:lineRule="auto"/>
        <w:ind w:firstLine="480" w:firstLineChars="200"/>
        <w:rPr>
          <w:sz w:val="24"/>
          <w:szCs w:val="24"/>
        </w:rPr>
      </w:pPr>
      <w:r>
        <w:rPr>
          <w:rFonts w:hint="eastAsia"/>
          <w:sz w:val="24"/>
          <w:szCs w:val="24"/>
        </w:rPr>
        <w:t>发包人自行供应材料、工程设备的，应在订立合同时在专用合同条件的附件《发包人供应材料设备一览表》中明确材料、工程设备的品种、规格、型号、主要参数、数量、单价、质量等级和交接地点等。</w:t>
      </w:r>
    </w:p>
    <w:p>
      <w:pPr>
        <w:spacing w:line="360" w:lineRule="auto"/>
        <w:ind w:firstLine="480" w:firstLineChars="200"/>
        <w:rPr>
          <w:sz w:val="24"/>
          <w:szCs w:val="24"/>
        </w:rPr>
      </w:pPr>
      <w:r>
        <w:rPr>
          <w:rFonts w:hint="eastAsia"/>
          <w:sz w:val="24"/>
          <w:szCs w:val="24"/>
        </w:rPr>
        <w:t>承包人应根据项目进度计划的安排，提前</w:t>
      </w:r>
      <w:r>
        <w:rPr>
          <w:sz w:val="24"/>
          <w:szCs w:val="24"/>
        </w:rPr>
        <w:t>28</w:t>
      </w:r>
      <w:r>
        <w:rPr>
          <w:rFonts w:hint="eastAsia"/>
          <w:sz w:val="24"/>
          <w:szCs w:val="24"/>
        </w:rPr>
        <w:t>天以书面形式通知工程师供应材料与工程设备的进场计划。承包人按照第</w:t>
      </w:r>
      <w:r>
        <w:rPr>
          <w:sz w:val="24"/>
          <w:szCs w:val="24"/>
        </w:rPr>
        <w:t>8.4</w:t>
      </w:r>
      <w:r>
        <w:rPr>
          <w:rFonts w:hint="eastAsia"/>
          <w:sz w:val="24"/>
          <w:szCs w:val="24"/>
        </w:rPr>
        <w:t>款</w:t>
      </w:r>
      <w:r>
        <w:rPr>
          <w:sz w:val="24"/>
          <w:szCs w:val="24"/>
        </w:rPr>
        <w:t>[</w:t>
      </w:r>
      <w:r>
        <w:rPr>
          <w:rFonts w:hint="eastAsia"/>
          <w:sz w:val="24"/>
          <w:szCs w:val="24"/>
        </w:rPr>
        <w:t>项目进度计划</w:t>
      </w:r>
      <w:r>
        <w:rPr>
          <w:sz w:val="24"/>
          <w:szCs w:val="24"/>
        </w:rPr>
        <w:t>]</w:t>
      </w:r>
      <w:r>
        <w:rPr>
          <w:rFonts w:hint="eastAsia"/>
          <w:sz w:val="24"/>
          <w:szCs w:val="24"/>
        </w:rPr>
        <w:t>约定修订项目进度计划时，需同时提交经修订后的发包人供应材料与工程设备的进场计划。发包人应按照上述进场计划，向承包人提交材料和工程设备。</w:t>
      </w:r>
    </w:p>
    <w:p>
      <w:pPr>
        <w:spacing w:line="360" w:lineRule="auto"/>
        <w:ind w:firstLine="480" w:firstLineChars="200"/>
        <w:rPr>
          <w:sz w:val="24"/>
          <w:szCs w:val="24"/>
        </w:rPr>
      </w:pPr>
      <w:r>
        <w:rPr>
          <w:rFonts w:hint="eastAsia"/>
          <w:sz w:val="24"/>
          <w:szCs w:val="24"/>
        </w:rPr>
        <w:t>发包人应在材料和工程设备到货</w:t>
      </w:r>
      <w:r>
        <w:rPr>
          <w:sz w:val="24"/>
          <w:szCs w:val="24"/>
        </w:rPr>
        <w:t>7</w:t>
      </w:r>
      <w:r>
        <w:rPr>
          <w:rFonts w:hint="eastAsia"/>
          <w:sz w:val="24"/>
          <w:szCs w:val="24"/>
        </w:rPr>
        <w:t>天前通知承包人，承包人应会同工程师在约定的时间内，赴交货地点共同进行验收。除专用合同条件另有约定外，发包人提供的材料和工程设备验收后，由承包人负责接收、运输和保管。</w:t>
      </w:r>
    </w:p>
    <w:p>
      <w:pPr>
        <w:spacing w:line="360" w:lineRule="auto"/>
        <w:ind w:firstLine="480" w:firstLineChars="200"/>
        <w:rPr>
          <w:sz w:val="24"/>
          <w:szCs w:val="24"/>
        </w:rPr>
      </w:pPr>
      <w:r>
        <w:rPr>
          <w:rFonts w:hint="eastAsia"/>
          <w:sz w:val="24"/>
          <w:szCs w:val="24"/>
        </w:rPr>
        <w:t>发包人需要对进场计划进行变更的，承包人不得拒绝，应根据第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的规定执行，并由发包人承担承包人由此增加的费用，以及引起的工期延误。承包人需要对进场计划进行变更的，应事先报请工程师批准，由此增加的费用和（或）工期延误由承包人承担。</w:t>
      </w:r>
    </w:p>
    <w:p>
      <w:pPr>
        <w:spacing w:line="360" w:lineRule="auto"/>
        <w:ind w:firstLine="480" w:firstLineChars="200"/>
        <w:rPr>
          <w:sz w:val="24"/>
          <w:szCs w:val="24"/>
        </w:rPr>
      </w:pPr>
      <w:r>
        <w:rPr>
          <w:rFonts w:hint="eastAsia"/>
          <w:sz w:val="24"/>
          <w:szCs w:val="24"/>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6"/>
        <w:spacing w:afterLines="0"/>
        <w:ind w:left="0" w:firstLine="480" w:firstLineChars="200"/>
        <w:rPr>
          <w:rFonts w:cs="宋体"/>
          <w:szCs w:val="24"/>
        </w:rPr>
      </w:pPr>
      <w:bookmarkStart w:id="307" w:name="_Ref531953918"/>
      <w:r>
        <w:rPr>
          <w:rFonts w:cs="宋体"/>
          <w:szCs w:val="24"/>
        </w:rPr>
        <w:t xml:space="preserve">6.2.2 </w:t>
      </w:r>
      <w:r>
        <w:rPr>
          <w:rFonts w:hint="eastAsia" w:cs="宋体"/>
          <w:szCs w:val="24"/>
        </w:rPr>
        <w:t>承包人提供的材料和工程设备</w:t>
      </w:r>
      <w:bookmarkEnd w:id="307"/>
    </w:p>
    <w:p>
      <w:pPr>
        <w:spacing w:line="360" w:lineRule="auto"/>
        <w:ind w:firstLine="480" w:firstLineChars="200"/>
        <w:rPr>
          <w:sz w:val="24"/>
          <w:szCs w:val="24"/>
        </w:rPr>
      </w:pPr>
      <w:r>
        <w:rPr>
          <w:rFonts w:hint="eastAsia"/>
          <w:sz w:val="24"/>
          <w:szCs w:val="24"/>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pPr>
        <w:spacing w:line="360" w:lineRule="auto"/>
        <w:ind w:firstLine="480" w:firstLineChars="200"/>
        <w:rPr>
          <w:sz w:val="24"/>
          <w:szCs w:val="24"/>
        </w:rPr>
      </w:pPr>
      <w:r>
        <w:rPr>
          <w:rFonts w:hint="eastAsia"/>
          <w:sz w:val="24"/>
          <w:szCs w:val="24"/>
        </w:rPr>
        <w:t>承包人应按照已被批准的第</w:t>
      </w:r>
      <w:r>
        <w:rPr>
          <w:sz w:val="24"/>
          <w:szCs w:val="24"/>
        </w:rPr>
        <w:t>8.4</w:t>
      </w:r>
      <w:r>
        <w:rPr>
          <w:rFonts w:hint="eastAsia"/>
          <w:sz w:val="24"/>
          <w:szCs w:val="24"/>
        </w:rPr>
        <w:t>款</w:t>
      </w:r>
      <w:r>
        <w:rPr>
          <w:sz w:val="24"/>
          <w:szCs w:val="24"/>
        </w:rPr>
        <w:t>[</w:t>
      </w:r>
      <w:r>
        <w:rPr>
          <w:rFonts w:hint="eastAsia"/>
          <w:sz w:val="24"/>
          <w:szCs w:val="24"/>
        </w:rPr>
        <w:t>项目进度计划</w:t>
      </w:r>
      <w:r>
        <w:rPr>
          <w:sz w:val="24"/>
          <w:szCs w:val="24"/>
        </w:rPr>
        <w:t>]</w:t>
      </w:r>
      <w:r>
        <w:rPr>
          <w:rFonts w:hint="eastAsia"/>
          <w:sz w:val="24"/>
          <w:szCs w:val="24"/>
        </w:rPr>
        <w:t>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pPr>
        <w:spacing w:line="360" w:lineRule="auto"/>
        <w:ind w:firstLine="480" w:firstLineChars="200"/>
        <w:rPr>
          <w:sz w:val="24"/>
          <w:szCs w:val="24"/>
        </w:rPr>
      </w:pPr>
      <w:r>
        <w:rPr>
          <w:rFonts w:hint="eastAsia"/>
          <w:sz w:val="24"/>
          <w:szCs w:val="24"/>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pPr>
        <w:spacing w:line="360" w:lineRule="auto"/>
        <w:ind w:firstLine="480" w:firstLineChars="200"/>
        <w:rPr>
          <w:sz w:val="24"/>
          <w:szCs w:val="24"/>
        </w:rPr>
      </w:pPr>
      <w:r>
        <w:rPr>
          <w:rFonts w:hint="eastAsia"/>
          <w:sz w:val="24"/>
          <w:szCs w:val="24"/>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pPr>
        <w:pStyle w:val="66"/>
        <w:spacing w:afterLines="0"/>
        <w:ind w:left="0" w:firstLine="480" w:firstLineChars="200"/>
        <w:rPr>
          <w:rFonts w:cs="宋体"/>
          <w:szCs w:val="24"/>
        </w:rPr>
      </w:pPr>
      <w:bookmarkStart w:id="308" w:name="_Ref531953991"/>
      <w:bookmarkStart w:id="309" w:name="_Ref531953999"/>
      <w:r>
        <w:rPr>
          <w:rFonts w:cs="宋体"/>
          <w:szCs w:val="24"/>
        </w:rPr>
        <w:t xml:space="preserve">6.2.3 </w:t>
      </w:r>
      <w:r>
        <w:rPr>
          <w:rFonts w:hint="eastAsia" w:cs="宋体"/>
          <w:szCs w:val="24"/>
        </w:rPr>
        <w:t>材料和工程设备的保管</w:t>
      </w:r>
      <w:bookmarkEnd w:id="308"/>
      <w:bookmarkEnd w:id="309"/>
      <w:r>
        <w:rPr>
          <w:rFonts w:cs="宋体"/>
          <w:szCs w:val="24"/>
        </w:rPr>
        <w:t xml:space="preserve"> </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发包人供应材料与工程设备的保管与使用</w:t>
      </w:r>
    </w:p>
    <w:p>
      <w:pPr>
        <w:spacing w:line="360" w:lineRule="auto"/>
        <w:ind w:firstLine="480" w:firstLineChars="200"/>
        <w:rPr>
          <w:sz w:val="24"/>
          <w:szCs w:val="24"/>
        </w:rPr>
      </w:pPr>
      <w:r>
        <w:rPr>
          <w:rFonts w:hint="eastAsia"/>
          <w:sz w:val="24"/>
          <w:szCs w:val="24"/>
        </w:rPr>
        <w:t>发包人供应的材料和工程设备，承包人清点并接收后由承包人妥善保管，保管费用由承包人承担，但专用合同条件另有约定除外。因承包人原因发生丢失毁损的，由承包人负责赔偿。</w:t>
      </w:r>
    </w:p>
    <w:p>
      <w:pPr>
        <w:spacing w:line="360" w:lineRule="auto"/>
        <w:ind w:firstLine="480" w:firstLineChars="200"/>
        <w:rPr>
          <w:sz w:val="24"/>
          <w:szCs w:val="24"/>
        </w:rPr>
      </w:pPr>
      <w:r>
        <w:rPr>
          <w:rFonts w:hint="eastAsia"/>
          <w:sz w:val="24"/>
          <w:szCs w:val="24"/>
        </w:rPr>
        <w:t>发包人供应的材料和工程设备使用前，由承包人负责必要的检验，检验费用由发包人承担，不合格的不得使用。</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承包人采购材料与工程设备的保管与使用</w:t>
      </w:r>
    </w:p>
    <w:p>
      <w:pPr>
        <w:spacing w:line="360" w:lineRule="auto"/>
        <w:ind w:firstLine="480" w:firstLineChars="200"/>
        <w:rPr>
          <w:sz w:val="24"/>
          <w:szCs w:val="24"/>
        </w:rPr>
      </w:pPr>
      <w:r>
        <w:rPr>
          <w:rFonts w:hint="eastAsia"/>
          <w:sz w:val="24"/>
          <w:szCs w:val="24"/>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pPr>
        <w:spacing w:line="360" w:lineRule="auto"/>
        <w:ind w:firstLine="480" w:firstLineChars="200"/>
        <w:rPr>
          <w:sz w:val="24"/>
          <w:szCs w:val="24"/>
        </w:rPr>
      </w:pPr>
      <w:r>
        <w:rPr>
          <w:rFonts w:hint="eastAsia"/>
          <w:sz w:val="24"/>
          <w:szCs w:val="24"/>
        </w:rPr>
        <w:t>工程师发现承包人使用不符合设计或有关标准要求的材料和工程设备时，有权要求承包人进行修复、拆除或重新采购，由此增加的费用和（或）延误的工期，由承包人承担。</w:t>
      </w:r>
    </w:p>
    <w:p>
      <w:pPr>
        <w:pStyle w:val="66"/>
        <w:spacing w:afterLines="0"/>
        <w:ind w:left="0" w:firstLine="480" w:firstLineChars="200"/>
        <w:rPr>
          <w:rFonts w:cs="宋体"/>
          <w:szCs w:val="24"/>
        </w:rPr>
      </w:pPr>
      <w:r>
        <w:rPr>
          <w:rFonts w:cs="宋体"/>
          <w:szCs w:val="24"/>
        </w:rPr>
        <w:t xml:space="preserve">6.2.4 </w:t>
      </w:r>
      <w:r>
        <w:rPr>
          <w:rFonts w:hint="eastAsia" w:cs="宋体"/>
          <w:szCs w:val="24"/>
        </w:rPr>
        <w:t>材料和工程设备的所有权</w:t>
      </w:r>
    </w:p>
    <w:p>
      <w:pPr>
        <w:spacing w:line="360" w:lineRule="auto"/>
        <w:ind w:firstLine="480" w:firstLineChars="200"/>
        <w:rPr>
          <w:sz w:val="24"/>
          <w:szCs w:val="24"/>
        </w:rPr>
      </w:pPr>
      <w:r>
        <w:rPr>
          <w:rFonts w:hint="eastAsia"/>
          <w:sz w:val="24"/>
          <w:szCs w:val="24"/>
        </w:rPr>
        <w:t>除本合同另有约定外，承包人根据第</w:t>
      </w:r>
      <w:r>
        <w:rPr>
          <w:sz w:val="24"/>
          <w:szCs w:val="24"/>
        </w:rPr>
        <w:t>6.2.2</w:t>
      </w:r>
      <w:r>
        <w:rPr>
          <w:rFonts w:hint="eastAsia"/>
          <w:sz w:val="24"/>
          <w:szCs w:val="24"/>
        </w:rPr>
        <w:t>项</w:t>
      </w:r>
      <w:r>
        <w:rPr>
          <w:sz w:val="24"/>
          <w:szCs w:val="24"/>
        </w:rPr>
        <w:t>[</w:t>
      </w:r>
      <w:r>
        <w:rPr>
          <w:rFonts w:hint="eastAsia"/>
          <w:sz w:val="24"/>
          <w:szCs w:val="24"/>
        </w:rPr>
        <w:t>承包人提供的材料和工程设备</w:t>
      </w:r>
      <w:r>
        <w:rPr>
          <w:sz w:val="24"/>
          <w:szCs w:val="24"/>
        </w:rPr>
        <w:t>]</w:t>
      </w:r>
      <w:r>
        <w:rPr>
          <w:rFonts w:hint="eastAsia"/>
          <w:sz w:val="24"/>
          <w:szCs w:val="24"/>
        </w:rPr>
        <w:t>约定提供的材料和工程设备后，材料及工程设备的价款应列入第</w:t>
      </w:r>
      <w:r>
        <w:rPr>
          <w:sz w:val="24"/>
          <w:szCs w:val="24"/>
        </w:rPr>
        <w:t>14.3.1</w:t>
      </w:r>
      <w:r>
        <w:rPr>
          <w:rFonts w:hint="eastAsia"/>
          <w:sz w:val="24"/>
          <w:szCs w:val="24"/>
        </w:rPr>
        <w:t>项第（</w:t>
      </w:r>
      <w:r>
        <w:rPr>
          <w:sz w:val="24"/>
          <w:szCs w:val="24"/>
        </w:rPr>
        <w:t>2</w:t>
      </w:r>
      <w:r>
        <w:rPr>
          <w:rFonts w:hint="eastAsia"/>
          <w:sz w:val="24"/>
          <w:szCs w:val="24"/>
        </w:rPr>
        <w:t>）目的进度款金额中，发包人支付当期进度款之后，其所有权转为发包人所有（周转性材料除外）；在发包人接收工程前，承包人有义务对材料和工程设备进行保管、维护和保养，未经发包人批准不得运出现场。</w:t>
      </w:r>
    </w:p>
    <w:p>
      <w:pPr>
        <w:spacing w:line="360" w:lineRule="auto"/>
        <w:ind w:firstLine="480" w:firstLineChars="200"/>
        <w:rPr>
          <w:sz w:val="24"/>
          <w:szCs w:val="24"/>
        </w:rPr>
      </w:pPr>
      <w:r>
        <w:rPr>
          <w:rFonts w:hint="eastAsia"/>
          <w:sz w:val="24"/>
          <w:szCs w:val="24"/>
        </w:rPr>
        <w:t>承包人按第</w:t>
      </w:r>
      <w:r>
        <w:rPr>
          <w:sz w:val="24"/>
          <w:szCs w:val="24"/>
        </w:rPr>
        <w:t>6.2.2</w:t>
      </w:r>
      <w:r>
        <w:rPr>
          <w:rFonts w:hint="eastAsia"/>
          <w:sz w:val="24"/>
          <w:szCs w:val="24"/>
        </w:rPr>
        <w:t>项提供的材料和工程设备，承包人应确保发包人取得无权利负担的材料及工程设备所有权，因承包人与第三人的物权争议导致的增加的费用和（或）延误的工期，由承包人承担。</w:t>
      </w:r>
    </w:p>
    <w:p>
      <w:pPr>
        <w:pStyle w:val="65"/>
        <w:widowControl/>
        <w:spacing w:afterLines="0"/>
        <w:ind w:left="0" w:firstLine="482" w:firstLineChars="200"/>
        <w:rPr>
          <w:rFonts w:ascii="宋体" w:hAnsi="宋体" w:eastAsia="宋体" w:cs="宋体"/>
        </w:rPr>
      </w:pPr>
      <w:bookmarkStart w:id="310" w:name="_Ref4428239"/>
      <w:bookmarkStart w:id="311" w:name="_Toc54862231"/>
      <w:bookmarkStart w:id="312" w:name="_Toc351203565"/>
      <w:bookmarkStart w:id="313" w:name="_Toc337558785"/>
      <w:r>
        <w:rPr>
          <w:rFonts w:ascii="宋体" w:hAnsi="宋体" w:eastAsia="宋体" w:cs="宋体"/>
        </w:rPr>
        <w:t xml:space="preserve">6.3 </w:t>
      </w:r>
      <w:r>
        <w:rPr>
          <w:rFonts w:hint="eastAsia" w:ascii="宋体" w:hAnsi="宋体" w:eastAsia="宋体" w:cs="宋体"/>
        </w:rPr>
        <w:t>样品</w:t>
      </w:r>
      <w:bookmarkEnd w:id="310"/>
      <w:bookmarkEnd w:id="311"/>
    </w:p>
    <w:p>
      <w:pPr>
        <w:pStyle w:val="66"/>
        <w:spacing w:afterLines="0"/>
        <w:ind w:left="0" w:firstLine="480" w:firstLineChars="200"/>
        <w:rPr>
          <w:rFonts w:cs="宋体"/>
          <w:szCs w:val="24"/>
        </w:rPr>
      </w:pPr>
      <w:r>
        <w:rPr>
          <w:rFonts w:cs="宋体"/>
          <w:szCs w:val="24"/>
        </w:rPr>
        <w:t xml:space="preserve">6.3.1 </w:t>
      </w:r>
      <w:r>
        <w:rPr>
          <w:rFonts w:hint="eastAsia" w:cs="宋体"/>
          <w:szCs w:val="24"/>
        </w:rPr>
        <w:t>样品的报送与封存</w:t>
      </w:r>
    </w:p>
    <w:p>
      <w:pPr>
        <w:spacing w:line="360" w:lineRule="auto"/>
        <w:ind w:firstLine="480" w:firstLineChars="200"/>
        <w:rPr>
          <w:color w:val="000000"/>
          <w:sz w:val="24"/>
          <w:szCs w:val="24"/>
        </w:rPr>
      </w:pPr>
      <w:r>
        <w:rPr>
          <w:rFonts w:hint="eastAsia"/>
          <w:sz w:val="24"/>
          <w:szCs w:val="24"/>
        </w:rPr>
        <w:t>需要承包人报送样品的材料或工程设备，样品的种类、名称、规格、数量等要求均应在专用合同条件中约定。样品的报送程序如下：</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承包人应在计划采购前</w:t>
      </w:r>
      <w:r>
        <w:rPr>
          <w:sz w:val="24"/>
          <w:szCs w:val="24"/>
        </w:rPr>
        <w:t>28</w:t>
      </w:r>
      <w:r>
        <w:rPr>
          <w:rFonts w:hint="eastAsia"/>
          <w:sz w:val="24"/>
          <w:szCs w:val="24"/>
        </w:rPr>
        <w:t>天向工程师报送样品。承包人报送的样品均应来自供应材料的实际生产地，且提供的样品的规格、数量足以表明材料或工程设备的质量、型号、颜色、表面处理、质地、误差和其他要求的特征。</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承包人每次报送样品时应随附申报单，申报单应载明报送样品的相关数据和资料，并标明每件样品对应的图纸号，预留工程师审批意见栏。工程师应在收到承包人报送的样品后</w:t>
      </w:r>
      <w:r>
        <w:rPr>
          <w:sz w:val="24"/>
          <w:szCs w:val="24"/>
        </w:rPr>
        <w:t>7</w:t>
      </w:r>
      <w:r>
        <w:rPr>
          <w:rFonts w:hint="eastAsia"/>
          <w:sz w:val="24"/>
          <w:szCs w:val="24"/>
        </w:rPr>
        <w:t>天向承包人回复经发包人签认的样品审批意见。</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经工程师审批确认的样品应按约定的方法封样，封存的样品作为检验工程相关部分的标准之一。承包人在施工过程中不得使用与样品不符的材料或工程设备。</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Style w:val="66"/>
        <w:spacing w:afterLines="0"/>
        <w:ind w:left="0" w:firstLine="480" w:firstLineChars="200"/>
        <w:rPr>
          <w:rFonts w:cs="宋体"/>
          <w:szCs w:val="24"/>
        </w:rPr>
      </w:pPr>
      <w:r>
        <w:rPr>
          <w:rFonts w:cs="宋体"/>
          <w:szCs w:val="24"/>
        </w:rPr>
        <w:t xml:space="preserve">6.3.2 </w:t>
      </w:r>
      <w:r>
        <w:rPr>
          <w:rFonts w:hint="eastAsia" w:cs="宋体"/>
          <w:szCs w:val="24"/>
        </w:rPr>
        <w:t>样品的保管</w:t>
      </w:r>
    </w:p>
    <w:p>
      <w:pPr>
        <w:spacing w:line="360" w:lineRule="auto"/>
        <w:ind w:firstLine="480" w:firstLineChars="200"/>
        <w:rPr>
          <w:sz w:val="24"/>
          <w:szCs w:val="24"/>
        </w:rPr>
      </w:pPr>
      <w:r>
        <w:rPr>
          <w:rFonts w:hint="eastAsia"/>
          <w:sz w:val="24"/>
          <w:szCs w:val="24"/>
        </w:rPr>
        <w:t>经批准的样品应由工程师负责封存于现场，承包人应在现场为保存样品提供适当和固定的场所并保持适当和良好的存储环境条件。</w:t>
      </w:r>
    </w:p>
    <w:p>
      <w:pPr>
        <w:pStyle w:val="65"/>
        <w:widowControl/>
        <w:spacing w:afterLines="0"/>
        <w:ind w:left="0" w:firstLine="482" w:firstLineChars="200"/>
        <w:rPr>
          <w:rFonts w:ascii="宋体" w:hAnsi="宋体" w:eastAsia="宋体" w:cs="宋体"/>
        </w:rPr>
      </w:pPr>
      <w:bookmarkStart w:id="314" w:name="_Toc54862232"/>
      <w:bookmarkStart w:id="315" w:name="_Ref11959210"/>
      <w:bookmarkStart w:id="316" w:name="_Ref11959204"/>
      <w:r>
        <w:rPr>
          <w:rFonts w:ascii="宋体" w:hAnsi="宋体" w:eastAsia="宋体" w:cs="宋体"/>
        </w:rPr>
        <w:t xml:space="preserve">6.4 </w:t>
      </w:r>
      <w:r>
        <w:rPr>
          <w:rFonts w:hint="eastAsia" w:ascii="宋体" w:hAnsi="宋体" w:eastAsia="宋体" w:cs="宋体"/>
        </w:rPr>
        <w:t>质量检查</w:t>
      </w:r>
      <w:bookmarkEnd w:id="314"/>
      <w:bookmarkEnd w:id="315"/>
      <w:bookmarkEnd w:id="316"/>
    </w:p>
    <w:p>
      <w:pPr>
        <w:pStyle w:val="66"/>
        <w:spacing w:afterLines="0"/>
        <w:ind w:left="0" w:firstLine="480" w:firstLineChars="200"/>
        <w:rPr>
          <w:rFonts w:cs="宋体"/>
          <w:szCs w:val="24"/>
        </w:rPr>
      </w:pPr>
      <w:bookmarkStart w:id="317" w:name="_Ref18990699"/>
      <w:r>
        <w:rPr>
          <w:rFonts w:cs="宋体"/>
          <w:szCs w:val="24"/>
        </w:rPr>
        <w:t xml:space="preserve">6.4.1 </w:t>
      </w:r>
      <w:r>
        <w:rPr>
          <w:rFonts w:hint="eastAsia" w:cs="宋体"/>
          <w:szCs w:val="24"/>
        </w:rPr>
        <w:t>工程质量要求</w:t>
      </w:r>
      <w:bookmarkEnd w:id="317"/>
    </w:p>
    <w:p>
      <w:pPr>
        <w:spacing w:line="360" w:lineRule="auto"/>
        <w:ind w:firstLine="480" w:firstLineChars="200"/>
        <w:rPr>
          <w:sz w:val="24"/>
          <w:szCs w:val="24"/>
        </w:rPr>
      </w:pPr>
      <w:r>
        <w:rPr>
          <w:rFonts w:hint="eastAsia"/>
          <w:sz w:val="24"/>
          <w:szCs w:val="24"/>
        </w:rPr>
        <w:t>工程质量标准必须符合现行国家有关工程施工质量验收规范和标准的要求。有关工程质量的特殊标准或要求由合同当事人在专用合同条件中约定。</w:t>
      </w:r>
    </w:p>
    <w:p>
      <w:pPr>
        <w:spacing w:line="360" w:lineRule="auto"/>
        <w:ind w:firstLine="480" w:firstLineChars="200"/>
        <w:rPr>
          <w:sz w:val="24"/>
          <w:szCs w:val="24"/>
        </w:rPr>
      </w:pPr>
      <w:r>
        <w:rPr>
          <w:rFonts w:hint="eastAsia"/>
          <w:sz w:val="24"/>
          <w:szCs w:val="24"/>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pPr>
        <w:pStyle w:val="66"/>
        <w:spacing w:afterLines="0"/>
        <w:ind w:left="0" w:firstLine="480" w:firstLineChars="200"/>
        <w:rPr>
          <w:rFonts w:cs="宋体"/>
          <w:szCs w:val="24"/>
        </w:rPr>
      </w:pPr>
      <w:bookmarkStart w:id="318" w:name="_Ref18990717"/>
      <w:r>
        <w:rPr>
          <w:rFonts w:cs="宋体"/>
          <w:szCs w:val="24"/>
        </w:rPr>
        <w:t xml:space="preserve">6.4.2 </w:t>
      </w:r>
      <w:r>
        <w:rPr>
          <w:rFonts w:hint="eastAsia" w:cs="宋体"/>
          <w:szCs w:val="24"/>
        </w:rPr>
        <w:t>质量检查</w:t>
      </w:r>
      <w:bookmarkEnd w:id="318"/>
    </w:p>
    <w:p>
      <w:pPr>
        <w:spacing w:line="360" w:lineRule="auto"/>
        <w:ind w:firstLine="480" w:firstLineChars="200"/>
        <w:rPr>
          <w:sz w:val="24"/>
          <w:szCs w:val="24"/>
        </w:rPr>
      </w:pPr>
      <w:r>
        <w:rPr>
          <w:rFonts w:hint="eastAsia"/>
          <w:sz w:val="24"/>
          <w:szCs w:val="24"/>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pPr>
        <w:pStyle w:val="66"/>
        <w:spacing w:afterLines="0"/>
        <w:ind w:left="0" w:firstLine="480" w:firstLineChars="200"/>
        <w:rPr>
          <w:rFonts w:cs="宋体"/>
          <w:szCs w:val="24"/>
        </w:rPr>
      </w:pPr>
      <w:bookmarkStart w:id="319" w:name="_Ref11959222"/>
      <w:r>
        <w:rPr>
          <w:rFonts w:cs="宋体"/>
          <w:szCs w:val="24"/>
        </w:rPr>
        <w:t xml:space="preserve">6.4.3 </w:t>
      </w:r>
      <w:r>
        <w:rPr>
          <w:rFonts w:hint="eastAsia" w:cs="宋体"/>
          <w:szCs w:val="24"/>
        </w:rPr>
        <w:t>隐蔽工程检查</w:t>
      </w:r>
      <w:bookmarkEnd w:id="319"/>
    </w:p>
    <w:p>
      <w:pPr>
        <w:spacing w:line="360" w:lineRule="auto"/>
        <w:ind w:firstLine="480" w:firstLineChars="200"/>
        <w:rPr>
          <w:sz w:val="24"/>
          <w:szCs w:val="24"/>
        </w:rPr>
      </w:pPr>
      <w:r>
        <w:rPr>
          <w:rFonts w:hint="eastAsia"/>
          <w:sz w:val="24"/>
          <w:szCs w:val="24"/>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pPr>
        <w:spacing w:line="360" w:lineRule="auto"/>
        <w:ind w:firstLine="480" w:firstLineChars="200"/>
        <w:rPr>
          <w:sz w:val="24"/>
          <w:szCs w:val="24"/>
        </w:rPr>
      </w:pPr>
      <w:r>
        <w:rPr>
          <w:rFonts w:hint="eastAsia"/>
          <w:sz w:val="24"/>
          <w:szCs w:val="24"/>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pPr>
        <w:spacing w:line="360" w:lineRule="auto"/>
        <w:ind w:firstLine="480" w:firstLineChars="200"/>
        <w:rPr>
          <w:sz w:val="24"/>
          <w:szCs w:val="24"/>
        </w:rPr>
      </w:pPr>
      <w:r>
        <w:rPr>
          <w:rFonts w:hint="eastAsia"/>
          <w:sz w:val="24"/>
          <w:szCs w:val="24"/>
        </w:rPr>
        <w:t>除专用合同条件另有约定外，工程师不能按时进行检查的，应提前向承包人提交书面延期要求，顺延时间不得超过</w:t>
      </w:r>
      <w:r>
        <w:rPr>
          <w:sz w:val="24"/>
          <w:szCs w:val="24"/>
        </w:rPr>
        <w:t>48</w:t>
      </w:r>
      <w:r>
        <w:rPr>
          <w:rFonts w:hint="eastAsia"/>
          <w:sz w:val="24"/>
          <w:szCs w:val="24"/>
        </w:rPr>
        <w:t>小时，由此导致工期延误的，工期应予以顺延，顺延超过</w:t>
      </w:r>
      <w:r>
        <w:rPr>
          <w:sz w:val="24"/>
          <w:szCs w:val="24"/>
        </w:rPr>
        <w:t>48</w:t>
      </w:r>
      <w:r>
        <w:rPr>
          <w:rFonts w:hint="eastAsia"/>
          <w:sz w:val="24"/>
          <w:szCs w:val="24"/>
        </w:rPr>
        <w:t>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pPr>
        <w:spacing w:line="360" w:lineRule="auto"/>
        <w:ind w:firstLine="480" w:firstLineChars="200"/>
        <w:rPr>
          <w:sz w:val="24"/>
          <w:szCs w:val="24"/>
        </w:rPr>
      </w:pPr>
      <w:r>
        <w:rPr>
          <w:rFonts w:hint="eastAsia"/>
          <w:sz w:val="24"/>
          <w:szCs w:val="24"/>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80" w:firstLineChars="200"/>
        <w:rPr>
          <w:sz w:val="24"/>
          <w:szCs w:val="24"/>
        </w:rPr>
      </w:pPr>
      <w:r>
        <w:rPr>
          <w:rFonts w:hint="eastAsia"/>
          <w:sz w:val="24"/>
          <w:szCs w:val="24"/>
        </w:rPr>
        <w:t>承包人未通知工程师到场检查，私自将工程隐蔽部位覆盖的，工程师有权指示承包人钻孔探测或揭开检查，无论工程隐蔽部位质量是否合格，由此增加的费用和（或）延误的工期均由承包人承担。</w:t>
      </w:r>
    </w:p>
    <w:bookmarkEnd w:id="312"/>
    <w:p>
      <w:pPr>
        <w:pStyle w:val="65"/>
        <w:widowControl/>
        <w:spacing w:afterLines="0"/>
        <w:ind w:left="0" w:firstLine="482" w:firstLineChars="200"/>
        <w:rPr>
          <w:rFonts w:ascii="宋体" w:hAnsi="宋体" w:eastAsia="宋体" w:cs="宋体"/>
        </w:rPr>
      </w:pPr>
      <w:bookmarkStart w:id="320" w:name="_Ref11927389"/>
      <w:bookmarkStart w:id="321" w:name="_Ref11927398"/>
      <w:bookmarkStart w:id="322" w:name="_Ref11927403"/>
      <w:bookmarkStart w:id="323" w:name="_Ref11959158"/>
      <w:bookmarkStart w:id="324" w:name="_Ref11959175"/>
      <w:bookmarkStart w:id="325" w:name="_Toc54862233"/>
      <w:r>
        <w:rPr>
          <w:rFonts w:ascii="宋体" w:hAnsi="宋体" w:eastAsia="宋体" w:cs="宋体"/>
        </w:rPr>
        <w:t xml:space="preserve">6.5 </w:t>
      </w:r>
      <w:r>
        <w:rPr>
          <w:rFonts w:hint="eastAsia" w:ascii="宋体" w:hAnsi="宋体" w:eastAsia="宋体" w:cs="宋体"/>
        </w:rPr>
        <w:t>由承包人试验</w:t>
      </w:r>
      <w:bookmarkEnd w:id="320"/>
      <w:bookmarkEnd w:id="321"/>
      <w:bookmarkEnd w:id="322"/>
      <w:r>
        <w:rPr>
          <w:rFonts w:hint="eastAsia" w:ascii="宋体" w:hAnsi="宋体" w:eastAsia="宋体" w:cs="宋体"/>
        </w:rPr>
        <w:t>和检验</w:t>
      </w:r>
      <w:bookmarkEnd w:id="323"/>
      <w:bookmarkEnd w:id="324"/>
      <w:bookmarkEnd w:id="325"/>
    </w:p>
    <w:bookmarkEnd w:id="313"/>
    <w:p>
      <w:pPr>
        <w:pStyle w:val="66"/>
        <w:spacing w:afterLines="0"/>
        <w:ind w:left="0" w:firstLine="480" w:firstLineChars="200"/>
        <w:rPr>
          <w:rFonts w:cs="宋体"/>
          <w:szCs w:val="24"/>
        </w:rPr>
      </w:pPr>
      <w:r>
        <w:rPr>
          <w:rFonts w:cs="宋体"/>
          <w:szCs w:val="24"/>
        </w:rPr>
        <w:t xml:space="preserve">6.5.1 </w:t>
      </w:r>
      <w:r>
        <w:rPr>
          <w:rFonts w:hint="eastAsia" w:cs="宋体"/>
          <w:szCs w:val="24"/>
        </w:rPr>
        <w:t>试验设备与试验人员</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承包人应按专用合同条件约定的试验内容、时间和地点提供试验设备、取样装置、试验场所和试验条件，并向工程师提交相应进场计划表。</w:t>
      </w:r>
    </w:p>
    <w:p>
      <w:pPr>
        <w:spacing w:line="360" w:lineRule="auto"/>
        <w:ind w:firstLine="480" w:firstLineChars="200"/>
        <w:rPr>
          <w:sz w:val="24"/>
          <w:szCs w:val="24"/>
        </w:rPr>
      </w:pPr>
      <w:r>
        <w:rPr>
          <w:rFonts w:hint="eastAsia"/>
          <w:sz w:val="24"/>
          <w:szCs w:val="24"/>
        </w:rPr>
        <w:t>承包人配置的试验设备要符合相应试验规程的要求并经过具有资质的检测单位检测，且在正式使用该试验设备前，需要经过工程师与承包人共同校定。</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承包人应向工程师提交试验人员的名单及其岗位、资格等证明资料，试验人员必须能够熟练进行相应的检测试验，承包人对试验人员的试验程序和试验结果的正确性负责。</w:t>
      </w:r>
    </w:p>
    <w:p>
      <w:pPr>
        <w:pStyle w:val="66"/>
        <w:spacing w:afterLines="0"/>
        <w:ind w:left="0" w:firstLine="480" w:firstLineChars="200"/>
        <w:rPr>
          <w:rFonts w:cs="宋体"/>
          <w:szCs w:val="24"/>
        </w:rPr>
      </w:pPr>
      <w:r>
        <w:rPr>
          <w:rFonts w:cs="宋体"/>
          <w:szCs w:val="24"/>
        </w:rPr>
        <w:t xml:space="preserve">6.5.2 </w:t>
      </w:r>
      <w:r>
        <w:rPr>
          <w:rFonts w:hint="eastAsia" w:cs="宋体"/>
          <w:szCs w:val="24"/>
        </w:rPr>
        <w:t>取样</w:t>
      </w:r>
    </w:p>
    <w:p>
      <w:pPr>
        <w:spacing w:line="360" w:lineRule="auto"/>
        <w:ind w:firstLine="480" w:firstLineChars="200"/>
        <w:rPr>
          <w:sz w:val="24"/>
          <w:szCs w:val="24"/>
        </w:rPr>
      </w:pPr>
      <w:r>
        <w:rPr>
          <w:rFonts w:hint="eastAsia"/>
          <w:sz w:val="24"/>
          <w:szCs w:val="24"/>
        </w:rPr>
        <w:t>试验属于自检性质的，承包人可以单独取样。试验属于工程师抽检性质的，可由工程师取样，也可由承包人的试验人员在工程师的监督下取样。</w:t>
      </w:r>
    </w:p>
    <w:p>
      <w:pPr>
        <w:pStyle w:val="66"/>
        <w:spacing w:afterLines="0"/>
        <w:ind w:left="0" w:firstLine="480" w:firstLineChars="200"/>
        <w:rPr>
          <w:rFonts w:cs="宋体"/>
          <w:szCs w:val="24"/>
        </w:rPr>
      </w:pPr>
      <w:r>
        <w:rPr>
          <w:rFonts w:cs="宋体"/>
          <w:szCs w:val="24"/>
        </w:rPr>
        <w:t xml:space="preserve">6.5.3 </w:t>
      </w:r>
      <w:r>
        <w:rPr>
          <w:rFonts w:hint="eastAsia" w:cs="宋体"/>
          <w:szCs w:val="24"/>
        </w:rPr>
        <w:t>材料、工程设备和工程的试验和检验</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6"/>
        <w:spacing w:afterLines="0"/>
        <w:ind w:left="0" w:firstLine="480" w:firstLineChars="200"/>
        <w:rPr>
          <w:rFonts w:cs="宋体"/>
          <w:szCs w:val="24"/>
        </w:rPr>
      </w:pPr>
      <w:bookmarkStart w:id="326" w:name="_Toc351203566"/>
      <w:bookmarkStart w:id="327" w:name="_Toc337558786"/>
      <w:r>
        <w:rPr>
          <w:rFonts w:cs="宋体"/>
          <w:szCs w:val="24"/>
        </w:rPr>
        <w:t xml:space="preserve">6.5.4 </w:t>
      </w:r>
      <w:r>
        <w:rPr>
          <w:rFonts w:hint="eastAsia" w:cs="宋体"/>
          <w:szCs w:val="24"/>
        </w:rPr>
        <w:t>现场工艺试验</w:t>
      </w:r>
      <w:bookmarkEnd w:id="326"/>
    </w:p>
    <w:bookmarkEnd w:id="327"/>
    <w:p>
      <w:pPr>
        <w:spacing w:line="360" w:lineRule="auto"/>
        <w:ind w:firstLine="480" w:firstLineChars="200"/>
        <w:rPr>
          <w:sz w:val="24"/>
          <w:szCs w:val="24"/>
        </w:rPr>
      </w:pPr>
      <w:r>
        <w:rPr>
          <w:rFonts w:hint="eastAsia"/>
          <w:sz w:val="24"/>
          <w:szCs w:val="24"/>
        </w:rPr>
        <w:t>承包人应按合同约定进行现场工艺试验。对大型的现场工艺试验，发包人认为必要时，承包人应根据发包人提出的工艺试验要求，编制工艺试验措施计划，报送发包人审查。</w:t>
      </w:r>
    </w:p>
    <w:p>
      <w:pPr>
        <w:pStyle w:val="65"/>
        <w:widowControl/>
        <w:spacing w:afterLines="0"/>
        <w:ind w:left="0" w:firstLine="482" w:firstLineChars="200"/>
        <w:rPr>
          <w:rFonts w:ascii="宋体" w:hAnsi="宋体" w:eastAsia="宋体" w:cs="宋体"/>
          <w:b w:val="0"/>
          <w:bCs/>
        </w:rPr>
      </w:pPr>
      <w:bookmarkStart w:id="328" w:name="_Ref532592784"/>
      <w:bookmarkStart w:id="329" w:name="_Toc54862234"/>
      <w:bookmarkStart w:id="330" w:name="_Ref532592787"/>
      <w:r>
        <w:rPr>
          <w:rFonts w:ascii="宋体" w:hAnsi="宋体" w:eastAsia="宋体" w:cs="宋体"/>
        </w:rPr>
        <w:t xml:space="preserve">6.6 </w:t>
      </w:r>
      <w:r>
        <w:rPr>
          <w:rFonts w:hint="eastAsia" w:ascii="宋体" w:hAnsi="宋体" w:eastAsia="宋体" w:cs="宋体"/>
        </w:rPr>
        <w:t>缺陷和修补</w:t>
      </w:r>
      <w:bookmarkEnd w:id="328"/>
      <w:bookmarkEnd w:id="329"/>
      <w:bookmarkEnd w:id="330"/>
    </w:p>
    <w:p>
      <w:pPr>
        <w:pStyle w:val="66"/>
        <w:spacing w:afterLines="0"/>
        <w:ind w:left="0" w:firstLine="480" w:firstLineChars="200"/>
        <w:rPr>
          <w:rFonts w:cs="宋体"/>
          <w:szCs w:val="24"/>
        </w:rPr>
      </w:pPr>
      <w:bookmarkStart w:id="331" w:name="_Ref16875551"/>
      <w:r>
        <w:rPr>
          <w:rFonts w:cs="宋体"/>
          <w:szCs w:val="24"/>
        </w:rPr>
        <w:t xml:space="preserve">6.6.1 </w:t>
      </w:r>
      <w:r>
        <w:rPr>
          <w:rFonts w:hint="eastAsia" w:cs="宋体"/>
          <w:szCs w:val="24"/>
        </w:rPr>
        <w:t>发包人可在颁发接收证书前随时指示承包人：</w:t>
      </w:r>
      <w:bookmarkEnd w:id="331"/>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对不符合合同要求的任何工程设备或材料进行修补，或者将其移出现场并进行更换；</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对不符合合同的其他工作进行修补，或者将其去除并重新实施；</w:t>
      </w:r>
      <w:r>
        <w:rPr>
          <w:sz w:val="24"/>
          <w:szCs w:val="24"/>
        </w:rPr>
        <w:t xml:space="preserve"> </w:t>
      </w:r>
    </w:p>
    <w:p>
      <w:pPr>
        <w:spacing w:line="360" w:lineRule="auto"/>
        <w:ind w:firstLine="480" w:firstLineChars="200"/>
        <w:rPr>
          <w:sz w:val="24"/>
          <w:szCs w:val="24"/>
        </w:rPr>
      </w:pPr>
      <w:bookmarkStart w:id="332" w:name="_Ref4708991"/>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实施因意外、不可预见的事件或其他原因引起的、为工程的安全迫切需要的任何修补工作。</w:t>
      </w:r>
      <w:bookmarkEnd w:id="332"/>
    </w:p>
    <w:p>
      <w:pPr>
        <w:pStyle w:val="66"/>
        <w:spacing w:afterLines="0"/>
        <w:ind w:left="0" w:firstLine="480" w:firstLineChars="200"/>
        <w:rPr>
          <w:rFonts w:cs="宋体"/>
          <w:szCs w:val="24"/>
        </w:rPr>
      </w:pPr>
      <w:bookmarkStart w:id="333" w:name="_Ref11956964"/>
      <w:r>
        <w:rPr>
          <w:rFonts w:cs="宋体"/>
          <w:szCs w:val="24"/>
        </w:rPr>
        <w:t xml:space="preserve">6.6.2 </w:t>
      </w:r>
      <w:r>
        <w:rPr>
          <w:rFonts w:hint="eastAsia" w:cs="宋体"/>
          <w:szCs w:val="24"/>
        </w:rPr>
        <w:t>承包人应遵守第</w:t>
      </w:r>
      <w:r>
        <w:rPr>
          <w:rFonts w:cs="宋体"/>
          <w:szCs w:val="24"/>
        </w:rPr>
        <w:t>6.6.1</w:t>
      </w:r>
      <w:r>
        <w:rPr>
          <w:rFonts w:hint="eastAsia" w:cs="宋体"/>
          <w:szCs w:val="24"/>
        </w:rPr>
        <w:t>项下指示，并在合理可行的情况下，根据上述指示中规定的时间完成修补工作。除因下列原因引起的第</w:t>
      </w:r>
      <w:r>
        <w:rPr>
          <w:rFonts w:cs="宋体"/>
          <w:szCs w:val="24"/>
        </w:rPr>
        <w:t>6.6.1</w:t>
      </w:r>
      <w:r>
        <w:rPr>
          <w:rFonts w:hint="eastAsia" w:cs="宋体"/>
          <w:szCs w:val="24"/>
        </w:rPr>
        <w:t>项第（</w:t>
      </w:r>
      <w:r>
        <w:rPr>
          <w:rFonts w:cs="宋体"/>
          <w:szCs w:val="24"/>
        </w:rPr>
        <w:t>3</w:t>
      </w:r>
      <w:r>
        <w:rPr>
          <w:rFonts w:hint="eastAsia" w:cs="宋体"/>
          <w:szCs w:val="24"/>
        </w:rPr>
        <w:t>）目下的情形外，承包人应承担所有修补工作的费用：</w:t>
      </w:r>
      <w:bookmarkEnd w:id="333"/>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因发包人或其人员的任何行为导致的情形，且在此情况下发包人应承担因此引起的工期延误和承包人费用损失，并向承包人支付合理的利润。</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第</w:t>
      </w:r>
      <w:r>
        <w:rPr>
          <w:sz w:val="24"/>
          <w:szCs w:val="24"/>
        </w:rPr>
        <w:t>17.4</w:t>
      </w:r>
      <w:r>
        <w:rPr>
          <w:rFonts w:hint="eastAsia"/>
          <w:sz w:val="24"/>
          <w:szCs w:val="24"/>
        </w:rPr>
        <w:t>款</w:t>
      </w:r>
      <w:r>
        <w:rPr>
          <w:sz w:val="24"/>
          <w:szCs w:val="24"/>
        </w:rPr>
        <w:t>[</w:t>
      </w:r>
      <w:r>
        <w:rPr>
          <w:rFonts w:hint="eastAsia"/>
          <w:sz w:val="24"/>
          <w:szCs w:val="24"/>
        </w:rPr>
        <w:t>不可抗力后果的承担</w:t>
      </w:r>
      <w:r>
        <w:rPr>
          <w:sz w:val="24"/>
          <w:szCs w:val="24"/>
        </w:rPr>
        <w:t>]</w:t>
      </w:r>
      <w:r>
        <w:rPr>
          <w:rFonts w:hint="eastAsia"/>
          <w:sz w:val="24"/>
          <w:szCs w:val="24"/>
        </w:rPr>
        <w:t>中适用的不可抗力事件的情形。</w:t>
      </w:r>
    </w:p>
    <w:p>
      <w:pPr>
        <w:pStyle w:val="66"/>
        <w:spacing w:afterLines="0"/>
        <w:ind w:left="0" w:firstLine="480" w:firstLineChars="200"/>
        <w:rPr>
          <w:rFonts w:cs="宋体"/>
          <w:szCs w:val="24"/>
        </w:rPr>
      </w:pPr>
      <w:r>
        <w:rPr>
          <w:rFonts w:cs="宋体"/>
          <w:szCs w:val="24"/>
        </w:rPr>
        <w:t xml:space="preserve">6.6.3 </w:t>
      </w:r>
      <w:r>
        <w:rPr>
          <w:rFonts w:hint="eastAsia" w:cs="宋体"/>
          <w:szCs w:val="24"/>
        </w:rPr>
        <w:t>如果承包人未能遵守发包人的指示，发包人可以自行决定请第三方完成上述修补工作，并有权要求承包人支付因未履行指示而产生的所有费用，但承包人根据第</w:t>
      </w:r>
      <w:r>
        <w:rPr>
          <w:rFonts w:cs="宋体"/>
          <w:szCs w:val="24"/>
        </w:rPr>
        <w:t>6.6.2</w:t>
      </w:r>
      <w:r>
        <w:rPr>
          <w:rFonts w:hint="eastAsia" w:cs="宋体"/>
          <w:szCs w:val="24"/>
        </w:rPr>
        <w:t>项有权就修补工作获得支付的情况除外。</w:t>
      </w:r>
    </w:p>
    <w:p>
      <w:pPr>
        <w:pStyle w:val="64"/>
        <w:numPr>
          <w:ilvl w:val="0"/>
          <w:numId w:val="0"/>
        </w:numPr>
        <w:spacing w:before="0"/>
        <w:ind w:firstLine="480" w:firstLineChars="200"/>
        <w:rPr>
          <w:rFonts w:ascii="宋体"/>
          <w:bCs/>
          <w:sz w:val="24"/>
          <w:szCs w:val="24"/>
        </w:rPr>
      </w:pPr>
      <w:bookmarkStart w:id="334" w:name="_Toc54862235"/>
      <w:bookmarkStart w:id="335" w:name="_Ref531954214"/>
      <w:r>
        <w:rPr>
          <w:rFonts w:hint="eastAsia" w:ascii="宋体" w:hAnsi="宋体"/>
          <w:bCs/>
          <w:sz w:val="24"/>
          <w:szCs w:val="24"/>
        </w:rPr>
        <w:t>第</w:t>
      </w:r>
      <w:r>
        <w:rPr>
          <w:rFonts w:ascii="宋体" w:hAnsi="宋体"/>
          <w:bCs/>
          <w:sz w:val="24"/>
          <w:szCs w:val="24"/>
        </w:rPr>
        <w:t>7</w:t>
      </w:r>
      <w:r>
        <w:rPr>
          <w:rFonts w:hint="eastAsia" w:ascii="宋体" w:hAnsi="宋体"/>
          <w:bCs/>
          <w:sz w:val="24"/>
          <w:szCs w:val="24"/>
        </w:rPr>
        <w:t>条</w:t>
      </w:r>
      <w:r>
        <w:rPr>
          <w:rFonts w:ascii="宋体" w:hAnsi="宋体"/>
          <w:bCs/>
          <w:sz w:val="24"/>
          <w:szCs w:val="24"/>
        </w:rPr>
        <w:t xml:space="preserve"> </w:t>
      </w:r>
      <w:r>
        <w:rPr>
          <w:rFonts w:hint="eastAsia" w:ascii="宋体" w:hAnsi="宋体"/>
          <w:bCs/>
          <w:sz w:val="24"/>
          <w:szCs w:val="24"/>
        </w:rPr>
        <w:t>施工</w:t>
      </w:r>
      <w:bookmarkEnd w:id="334"/>
      <w:bookmarkEnd w:id="335"/>
    </w:p>
    <w:p>
      <w:pPr>
        <w:pStyle w:val="65"/>
        <w:widowControl/>
        <w:spacing w:afterLines="0"/>
        <w:ind w:left="0" w:firstLine="482" w:firstLineChars="200"/>
        <w:rPr>
          <w:rFonts w:ascii="宋体" w:hAnsi="宋体" w:eastAsia="宋体" w:cs="宋体"/>
        </w:rPr>
      </w:pPr>
      <w:bookmarkStart w:id="336" w:name="_Toc54862236"/>
      <w:bookmarkStart w:id="337" w:name="_Ref531954272"/>
      <w:bookmarkStart w:id="338" w:name="_Ref531954276"/>
      <w:bookmarkStart w:id="339" w:name="_Ref531954246"/>
      <w:bookmarkStart w:id="340" w:name="_Ref531954260"/>
      <w:r>
        <w:rPr>
          <w:rFonts w:ascii="宋体" w:hAnsi="宋体" w:eastAsia="宋体" w:cs="宋体"/>
        </w:rPr>
        <w:t xml:space="preserve">7.1 </w:t>
      </w:r>
      <w:r>
        <w:rPr>
          <w:rFonts w:hint="eastAsia" w:ascii="宋体" w:hAnsi="宋体" w:eastAsia="宋体" w:cs="宋体"/>
        </w:rPr>
        <w:t>交通运输</w:t>
      </w:r>
      <w:bookmarkEnd w:id="336"/>
      <w:bookmarkEnd w:id="337"/>
      <w:bookmarkEnd w:id="338"/>
      <w:r>
        <w:rPr>
          <w:rFonts w:ascii="宋体" w:hAnsi="宋体" w:eastAsia="宋体" w:cs="宋体"/>
        </w:rPr>
        <w:t xml:space="preserve"> </w:t>
      </w:r>
    </w:p>
    <w:p>
      <w:pPr>
        <w:pStyle w:val="66"/>
        <w:spacing w:afterLines="0"/>
        <w:ind w:left="0" w:firstLine="480" w:firstLineChars="200"/>
        <w:rPr>
          <w:rFonts w:cs="宋体"/>
          <w:szCs w:val="24"/>
        </w:rPr>
      </w:pPr>
      <w:bookmarkStart w:id="341" w:name="_Ref4422645"/>
      <w:r>
        <w:rPr>
          <w:rFonts w:cs="宋体"/>
          <w:szCs w:val="24"/>
        </w:rPr>
        <w:t xml:space="preserve">7.1.1 </w:t>
      </w:r>
      <w:r>
        <w:rPr>
          <w:rFonts w:hint="eastAsia" w:cs="宋体"/>
          <w:szCs w:val="24"/>
        </w:rPr>
        <w:t>出入现场的权利</w:t>
      </w:r>
      <w:bookmarkEnd w:id="341"/>
    </w:p>
    <w:p>
      <w:pPr>
        <w:spacing w:line="360" w:lineRule="auto"/>
        <w:ind w:firstLine="480" w:firstLineChars="200"/>
        <w:rPr>
          <w:sz w:val="24"/>
          <w:szCs w:val="24"/>
        </w:rPr>
      </w:pPr>
      <w:r>
        <w:rPr>
          <w:rFonts w:hint="eastAsia"/>
          <w:sz w:val="24"/>
          <w:szCs w:val="24"/>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pPr>
        <w:pStyle w:val="66"/>
        <w:spacing w:afterLines="0"/>
        <w:ind w:left="0" w:firstLine="480" w:firstLineChars="200"/>
        <w:rPr>
          <w:rFonts w:cs="宋体"/>
          <w:szCs w:val="24"/>
        </w:rPr>
      </w:pPr>
      <w:bookmarkStart w:id="342" w:name="_Ref18957045"/>
      <w:r>
        <w:rPr>
          <w:rFonts w:cs="宋体"/>
          <w:szCs w:val="24"/>
        </w:rPr>
        <w:t xml:space="preserve">7.1.2 </w:t>
      </w:r>
      <w:r>
        <w:rPr>
          <w:rFonts w:hint="eastAsia" w:cs="宋体"/>
          <w:szCs w:val="24"/>
        </w:rPr>
        <w:t>场外交通</w:t>
      </w:r>
      <w:bookmarkEnd w:id="342"/>
    </w:p>
    <w:p>
      <w:pPr>
        <w:spacing w:line="360" w:lineRule="auto"/>
        <w:ind w:firstLine="480" w:firstLineChars="200"/>
        <w:rPr>
          <w:sz w:val="24"/>
          <w:szCs w:val="24"/>
        </w:rPr>
      </w:pPr>
      <w:r>
        <w:rPr>
          <w:rFonts w:hint="eastAsia"/>
          <w:sz w:val="24"/>
          <w:szCs w:val="24"/>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pStyle w:val="66"/>
        <w:spacing w:afterLines="0"/>
        <w:ind w:left="0" w:firstLine="480" w:firstLineChars="200"/>
        <w:rPr>
          <w:rFonts w:cs="宋体"/>
          <w:szCs w:val="24"/>
        </w:rPr>
      </w:pPr>
      <w:bookmarkStart w:id="343" w:name="_Ref4622358"/>
      <w:r>
        <w:rPr>
          <w:rFonts w:cs="宋体"/>
          <w:szCs w:val="24"/>
        </w:rPr>
        <w:t xml:space="preserve">7.1.3 </w:t>
      </w:r>
      <w:r>
        <w:rPr>
          <w:rFonts w:hint="eastAsia" w:cs="宋体"/>
          <w:szCs w:val="24"/>
        </w:rPr>
        <w:t>场内交通</w:t>
      </w:r>
      <w:bookmarkEnd w:id="343"/>
    </w:p>
    <w:p>
      <w:pPr>
        <w:spacing w:line="360" w:lineRule="auto"/>
        <w:ind w:firstLine="480" w:firstLineChars="200"/>
        <w:rPr>
          <w:sz w:val="24"/>
          <w:szCs w:val="24"/>
        </w:rPr>
      </w:pPr>
      <w:r>
        <w:rPr>
          <w:rFonts w:hint="eastAsia"/>
          <w:sz w:val="24"/>
          <w:szCs w:val="24"/>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pPr>
        <w:pStyle w:val="66"/>
        <w:spacing w:afterLines="0"/>
        <w:ind w:left="0" w:firstLine="480" w:firstLineChars="200"/>
        <w:rPr>
          <w:rFonts w:cs="宋体"/>
          <w:szCs w:val="24"/>
        </w:rPr>
      </w:pPr>
      <w:bookmarkStart w:id="344" w:name="_Ref4622376"/>
      <w:r>
        <w:rPr>
          <w:rFonts w:cs="宋体"/>
          <w:szCs w:val="24"/>
        </w:rPr>
        <w:t xml:space="preserve">7.1.4 </w:t>
      </w:r>
      <w:r>
        <w:rPr>
          <w:rFonts w:hint="eastAsia" w:cs="宋体"/>
          <w:szCs w:val="24"/>
        </w:rPr>
        <w:t>超大件和超重件的运输</w:t>
      </w:r>
      <w:bookmarkEnd w:id="344"/>
    </w:p>
    <w:p>
      <w:pPr>
        <w:spacing w:line="360" w:lineRule="auto"/>
        <w:ind w:firstLine="480" w:firstLineChars="200"/>
        <w:rPr>
          <w:sz w:val="24"/>
          <w:szCs w:val="24"/>
        </w:rPr>
      </w:pPr>
      <w:r>
        <w:rPr>
          <w:rFonts w:hint="eastAsia"/>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pPr>
        <w:pStyle w:val="66"/>
        <w:spacing w:afterLines="0"/>
        <w:ind w:left="0" w:firstLine="480" w:firstLineChars="200"/>
        <w:rPr>
          <w:rFonts w:cs="宋体"/>
          <w:szCs w:val="24"/>
        </w:rPr>
      </w:pPr>
      <w:r>
        <w:rPr>
          <w:rFonts w:cs="宋体"/>
          <w:szCs w:val="24"/>
        </w:rPr>
        <w:t xml:space="preserve">7.1.5 </w:t>
      </w:r>
      <w:r>
        <w:rPr>
          <w:rFonts w:hint="eastAsia" w:cs="宋体"/>
          <w:szCs w:val="24"/>
        </w:rPr>
        <w:t>道路和桥梁的损坏责任</w:t>
      </w:r>
    </w:p>
    <w:p>
      <w:pPr>
        <w:spacing w:line="360" w:lineRule="auto"/>
        <w:ind w:firstLine="480" w:firstLineChars="200"/>
        <w:rPr>
          <w:sz w:val="24"/>
          <w:szCs w:val="24"/>
        </w:rPr>
      </w:pPr>
      <w:r>
        <w:rPr>
          <w:rFonts w:hint="eastAsia"/>
          <w:sz w:val="24"/>
          <w:szCs w:val="24"/>
        </w:rPr>
        <w:t>因承包人运输造成施工现场内外公共道路和桥梁损坏的，由承包人承担修复损坏的全部费用和可能引起的赔偿。</w:t>
      </w:r>
    </w:p>
    <w:p>
      <w:pPr>
        <w:pStyle w:val="66"/>
        <w:spacing w:afterLines="0"/>
        <w:ind w:left="0" w:firstLine="480" w:firstLineChars="200"/>
        <w:rPr>
          <w:rFonts w:cs="宋体"/>
          <w:szCs w:val="24"/>
        </w:rPr>
      </w:pPr>
      <w:r>
        <w:rPr>
          <w:rFonts w:cs="宋体"/>
          <w:szCs w:val="24"/>
        </w:rPr>
        <w:t xml:space="preserve">7.1.6 </w:t>
      </w:r>
      <w:r>
        <w:rPr>
          <w:rFonts w:hint="eastAsia" w:cs="宋体"/>
          <w:szCs w:val="24"/>
        </w:rPr>
        <w:t>水路和航空运输</w:t>
      </w:r>
    </w:p>
    <w:p>
      <w:pPr>
        <w:spacing w:line="360" w:lineRule="auto"/>
        <w:ind w:firstLine="480" w:firstLineChars="200"/>
        <w:rPr>
          <w:sz w:val="24"/>
          <w:szCs w:val="24"/>
        </w:rPr>
      </w:pPr>
      <w:r>
        <w:rPr>
          <w:rFonts w:hint="eastAsia"/>
          <w:sz w:val="24"/>
          <w:szCs w:val="24"/>
        </w:rPr>
        <w:t>本条上述各款的内容适用于水路运输和航空运输，其中“道路”一词的涵义包括河道、航线、船闸、机场、码头、堤防以及水路或航空运输中其他相似结构物；“车辆”一词的涵义包括船舶和飞机等。</w:t>
      </w:r>
    </w:p>
    <w:p>
      <w:pPr>
        <w:pStyle w:val="65"/>
        <w:widowControl/>
        <w:spacing w:afterLines="0"/>
        <w:ind w:left="0" w:firstLine="482" w:firstLineChars="200"/>
        <w:rPr>
          <w:rFonts w:ascii="宋体" w:hAnsi="宋体" w:eastAsia="宋体" w:cs="宋体"/>
        </w:rPr>
      </w:pPr>
      <w:bookmarkStart w:id="345" w:name="_Ref11919459"/>
      <w:bookmarkStart w:id="346" w:name="_Ref11919294"/>
      <w:bookmarkStart w:id="347" w:name="_Toc54862237"/>
      <w:r>
        <w:rPr>
          <w:rFonts w:ascii="宋体" w:hAnsi="宋体" w:eastAsia="宋体" w:cs="宋体"/>
        </w:rPr>
        <w:t xml:space="preserve">7.2 </w:t>
      </w:r>
      <w:r>
        <w:rPr>
          <w:rFonts w:hint="eastAsia" w:ascii="宋体" w:hAnsi="宋体" w:eastAsia="宋体" w:cs="宋体"/>
        </w:rPr>
        <w:t>施工设备和临时设施</w:t>
      </w:r>
      <w:bookmarkEnd w:id="339"/>
      <w:bookmarkEnd w:id="340"/>
      <w:bookmarkEnd w:id="345"/>
      <w:bookmarkEnd w:id="346"/>
      <w:bookmarkEnd w:id="347"/>
      <w:r>
        <w:rPr>
          <w:rFonts w:ascii="宋体" w:hAnsi="宋体" w:eastAsia="宋体" w:cs="宋体"/>
        </w:rPr>
        <w:t xml:space="preserve"> </w:t>
      </w:r>
    </w:p>
    <w:p>
      <w:pPr>
        <w:pStyle w:val="66"/>
        <w:spacing w:afterLines="0"/>
        <w:ind w:left="0" w:firstLine="480" w:firstLineChars="200"/>
        <w:rPr>
          <w:rFonts w:cs="宋体"/>
          <w:szCs w:val="24"/>
        </w:rPr>
      </w:pPr>
      <w:bookmarkStart w:id="348" w:name="_Ref18990767"/>
      <w:bookmarkStart w:id="349" w:name="_Ref509043186"/>
      <w:r>
        <w:rPr>
          <w:rFonts w:cs="宋体"/>
          <w:szCs w:val="24"/>
        </w:rPr>
        <w:t xml:space="preserve">7.2.1 </w:t>
      </w:r>
      <w:r>
        <w:rPr>
          <w:rFonts w:hint="eastAsia" w:cs="宋体"/>
          <w:szCs w:val="24"/>
        </w:rPr>
        <w:t>承包人提供的施工设备和临时设施</w:t>
      </w:r>
      <w:bookmarkEnd w:id="348"/>
    </w:p>
    <w:p>
      <w:pPr>
        <w:spacing w:line="360" w:lineRule="auto"/>
        <w:ind w:firstLine="480" w:firstLineChars="200"/>
        <w:rPr>
          <w:sz w:val="24"/>
          <w:szCs w:val="24"/>
        </w:rPr>
      </w:pPr>
      <w:r>
        <w:rPr>
          <w:rFonts w:hint="eastAsia"/>
          <w:sz w:val="24"/>
          <w:szCs w:val="24"/>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pPr>
        <w:spacing w:line="360" w:lineRule="auto"/>
        <w:ind w:firstLine="480" w:firstLineChars="200"/>
        <w:rPr>
          <w:sz w:val="24"/>
          <w:szCs w:val="24"/>
        </w:rPr>
      </w:pPr>
      <w:r>
        <w:rPr>
          <w:rFonts w:hint="eastAsia"/>
          <w:sz w:val="24"/>
          <w:szCs w:val="24"/>
        </w:rPr>
        <w:t>除专用合同条件另有约定外，承包人应自行承担修建临时设施的费用，需要临时占地的，应由发包人办理申请手续并承担相应费用。承包人应在专用合同条件</w:t>
      </w:r>
      <w:r>
        <w:rPr>
          <w:sz w:val="24"/>
          <w:szCs w:val="24"/>
        </w:rPr>
        <w:t>7.2</w:t>
      </w:r>
      <w:r>
        <w:rPr>
          <w:rFonts w:hint="eastAsia"/>
          <w:sz w:val="24"/>
          <w:szCs w:val="24"/>
        </w:rPr>
        <w:t>款约定的时间内向发包人提交临时占地资料，因承包人未能按时提交资料，导致工期延误的，由此增加的费用和（或）竣工日期延误，由承包人负责。</w:t>
      </w:r>
    </w:p>
    <w:bookmarkEnd w:id="349"/>
    <w:p>
      <w:pPr>
        <w:pStyle w:val="66"/>
        <w:spacing w:afterLines="0"/>
        <w:ind w:left="0" w:firstLine="480" w:firstLineChars="200"/>
        <w:rPr>
          <w:rFonts w:cs="宋体"/>
          <w:szCs w:val="24"/>
        </w:rPr>
      </w:pPr>
      <w:bookmarkStart w:id="350" w:name="_Ref18990784"/>
      <w:r>
        <w:rPr>
          <w:rFonts w:cs="宋体"/>
          <w:szCs w:val="24"/>
        </w:rPr>
        <w:t xml:space="preserve">7.2.2 </w:t>
      </w:r>
      <w:r>
        <w:rPr>
          <w:rFonts w:hint="eastAsia" w:cs="宋体"/>
          <w:szCs w:val="24"/>
        </w:rPr>
        <w:t>发包人提供的施工设备和临时设施</w:t>
      </w:r>
      <w:bookmarkEnd w:id="350"/>
    </w:p>
    <w:p>
      <w:pPr>
        <w:spacing w:line="360" w:lineRule="auto"/>
        <w:ind w:firstLine="480" w:firstLineChars="200"/>
        <w:rPr>
          <w:sz w:val="24"/>
          <w:szCs w:val="24"/>
        </w:rPr>
      </w:pPr>
      <w:r>
        <w:rPr>
          <w:rFonts w:hint="eastAsia"/>
          <w:sz w:val="24"/>
          <w:szCs w:val="24"/>
        </w:rPr>
        <w:t>发包人提供的施工设备或临时设施在专用合同条件中约定。</w:t>
      </w:r>
    </w:p>
    <w:p>
      <w:pPr>
        <w:pStyle w:val="66"/>
        <w:spacing w:afterLines="0"/>
        <w:ind w:left="0" w:firstLine="480" w:firstLineChars="200"/>
        <w:rPr>
          <w:rFonts w:cs="宋体"/>
          <w:szCs w:val="24"/>
        </w:rPr>
      </w:pPr>
      <w:r>
        <w:rPr>
          <w:rFonts w:cs="宋体"/>
          <w:szCs w:val="24"/>
        </w:rPr>
        <w:t xml:space="preserve">7.2.3 </w:t>
      </w:r>
      <w:r>
        <w:rPr>
          <w:rFonts w:hint="eastAsia" w:cs="宋体"/>
          <w:szCs w:val="24"/>
        </w:rPr>
        <w:t>要求承包人增加或更换施工设备</w:t>
      </w:r>
    </w:p>
    <w:p>
      <w:pPr>
        <w:spacing w:line="360" w:lineRule="auto"/>
        <w:ind w:firstLine="480" w:firstLineChars="200"/>
        <w:rPr>
          <w:sz w:val="24"/>
          <w:szCs w:val="24"/>
        </w:rPr>
      </w:pPr>
      <w:r>
        <w:rPr>
          <w:rFonts w:hint="eastAsia"/>
          <w:sz w:val="24"/>
          <w:szCs w:val="24"/>
        </w:rPr>
        <w:t>承包人使用的施工设备不能满足项目进度计划和（或）质量要求时，工程师有权要求承包人增加或更换施工设备，承包人应及时增加或更换，由此增加的费用和（或）延误的工期由承包人承担。</w:t>
      </w:r>
    </w:p>
    <w:p>
      <w:pPr>
        <w:pStyle w:val="66"/>
        <w:spacing w:afterLines="0"/>
        <w:ind w:left="0" w:firstLine="480" w:firstLineChars="200"/>
        <w:rPr>
          <w:rFonts w:cs="宋体"/>
          <w:szCs w:val="24"/>
        </w:rPr>
      </w:pPr>
      <w:r>
        <w:rPr>
          <w:rFonts w:cs="宋体"/>
          <w:szCs w:val="24"/>
        </w:rPr>
        <w:t xml:space="preserve">7.2.4 </w:t>
      </w:r>
      <w:r>
        <w:rPr>
          <w:rFonts w:hint="eastAsia" w:cs="宋体"/>
          <w:szCs w:val="24"/>
        </w:rPr>
        <w:t>施工设备和临时设施专用于合同工程</w:t>
      </w:r>
    </w:p>
    <w:p>
      <w:pPr>
        <w:spacing w:line="360" w:lineRule="auto"/>
        <w:ind w:firstLine="480" w:firstLineChars="200"/>
        <w:rPr>
          <w:sz w:val="24"/>
          <w:szCs w:val="24"/>
        </w:rPr>
      </w:pPr>
      <w:r>
        <w:rPr>
          <w:rFonts w:hint="eastAsia"/>
          <w:sz w:val="24"/>
          <w:szCs w:val="24"/>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pPr>
        <w:pStyle w:val="65"/>
        <w:widowControl/>
        <w:spacing w:afterLines="0"/>
        <w:ind w:left="0" w:firstLine="482" w:firstLineChars="200"/>
        <w:rPr>
          <w:rFonts w:ascii="宋体" w:hAnsi="宋体" w:eastAsia="宋体" w:cs="宋体"/>
          <w:b w:val="0"/>
          <w:bCs/>
        </w:rPr>
      </w:pPr>
      <w:bookmarkStart w:id="351" w:name="_Ref11874352"/>
      <w:bookmarkStart w:id="352" w:name="_Toc54862238"/>
      <w:r>
        <w:rPr>
          <w:rFonts w:ascii="宋体" w:hAnsi="宋体" w:eastAsia="宋体" w:cs="宋体"/>
        </w:rPr>
        <w:t xml:space="preserve">7.3 </w:t>
      </w:r>
      <w:r>
        <w:rPr>
          <w:rFonts w:hint="eastAsia" w:ascii="宋体" w:hAnsi="宋体" w:eastAsia="宋体" w:cs="宋体"/>
        </w:rPr>
        <w:t>现场合作</w:t>
      </w:r>
      <w:bookmarkEnd w:id="351"/>
      <w:bookmarkEnd w:id="352"/>
    </w:p>
    <w:p>
      <w:pPr>
        <w:spacing w:line="360" w:lineRule="auto"/>
        <w:ind w:firstLine="480" w:firstLineChars="200"/>
        <w:rPr>
          <w:sz w:val="24"/>
          <w:szCs w:val="24"/>
        </w:rPr>
      </w:pPr>
      <w:r>
        <w:rPr>
          <w:rFonts w:hint="eastAsia"/>
          <w:sz w:val="24"/>
          <w:szCs w:val="24"/>
        </w:rPr>
        <w:t>承包人应按合同约定或发包人的指示，与发包人人员、发包人的其他承包人等人员就在现场或附近实施与工程有关的各项工作进行合作并提供适当条件，包括使用承包人设备、临时工程或进入现场等。</w:t>
      </w:r>
    </w:p>
    <w:p>
      <w:pPr>
        <w:spacing w:line="360" w:lineRule="auto"/>
        <w:ind w:firstLine="480" w:firstLineChars="200"/>
        <w:rPr>
          <w:sz w:val="24"/>
          <w:szCs w:val="24"/>
        </w:rPr>
      </w:pPr>
      <w:r>
        <w:rPr>
          <w:rFonts w:hint="eastAsia"/>
          <w:sz w:val="24"/>
          <w:szCs w:val="24"/>
        </w:rPr>
        <w:t>承包人应对其在现场的施工活动负责，并应尽合理努力按合同约定或发包人的指示，协调自身与发包人人员、发包人的其他承包人等人员的活动。</w:t>
      </w:r>
    </w:p>
    <w:p>
      <w:pPr>
        <w:spacing w:line="360" w:lineRule="auto"/>
        <w:ind w:firstLine="480" w:firstLineChars="200"/>
        <w:rPr>
          <w:sz w:val="24"/>
          <w:szCs w:val="24"/>
        </w:rPr>
      </w:pPr>
      <w:r>
        <w:rPr>
          <w:rFonts w:hint="eastAsia"/>
          <w:sz w:val="24"/>
          <w:szCs w:val="24"/>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pPr>
        <w:pStyle w:val="65"/>
        <w:widowControl/>
        <w:spacing w:afterLines="0"/>
        <w:ind w:left="0" w:firstLine="482" w:firstLineChars="200"/>
        <w:rPr>
          <w:rFonts w:ascii="宋体" w:hAnsi="宋体" w:eastAsia="宋体" w:cs="宋体"/>
        </w:rPr>
      </w:pPr>
      <w:bookmarkStart w:id="353" w:name="_Toc54862239"/>
      <w:bookmarkStart w:id="354" w:name="_Ref531954285"/>
      <w:bookmarkStart w:id="355" w:name="_Ref531954287"/>
      <w:r>
        <w:rPr>
          <w:rFonts w:ascii="宋体" w:hAnsi="宋体" w:eastAsia="宋体" w:cs="宋体"/>
        </w:rPr>
        <w:t xml:space="preserve">7.4 </w:t>
      </w:r>
      <w:r>
        <w:rPr>
          <w:rFonts w:hint="eastAsia" w:ascii="宋体" w:hAnsi="宋体" w:eastAsia="宋体" w:cs="宋体"/>
        </w:rPr>
        <w:t>测量放线</w:t>
      </w:r>
      <w:bookmarkEnd w:id="353"/>
      <w:bookmarkEnd w:id="354"/>
      <w:bookmarkEnd w:id="355"/>
    </w:p>
    <w:p>
      <w:pPr>
        <w:pStyle w:val="66"/>
        <w:spacing w:afterLines="0"/>
        <w:ind w:left="0" w:firstLine="480" w:firstLineChars="200"/>
        <w:rPr>
          <w:rFonts w:cs="宋体"/>
          <w:szCs w:val="24"/>
        </w:rPr>
      </w:pPr>
      <w:r>
        <w:rPr>
          <w:rFonts w:cs="宋体"/>
          <w:szCs w:val="24"/>
        </w:rPr>
        <w:t xml:space="preserve">7.4.1 </w:t>
      </w:r>
      <w:r>
        <w:rPr>
          <w:rFonts w:hint="eastAsia" w:cs="宋体"/>
          <w:szCs w:val="24"/>
        </w:rPr>
        <w:t>除专用合同条件另有约定外，承包人应根据国家测绘基准、测绘系统和工程测量技术规范，按基准点（线）以及合同工程精度要求，测设施工控制网，并在专用合同条件约定的期限内，将施工控制网资料报送工程师。</w:t>
      </w:r>
    </w:p>
    <w:p>
      <w:pPr>
        <w:pStyle w:val="66"/>
        <w:spacing w:afterLines="0"/>
        <w:ind w:left="0" w:firstLine="480" w:firstLineChars="200"/>
        <w:rPr>
          <w:rFonts w:cs="宋体"/>
          <w:szCs w:val="24"/>
        </w:rPr>
      </w:pPr>
      <w:r>
        <w:rPr>
          <w:rFonts w:cs="宋体"/>
          <w:szCs w:val="24"/>
        </w:rPr>
        <w:t xml:space="preserve">7.4.2 </w:t>
      </w:r>
      <w:r>
        <w:rPr>
          <w:rFonts w:hint="eastAsia" w:cs="宋体"/>
          <w:szCs w:val="24"/>
        </w:rPr>
        <w:t>承包人应负责管理施工控制网点。施工控制网点丢失或损坏的，承包人应及时修复。承包人应承担施工控制网点的管理与修复费用，并在工程竣工后将施工控制网点移交发包人。承包人负责对工程、单位</w:t>
      </w:r>
      <w:r>
        <w:rPr>
          <w:rFonts w:cs="宋体"/>
          <w:szCs w:val="24"/>
        </w:rPr>
        <w:t>/</w:t>
      </w:r>
      <w:r>
        <w:rPr>
          <w:rFonts w:hint="eastAsia" w:cs="宋体"/>
          <w:szCs w:val="24"/>
        </w:rPr>
        <w:t>区段工程、施工部位放线，并对放线的准确性负责。</w:t>
      </w:r>
    </w:p>
    <w:p>
      <w:pPr>
        <w:pStyle w:val="66"/>
        <w:spacing w:afterLines="0"/>
        <w:ind w:left="0" w:firstLine="480" w:firstLineChars="200"/>
        <w:rPr>
          <w:rFonts w:cs="宋体"/>
          <w:szCs w:val="24"/>
        </w:rPr>
      </w:pPr>
      <w:r>
        <w:rPr>
          <w:rFonts w:cs="宋体"/>
          <w:szCs w:val="24"/>
        </w:rPr>
        <w:t xml:space="preserve">7.4.3 </w:t>
      </w:r>
      <w:r>
        <w:rPr>
          <w:rFonts w:hint="eastAsia" w:cs="宋体"/>
          <w:szCs w:val="24"/>
        </w:rPr>
        <w:t>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pPr>
        <w:pStyle w:val="65"/>
        <w:widowControl/>
        <w:spacing w:afterLines="0"/>
        <w:ind w:left="0" w:firstLine="482" w:firstLineChars="200"/>
        <w:rPr>
          <w:rFonts w:ascii="宋体" w:hAnsi="宋体" w:eastAsia="宋体" w:cs="宋体"/>
        </w:rPr>
      </w:pPr>
      <w:bookmarkStart w:id="356" w:name="_Toc54862240"/>
      <w:bookmarkStart w:id="357" w:name="_Ref531954329"/>
      <w:bookmarkStart w:id="358" w:name="_Ref531954323"/>
      <w:bookmarkStart w:id="359" w:name="_Ref4770992"/>
      <w:r>
        <w:rPr>
          <w:rFonts w:ascii="宋体" w:hAnsi="宋体" w:eastAsia="宋体" w:cs="宋体"/>
        </w:rPr>
        <w:t xml:space="preserve">7.5 </w:t>
      </w:r>
      <w:r>
        <w:rPr>
          <w:rFonts w:hint="eastAsia" w:ascii="宋体" w:hAnsi="宋体" w:eastAsia="宋体" w:cs="宋体"/>
        </w:rPr>
        <w:t>现场劳动用工</w:t>
      </w:r>
      <w:bookmarkEnd w:id="356"/>
    </w:p>
    <w:p>
      <w:pPr>
        <w:pStyle w:val="66"/>
        <w:spacing w:afterLines="0"/>
        <w:ind w:left="0" w:firstLine="480" w:firstLineChars="200"/>
        <w:rPr>
          <w:rFonts w:cs="宋体"/>
          <w:szCs w:val="24"/>
        </w:rPr>
      </w:pPr>
      <w:r>
        <w:rPr>
          <w:rFonts w:cs="宋体"/>
          <w:szCs w:val="24"/>
        </w:rPr>
        <w:t xml:space="preserve">7.5.1 </w:t>
      </w:r>
      <w:r>
        <w:rPr>
          <w:rFonts w:hint="eastAsia" w:cs="宋体"/>
          <w:szCs w:val="24"/>
        </w:rPr>
        <w:t>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pPr>
        <w:pStyle w:val="66"/>
        <w:spacing w:afterLines="0"/>
        <w:ind w:left="0" w:firstLine="480" w:firstLineChars="200"/>
        <w:rPr>
          <w:rFonts w:cs="宋体"/>
          <w:szCs w:val="24"/>
        </w:rPr>
      </w:pPr>
      <w:r>
        <w:rPr>
          <w:rFonts w:cs="宋体"/>
          <w:szCs w:val="24"/>
        </w:rPr>
        <w:t xml:space="preserve">7.5.2 </w:t>
      </w:r>
      <w:r>
        <w:rPr>
          <w:rFonts w:hint="eastAsia" w:cs="宋体"/>
          <w:szCs w:val="24"/>
        </w:rPr>
        <w:t>承包人应当在工程项目部配备劳资专管员，对分包单位劳动用工及工资发放实施监督管理。承包人拖欠建筑工人工资的</w:t>
      </w:r>
      <w:r>
        <w:rPr>
          <w:rFonts w:cs="宋体"/>
          <w:szCs w:val="24"/>
        </w:rPr>
        <w:t>,</w:t>
      </w:r>
      <w:r>
        <w:rPr>
          <w:rFonts w:hint="eastAsia" w:cs="宋体"/>
          <w:szCs w:val="24"/>
        </w:rPr>
        <w:t>应当依法予以清偿。分包人拖欠建筑工人工资的</w:t>
      </w:r>
      <w:r>
        <w:rPr>
          <w:rFonts w:cs="宋体"/>
          <w:szCs w:val="24"/>
        </w:rPr>
        <w:t>,</w:t>
      </w:r>
      <w:r>
        <w:rPr>
          <w:rFonts w:hint="eastAsia" w:cs="宋体"/>
          <w:szCs w:val="24"/>
        </w:rPr>
        <w:t>由承包人先行清偿</w:t>
      </w:r>
      <w:r>
        <w:rPr>
          <w:rFonts w:cs="宋体"/>
          <w:szCs w:val="24"/>
        </w:rPr>
        <w:t>,</w:t>
      </w:r>
      <w:r>
        <w:rPr>
          <w:rFonts w:hint="eastAsia" w:cs="宋体"/>
          <w:szCs w:val="24"/>
        </w:rPr>
        <w:t>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pPr>
        <w:pStyle w:val="66"/>
        <w:spacing w:afterLines="0"/>
        <w:ind w:left="0" w:firstLine="480" w:firstLineChars="200"/>
        <w:rPr>
          <w:rFonts w:cs="宋体"/>
          <w:szCs w:val="24"/>
        </w:rPr>
      </w:pPr>
      <w:r>
        <w:rPr>
          <w:rFonts w:cs="宋体"/>
          <w:szCs w:val="24"/>
        </w:rPr>
        <w:t xml:space="preserve">7.5.3 </w:t>
      </w:r>
      <w:r>
        <w:rPr>
          <w:rFonts w:hint="eastAsia" w:cs="宋体"/>
          <w:szCs w:val="24"/>
        </w:rPr>
        <w:t>承包人应当按照相关法律法规的要求，进行劳动用工管理和建筑工人工资支付。</w:t>
      </w:r>
    </w:p>
    <w:p>
      <w:pPr>
        <w:pStyle w:val="65"/>
        <w:widowControl/>
        <w:spacing w:afterLines="0"/>
        <w:ind w:left="0" w:firstLine="482" w:firstLineChars="200"/>
        <w:rPr>
          <w:rFonts w:ascii="宋体" w:hAnsi="宋体" w:eastAsia="宋体" w:cs="宋体"/>
          <w:b w:val="0"/>
          <w:bCs/>
        </w:rPr>
      </w:pPr>
      <w:bookmarkStart w:id="360" w:name="_Ref41554059"/>
      <w:bookmarkStart w:id="361" w:name="_Toc54862241"/>
      <w:r>
        <w:rPr>
          <w:rFonts w:ascii="宋体" w:hAnsi="宋体" w:eastAsia="宋体" w:cs="宋体"/>
        </w:rPr>
        <w:t xml:space="preserve">7.6 </w:t>
      </w:r>
      <w:r>
        <w:rPr>
          <w:rFonts w:hint="eastAsia" w:ascii="宋体" w:hAnsi="宋体" w:eastAsia="宋体" w:cs="宋体"/>
        </w:rPr>
        <w:t>安全文明施工</w:t>
      </w:r>
      <w:bookmarkEnd w:id="357"/>
      <w:bookmarkEnd w:id="358"/>
      <w:bookmarkEnd w:id="359"/>
      <w:bookmarkEnd w:id="360"/>
      <w:bookmarkEnd w:id="361"/>
    </w:p>
    <w:p>
      <w:pPr>
        <w:pStyle w:val="66"/>
        <w:spacing w:afterLines="0"/>
        <w:ind w:left="0" w:firstLine="480" w:firstLineChars="200"/>
        <w:rPr>
          <w:rFonts w:cs="宋体"/>
          <w:szCs w:val="24"/>
        </w:rPr>
      </w:pPr>
      <w:bookmarkStart w:id="362" w:name="_Ref18990822"/>
      <w:r>
        <w:rPr>
          <w:rFonts w:cs="宋体"/>
          <w:szCs w:val="24"/>
        </w:rPr>
        <w:t xml:space="preserve">7.6.1 </w:t>
      </w:r>
      <w:r>
        <w:rPr>
          <w:rFonts w:hint="eastAsia" w:cs="宋体"/>
          <w:szCs w:val="24"/>
        </w:rPr>
        <w:t>安全生产要求</w:t>
      </w:r>
      <w:bookmarkEnd w:id="362"/>
    </w:p>
    <w:p>
      <w:pPr>
        <w:spacing w:line="360" w:lineRule="auto"/>
        <w:ind w:firstLine="480" w:firstLineChars="200"/>
        <w:rPr>
          <w:sz w:val="24"/>
          <w:szCs w:val="24"/>
        </w:rPr>
      </w:pPr>
      <w:r>
        <w:rPr>
          <w:rFonts w:hint="eastAsia"/>
          <w:sz w:val="24"/>
          <w:szCs w:val="24"/>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pPr>
        <w:spacing w:line="360" w:lineRule="auto"/>
        <w:ind w:firstLine="480" w:firstLineChars="200"/>
        <w:rPr>
          <w:sz w:val="24"/>
          <w:szCs w:val="24"/>
        </w:rPr>
      </w:pPr>
      <w:r>
        <w:rPr>
          <w:rFonts w:hint="eastAsia"/>
          <w:sz w:val="24"/>
          <w:szCs w:val="24"/>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pPr>
        <w:spacing w:line="360" w:lineRule="auto"/>
        <w:ind w:firstLine="480" w:firstLineChars="200"/>
        <w:rPr>
          <w:sz w:val="24"/>
          <w:szCs w:val="24"/>
        </w:rPr>
      </w:pPr>
      <w:r>
        <w:rPr>
          <w:rFonts w:hint="eastAsia"/>
          <w:sz w:val="24"/>
          <w:szCs w:val="24"/>
        </w:rPr>
        <w:t>因安全生产需要暂停施工的，按照第</w:t>
      </w:r>
      <w:r>
        <w:rPr>
          <w:sz w:val="24"/>
          <w:szCs w:val="24"/>
        </w:rPr>
        <w:t>8.9</w:t>
      </w:r>
      <w:r>
        <w:rPr>
          <w:rFonts w:hint="eastAsia"/>
          <w:sz w:val="24"/>
          <w:szCs w:val="24"/>
        </w:rPr>
        <w:t>款</w:t>
      </w:r>
      <w:r>
        <w:rPr>
          <w:sz w:val="24"/>
          <w:szCs w:val="24"/>
        </w:rPr>
        <w:t>[</w:t>
      </w:r>
      <w:r>
        <w:rPr>
          <w:rFonts w:hint="eastAsia"/>
          <w:sz w:val="24"/>
          <w:szCs w:val="24"/>
        </w:rPr>
        <w:t>暂停工作</w:t>
      </w:r>
      <w:r>
        <w:rPr>
          <w:sz w:val="24"/>
          <w:szCs w:val="24"/>
        </w:rPr>
        <w:t>]</w:t>
      </w:r>
      <w:r>
        <w:rPr>
          <w:rFonts w:hint="eastAsia"/>
          <w:sz w:val="24"/>
          <w:szCs w:val="24"/>
        </w:rPr>
        <w:t>的约定执行。</w:t>
      </w:r>
    </w:p>
    <w:p>
      <w:pPr>
        <w:pStyle w:val="66"/>
        <w:spacing w:afterLines="0"/>
        <w:ind w:left="0" w:firstLine="480" w:firstLineChars="200"/>
        <w:rPr>
          <w:rFonts w:cs="宋体"/>
          <w:szCs w:val="24"/>
        </w:rPr>
      </w:pPr>
      <w:r>
        <w:rPr>
          <w:rFonts w:cs="宋体"/>
          <w:szCs w:val="24"/>
        </w:rPr>
        <w:t xml:space="preserve">7.6.2 </w:t>
      </w:r>
      <w:r>
        <w:rPr>
          <w:rFonts w:hint="eastAsia" w:cs="宋体"/>
          <w:szCs w:val="24"/>
        </w:rPr>
        <w:t>安全生产保证措施</w:t>
      </w:r>
    </w:p>
    <w:p>
      <w:pPr>
        <w:spacing w:line="360" w:lineRule="auto"/>
        <w:ind w:firstLine="480" w:firstLineChars="200"/>
        <w:rPr>
          <w:sz w:val="24"/>
          <w:szCs w:val="24"/>
        </w:rPr>
      </w:pPr>
      <w:r>
        <w:rPr>
          <w:rFonts w:hint="eastAsia"/>
          <w:sz w:val="24"/>
          <w:szCs w:val="24"/>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line="360" w:lineRule="auto"/>
        <w:ind w:firstLine="480" w:firstLineChars="200"/>
        <w:rPr>
          <w:sz w:val="24"/>
          <w:szCs w:val="24"/>
        </w:rPr>
      </w:pPr>
      <w:r>
        <w:rPr>
          <w:rFonts w:hint="eastAsia"/>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pPr>
        <w:spacing w:line="360" w:lineRule="auto"/>
        <w:ind w:firstLine="480" w:firstLineChars="200"/>
        <w:rPr>
          <w:sz w:val="24"/>
          <w:szCs w:val="24"/>
        </w:rPr>
      </w:pPr>
      <w:r>
        <w:rPr>
          <w:rFonts w:hint="eastAsia"/>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pPr>
        <w:pStyle w:val="66"/>
        <w:spacing w:afterLines="0"/>
        <w:ind w:left="0" w:firstLine="480" w:firstLineChars="200"/>
        <w:rPr>
          <w:rFonts w:cs="宋体"/>
          <w:szCs w:val="24"/>
        </w:rPr>
      </w:pPr>
      <w:bookmarkStart w:id="363" w:name="_Ref18990840"/>
      <w:r>
        <w:rPr>
          <w:rFonts w:cs="宋体"/>
          <w:szCs w:val="24"/>
        </w:rPr>
        <w:t xml:space="preserve">7.6.3 </w:t>
      </w:r>
      <w:r>
        <w:rPr>
          <w:rFonts w:hint="eastAsia" w:cs="宋体"/>
          <w:szCs w:val="24"/>
        </w:rPr>
        <w:t>文明施工</w:t>
      </w:r>
      <w:bookmarkEnd w:id="363"/>
    </w:p>
    <w:p>
      <w:pPr>
        <w:spacing w:line="360" w:lineRule="auto"/>
        <w:ind w:firstLine="480" w:firstLineChars="200"/>
        <w:rPr>
          <w:sz w:val="24"/>
          <w:szCs w:val="24"/>
        </w:rPr>
      </w:pPr>
      <w:r>
        <w:rPr>
          <w:rFonts w:hint="eastAsia"/>
          <w:sz w:val="24"/>
          <w:szCs w:val="24"/>
        </w:rPr>
        <w:t>承包人在工程施工期间，应当采取措施保持施工现场平整，物料堆放整齐。工程所在地有关政府行政管理部门有特殊要求的，按照其要求执行。合同当事人对文明施工有其他要求的，可以在专用合同条件中明确。</w:t>
      </w:r>
    </w:p>
    <w:p>
      <w:pPr>
        <w:spacing w:line="360" w:lineRule="auto"/>
        <w:ind w:firstLine="480" w:firstLineChars="200"/>
        <w:rPr>
          <w:sz w:val="24"/>
          <w:szCs w:val="24"/>
        </w:rPr>
      </w:pPr>
      <w:r>
        <w:rPr>
          <w:rFonts w:hint="eastAsia"/>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pStyle w:val="66"/>
        <w:spacing w:afterLines="0"/>
        <w:ind w:left="0" w:firstLine="480" w:firstLineChars="200"/>
        <w:rPr>
          <w:rFonts w:cs="宋体"/>
          <w:szCs w:val="24"/>
        </w:rPr>
      </w:pPr>
      <w:r>
        <w:rPr>
          <w:rFonts w:cs="宋体"/>
          <w:szCs w:val="24"/>
        </w:rPr>
        <w:t xml:space="preserve">7.6.4 </w:t>
      </w:r>
      <w:r>
        <w:rPr>
          <w:rFonts w:hint="eastAsia" w:cs="宋体"/>
          <w:szCs w:val="24"/>
        </w:rPr>
        <w:t>事故处理</w:t>
      </w:r>
    </w:p>
    <w:p>
      <w:pPr>
        <w:spacing w:line="360" w:lineRule="auto"/>
        <w:ind w:firstLine="480" w:firstLineChars="200"/>
        <w:rPr>
          <w:sz w:val="24"/>
          <w:szCs w:val="24"/>
        </w:rPr>
      </w:pPr>
      <w:r>
        <w:rPr>
          <w:rFonts w:hint="eastAsia"/>
          <w:sz w:val="24"/>
          <w:szCs w:val="24"/>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60" w:lineRule="auto"/>
        <w:ind w:firstLine="480" w:firstLineChars="200"/>
        <w:rPr>
          <w:sz w:val="24"/>
          <w:szCs w:val="24"/>
        </w:rPr>
      </w:pPr>
      <w:r>
        <w:rPr>
          <w:rFonts w:hint="eastAsia"/>
          <w:sz w:val="24"/>
          <w:szCs w:val="24"/>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pPr>
        <w:pStyle w:val="66"/>
        <w:spacing w:afterLines="0"/>
        <w:ind w:left="0" w:firstLine="480" w:firstLineChars="200"/>
        <w:rPr>
          <w:rFonts w:cs="宋体"/>
          <w:szCs w:val="24"/>
        </w:rPr>
      </w:pPr>
      <w:r>
        <w:rPr>
          <w:rFonts w:cs="宋体"/>
          <w:szCs w:val="24"/>
        </w:rPr>
        <w:t xml:space="preserve">7.6.5 </w:t>
      </w:r>
      <w:r>
        <w:rPr>
          <w:rFonts w:hint="eastAsia" w:cs="宋体"/>
          <w:szCs w:val="24"/>
        </w:rPr>
        <w:t>安全生产责任</w:t>
      </w:r>
    </w:p>
    <w:p>
      <w:pPr>
        <w:spacing w:line="360" w:lineRule="auto"/>
        <w:ind w:firstLine="480" w:firstLineChars="200"/>
        <w:rPr>
          <w:sz w:val="24"/>
          <w:szCs w:val="24"/>
        </w:rPr>
      </w:pPr>
      <w:r>
        <w:rPr>
          <w:rFonts w:hint="eastAsia"/>
          <w:sz w:val="24"/>
          <w:szCs w:val="24"/>
        </w:rPr>
        <w:t>发包人应负责赔偿以下各种情况造成的损失：</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工程或工程的任何部分对土地的占用所造成的第三者财产损失；</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由于发包人原因在施工现场及其毗邻地带、履行合同工作中造成的第三者人身伤亡和财产损失；</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由于发包人原因对发包人自身、承包人、工程师造成的人身伤害和财产损失。</w:t>
      </w:r>
    </w:p>
    <w:p>
      <w:pPr>
        <w:spacing w:line="360" w:lineRule="auto"/>
        <w:ind w:firstLine="480" w:firstLineChars="200"/>
        <w:rPr>
          <w:sz w:val="24"/>
          <w:szCs w:val="24"/>
        </w:rPr>
      </w:pPr>
      <w:r>
        <w:rPr>
          <w:rFonts w:hint="eastAsia"/>
          <w:sz w:val="24"/>
          <w:szCs w:val="24"/>
        </w:rPr>
        <w:t>承包人应负责赔偿由于承包人原因在施工现场及其毗邻地带、履行合同工作中造成的第三者人身伤亡和财产损失。</w:t>
      </w:r>
    </w:p>
    <w:p>
      <w:pPr>
        <w:spacing w:line="360" w:lineRule="auto"/>
        <w:ind w:firstLine="480" w:firstLineChars="200"/>
        <w:rPr>
          <w:sz w:val="24"/>
          <w:szCs w:val="24"/>
        </w:rPr>
      </w:pPr>
      <w:r>
        <w:rPr>
          <w:rFonts w:hint="eastAsia"/>
          <w:sz w:val="24"/>
          <w:szCs w:val="24"/>
        </w:rPr>
        <w:t>如果上述损失是由于发包人和承包人共同原因导致的，则双方应根据过错情况按比例承担。</w:t>
      </w:r>
    </w:p>
    <w:p>
      <w:pPr>
        <w:pStyle w:val="65"/>
        <w:widowControl/>
        <w:spacing w:afterLines="0"/>
        <w:ind w:left="0" w:firstLine="480" w:firstLineChars="200"/>
        <w:rPr>
          <w:rFonts w:ascii="宋体" w:hAnsi="宋体" w:eastAsia="宋体" w:cs="宋体"/>
          <w:b w:val="0"/>
          <w:bCs/>
        </w:rPr>
      </w:pPr>
      <w:bookmarkStart w:id="364" w:name="_Toc54862242"/>
      <w:bookmarkStart w:id="365" w:name="_Ref11874562"/>
      <w:bookmarkStart w:id="366" w:name="_Ref41554069"/>
      <w:r>
        <w:rPr>
          <w:rFonts w:ascii="宋体" w:hAnsi="宋体" w:eastAsia="宋体" w:cs="宋体"/>
          <w:b w:val="0"/>
          <w:bCs/>
        </w:rPr>
        <w:t xml:space="preserve">7.7 </w:t>
      </w:r>
      <w:r>
        <w:rPr>
          <w:rFonts w:hint="eastAsia" w:ascii="宋体" w:hAnsi="宋体" w:eastAsia="宋体" w:cs="宋体"/>
          <w:b w:val="0"/>
          <w:bCs/>
        </w:rPr>
        <w:t>职业健康</w:t>
      </w:r>
      <w:bookmarkEnd w:id="364"/>
      <w:bookmarkEnd w:id="365"/>
      <w:bookmarkEnd w:id="366"/>
    </w:p>
    <w:p>
      <w:pPr>
        <w:spacing w:line="360" w:lineRule="auto"/>
        <w:ind w:firstLine="480" w:firstLineChars="200"/>
        <w:rPr>
          <w:sz w:val="24"/>
          <w:szCs w:val="24"/>
        </w:rPr>
      </w:pPr>
      <w:r>
        <w:rPr>
          <w:rFonts w:hint="eastAsia"/>
          <w:sz w:val="24"/>
          <w:szCs w:val="24"/>
        </w:rPr>
        <w:t>承包人应遵守适用的职业健康的法律和合同约定（包括对雇用、职业健康、安全、福利等方面的规定），负责现场实施过程中其人员的职业健康和保护，包括：</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承包人应依法为承包人</w:t>
      </w:r>
      <w:bookmarkStart w:id="367" w:name="_Hlk46339538"/>
      <w:r>
        <w:rPr>
          <w:rFonts w:hint="eastAsia"/>
          <w:sz w:val="24"/>
          <w:szCs w:val="24"/>
        </w:rPr>
        <w:t>员工及承包人聘用的第三方人员</w:t>
      </w:r>
      <w:bookmarkEnd w:id="367"/>
      <w:r>
        <w:rPr>
          <w:rFonts w:hint="eastAsia"/>
          <w:sz w:val="24"/>
          <w:szCs w:val="24"/>
        </w:rPr>
        <w:t>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承包人应采取有效措施预防传染病，保持食堂的饮食卫生，保证施工人员的健康，并定期对施工现场、施工人员生活基地和工程进行防疫和卫生的专业检查和处理</w:t>
      </w:r>
      <w:r>
        <w:rPr>
          <w:sz w:val="24"/>
          <w:szCs w:val="24"/>
        </w:rPr>
        <w:t xml:space="preserve">, </w:t>
      </w:r>
      <w:r>
        <w:rPr>
          <w:rFonts w:hint="eastAsia"/>
          <w:sz w:val="24"/>
          <w:szCs w:val="24"/>
        </w:rPr>
        <w:t>在远离城镇的施工现场，还应配备必要的伤病防治和急救的医务人员与医疗设施。承包人雇佣人员在施工中受到伤害的，承包人应立即采取有效措施进行抢救和治疗。</w:t>
      </w:r>
    </w:p>
    <w:p>
      <w:pPr>
        <w:pStyle w:val="65"/>
        <w:widowControl/>
        <w:spacing w:afterLines="0"/>
        <w:ind w:left="0" w:firstLine="482" w:firstLineChars="200"/>
        <w:rPr>
          <w:rFonts w:ascii="宋体" w:hAnsi="宋体" w:eastAsia="宋体" w:cs="宋体"/>
        </w:rPr>
      </w:pPr>
      <w:bookmarkStart w:id="368" w:name="_Toc54862243"/>
      <w:bookmarkStart w:id="369" w:name="_Ref11874570"/>
      <w:r>
        <w:rPr>
          <w:rFonts w:ascii="宋体" w:hAnsi="宋体" w:eastAsia="宋体" w:cs="宋体"/>
        </w:rPr>
        <w:t xml:space="preserve">7.8 </w:t>
      </w:r>
      <w:r>
        <w:rPr>
          <w:rFonts w:hint="eastAsia" w:ascii="宋体" w:hAnsi="宋体" w:eastAsia="宋体" w:cs="宋体"/>
        </w:rPr>
        <w:t>环境保护</w:t>
      </w:r>
      <w:bookmarkEnd w:id="368"/>
      <w:bookmarkEnd w:id="369"/>
    </w:p>
    <w:p>
      <w:pPr>
        <w:pStyle w:val="66"/>
        <w:spacing w:afterLines="0"/>
        <w:ind w:left="0" w:firstLine="480" w:firstLineChars="200"/>
        <w:rPr>
          <w:rFonts w:cs="宋体"/>
          <w:szCs w:val="24"/>
        </w:rPr>
      </w:pPr>
      <w:r>
        <w:rPr>
          <w:rFonts w:cs="宋体"/>
          <w:szCs w:val="24"/>
        </w:rPr>
        <w:t xml:space="preserve">7.8.1 </w:t>
      </w:r>
      <w:r>
        <w:rPr>
          <w:rFonts w:hint="eastAsia" w:cs="宋体"/>
          <w:szCs w:val="24"/>
        </w:rPr>
        <w:t>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pPr>
        <w:pStyle w:val="66"/>
        <w:spacing w:afterLines="0"/>
        <w:ind w:left="0" w:firstLine="480" w:firstLineChars="200"/>
        <w:rPr>
          <w:rFonts w:cs="宋体"/>
          <w:szCs w:val="24"/>
        </w:rPr>
      </w:pPr>
      <w:r>
        <w:rPr>
          <w:rFonts w:cs="宋体"/>
          <w:szCs w:val="24"/>
        </w:rPr>
        <w:t xml:space="preserve">7.8.2 </w:t>
      </w:r>
      <w:r>
        <w:rPr>
          <w:rFonts w:hint="eastAsia" w:cs="宋体"/>
          <w:szCs w:val="24"/>
        </w:rPr>
        <w:t>承包人应采取措施，并负责控制和（或）处理现场的粉尘、废气、废水、固体废物和噪声对环境的污染和危害。因此发生的伤害、赔偿、罚款等费用增加，和（或）竣工日期延误，由承包人负责。</w:t>
      </w:r>
    </w:p>
    <w:p>
      <w:pPr>
        <w:pStyle w:val="66"/>
        <w:spacing w:afterLines="0"/>
        <w:ind w:left="0" w:firstLine="480" w:firstLineChars="200"/>
        <w:rPr>
          <w:rFonts w:cs="宋体"/>
          <w:szCs w:val="24"/>
        </w:rPr>
      </w:pPr>
      <w:r>
        <w:rPr>
          <w:rFonts w:cs="宋体"/>
          <w:szCs w:val="24"/>
        </w:rPr>
        <w:t xml:space="preserve">7.8.3 </w:t>
      </w:r>
      <w:r>
        <w:rPr>
          <w:rFonts w:hint="eastAsia" w:cs="宋体"/>
          <w:szCs w:val="24"/>
        </w:rPr>
        <w:t>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pPr>
        <w:pStyle w:val="65"/>
        <w:widowControl/>
        <w:spacing w:afterLines="0"/>
        <w:ind w:left="0" w:firstLine="482" w:firstLineChars="200"/>
        <w:rPr>
          <w:rFonts w:ascii="宋体" w:hAnsi="宋体" w:eastAsia="宋体" w:cs="宋体"/>
        </w:rPr>
      </w:pPr>
      <w:bookmarkStart w:id="370" w:name="_Toc54862244"/>
      <w:bookmarkStart w:id="371" w:name="_Ref531954344"/>
      <w:bookmarkStart w:id="372" w:name="_Ref531954340"/>
      <w:bookmarkStart w:id="373" w:name="_Ref4771116"/>
      <w:r>
        <w:rPr>
          <w:rFonts w:ascii="宋体" w:hAnsi="宋体" w:eastAsia="宋体" w:cs="宋体"/>
        </w:rPr>
        <w:t xml:space="preserve">7.9 </w:t>
      </w:r>
      <w:r>
        <w:rPr>
          <w:rFonts w:hint="eastAsia" w:ascii="宋体" w:hAnsi="宋体" w:eastAsia="宋体" w:cs="宋体"/>
        </w:rPr>
        <w:t>临时性公用设施</w:t>
      </w:r>
      <w:bookmarkEnd w:id="370"/>
      <w:bookmarkEnd w:id="371"/>
      <w:bookmarkEnd w:id="372"/>
      <w:r>
        <w:rPr>
          <w:rFonts w:ascii="宋体" w:hAnsi="宋体" w:eastAsia="宋体" w:cs="宋体"/>
        </w:rPr>
        <w:t xml:space="preserve"> </w:t>
      </w:r>
      <w:bookmarkEnd w:id="373"/>
    </w:p>
    <w:p>
      <w:pPr>
        <w:pStyle w:val="66"/>
        <w:spacing w:afterLines="0"/>
        <w:ind w:left="0" w:firstLine="480" w:firstLineChars="200"/>
        <w:rPr>
          <w:rFonts w:cs="宋体"/>
          <w:szCs w:val="24"/>
        </w:rPr>
      </w:pPr>
      <w:r>
        <w:rPr>
          <w:rFonts w:cs="宋体"/>
          <w:szCs w:val="24"/>
        </w:rPr>
        <w:t xml:space="preserve">7.9.1 </w:t>
      </w:r>
      <w:r>
        <w:rPr>
          <w:rFonts w:hint="eastAsia" w:cs="宋体"/>
          <w:szCs w:val="24"/>
        </w:rPr>
        <w:t>提供临时用水、用电等和节点铺设</w:t>
      </w:r>
    </w:p>
    <w:p>
      <w:pPr>
        <w:spacing w:line="360" w:lineRule="auto"/>
        <w:ind w:firstLine="480" w:firstLineChars="200"/>
        <w:rPr>
          <w:sz w:val="24"/>
          <w:szCs w:val="24"/>
        </w:rPr>
      </w:pPr>
      <w:r>
        <w:rPr>
          <w:rFonts w:hint="eastAsia"/>
          <w:sz w:val="24"/>
          <w:szCs w:val="24"/>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pPr>
        <w:spacing w:line="360" w:lineRule="auto"/>
        <w:ind w:firstLine="480" w:firstLineChars="200"/>
        <w:rPr>
          <w:sz w:val="24"/>
          <w:szCs w:val="24"/>
        </w:rPr>
      </w:pPr>
      <w:r>
        <w:rPr>
          <w:rFonts w:hint="eastAsia"/>
          <w:sz w:val="24"/>
          <w:szCs w:val="24"/>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pStyle w:val="66"/>
        <w:spacing w:afterLines="0"/>
        <w:ind w:left="0" w:firstLine="480" w:firstLineChars="200"/>
        <w:rPr>
          <w:rFonts w:cs="宋体"/>
          <w:szCs w:val="24"/>
        </w:rPr>
      </w:pPr>
      <w:r>
        <w:rPr>
          <w:rFonts w:cs="宋体"/>
          <w:szCs w:val="24"/>
        </w:rPr>
        <w:t xml:space="preserve">7.9.2 </w:t>
      </w:r>
      <w:r>
        <w:rPr>
          <w:rFonts w:hint="eastAsia" w:cs="宋体"/>
          <w:szCs w:val="24"/>
        </w:rPr>
        <w:t>临时用水、用电等</w:t>
      </w:r>
    </w:p>
    <w:p>
      <w:pPr>
        <w:spacing w:line="360" w:lineRule="auto"/>
        <w:ind w:firstLine="480" w:firstLineChars="200"/>
        <w:rPr>
          <w:sz w:val="24"/>
          <w:szCs w:val="24"/>
        </w:rPr>
      </w:pPr>
      <w:r>
        <w:rPr>
          <w:rFonts w:hint="eastAsia"/>
          <w:sz w:val="24"/>
          <w:szCs w:val="24"/>
        </w:rPr>
        <w:t>承包人应在计划开始现场施工日期</w:t>
      </w:r>
      <w:r>
        <w:rPr>
          <w:sz w:val="24"/>
          <w:szCs w:val="24"/>
        </w:rPr>
        <w:t>28</w:t>
      </w:r>
      <w:r>
        <w:rPr>
          <w:rFonts w:hint="eastAsia"/>
          <w:sz w:val="24"/>
          <w:szCs w:val="24"/>
        </w:rPr>
        <w:t>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pPr>
        <w:spacing w:line="360" w:lineRule="auto"/>
        <w:ind w:firstLine="480" w:firstLineChars="200"/>
        <w:rPr>
          <w:sz w:val="24"/>
          <w:szCs w:val="24"/>
        </w:rPr>
      </w:pPr>
      <w:r>
        <w:rPr>
          <w:rFonts w:hint="eastAsia"/>
          <w:sz w:val="24"/>
          <w:szCs w:val="24"/>
        </w:rPr>
        <w:t>因承包人未能按合同约定提交上述资料，造成发包人费用增加和竣工日期延误时，由承包人负责。</w:t>
      </w:r>
      <w:bookmarkStart w:id="374" w:name="_Ref508893743"/>
    </w:p>
    <w:p>
      <w:pPr>
        <w:pStyle w:val="65"/>
        <w:widowControl/>
        <w:spacing w:afterLines="0"/>
        <w:ind w:left="0" w:firstLine="482" w:firstLineChars="200"/>
        <w:rPr>
          <w:rFonts w:ascii="宋体" w:hAnsi="宋体" w:eastAsia="宋体" w:cs="宋体"/>
        </w:rPr>
      </w:pPr>
      <w:bookmarkStart w:id="375" w:name="_Ref531952239"/>
      <w:bookmarkStart w:id="376" w:name="_Toc54862245"/>
      <w:bookmarkStart w:id="377" w:name="_Ref531952248"/>
      <w:r>
        <w:rPr>
          <w:rFonts w:ascii="宋体" w:hAnsi="宋体" w:eastAsia="宋体" w:cs="宋体"/>
        </w:rPr>
        <w:t xml:space="preserve">7.10 </w:t>
      </w:r>
      <w:r>
        <w:rPr>
          <w:rFonts w:hint="eastAsia" w:ascii="宋体" w:hAnsi="宋体" w:eastAsia="宋体" w:cs="宋体"/>
        </w:rPr>
        <w:t>现场安保</w:t>
      </w:r>
      <w:bookmarkEnd w:id="375"/>
      <w:bookmarkEnd w:id="376"/>
      <w:bookmarkEnd w:id="377"/>
    </w:p>
    <w:p>
      <w:pPr>
        <w:spacing w:line="360" w:lineRule="auto"/>
        <w:ind w:firstLine="480" w:firstLineChars="200"/>
        <w:rPr>
          <w:sz w:val="24"/>
          <w:szCs w:val="24"/>
        </w:rPr>
      </w:pPr>
      <w:r>
        <w:rPr>
          <w:rFonts w:hint="eastAsia"/>
          <w:sz w:val="24"/>
          <w:szCs w:val="24"/>
        </w:rPr>
        <w:t>承包人承担自发包人向其移交施工现场、进入占有施工现场至发包人接收单位</w:t>
      </w:r>
      <w:r>
        <w:rPr>
          <w:sz w:val="24"/>
          <w:szCs w:val="24"/>
        </w:rPr>
        <w:t>/</w:t>
      </w:r>
      <w:r>
        <w:rPr>
          <w:rFonts w:hint="eastAsia"/>
          <w:sz w:val="24"/>
          <w:szCs w:val="24"/>
        </w:rPr>
        <w:t>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pPr>
        <w:spacing w:line="360" w:lineRule="auto"/>
        <w:ind w:firstLine="480" w:firstLineChars="200"/>
        <w:rPr>
          <w:sz w:val="24"/>
          <w:szCs w:val="24"/>
        </w:rPr>
      </w:pPr>
      <w:r>
        <w:rPr>
          <w:rFonts w:hint="eastAsia"/>
          <w:sz w:val="24"/>
          <w:szCs w:val="24"/>
        </w:rPr>
        <w:t>承包人应将其作业限制在现场区域、合同约定的区域或为履行合同所需的区域内。承包人应采取一切必要的预防措施，以保持承包人的设备和人员处于现场区域内，避免其进入邻近地区。</w:t>
      </w:r>
    </w:p>
    <w:p>
      <w:pPr>
        <w:spacing w:line="360" w:lineRule="auto"/>
        <w:ind w:firstLine="480" w:firstLineChars="200"/>
        <w:rPr>
          <w:sz w:val="24"/>
          <w:szCs w:val="24"/>
        </w:rPr>
      </w:pPr>
      <w:r>
        <w:rPr>
          <w:rFonts w:hint="eastAsia"/>
          <w:sz w:val="24"/>
          <w:szCs w:val="24"/>
        </w:rPr>
        <w:t>承包人为履行合同义务而占用的其他场所（如预制加工场所、办公及生活营区）</w:t>
      </w:r>
      <w:r>
        <w:rPr>
          <w:sz w:val="24"/>
          <w:szCs w:val="24"/>
        </w:rPr>
        <w:t xml:space="preserve"> </w:t>
      </w:r>
      <w:r>
        <w:rPr>
          <w:rFonts w:hint="eastAsia"/>
          <w:sz w:val="24"/>
          <w:szCs w:val="24"/>
        </w:rPr>
        <w:t>的安保适用本款前述关于现场安保的规定。</w:t>
      </w:r>
    </w:p>
    <w:p>
      <w:pPr>
        <w:pStyle w:val="65"/>
        <w:widowControl/>
        <w:spacing w:afterLines="0"/>
        <w:ind w:left="0" w:firstLine="482" w:firstLineChars="200"/>
        <w:rPr>
          <w:rFonts w:ascii="宋体" w:hAnsi="宋体" w:eastAsia="宋体" w:cs="宋体"/>
        </w:rPr>
      </w:pPr>
      <w:bookmarkStart w:id="378" w:name="_Toc54862246"/>
      <w:r>
        <w:rPr>
          <w:rFonts w:ascii="宋体" w:hAnsi="宋体" w:eastAsia="宋体" w:cs="宋体"/>
        </w:rPr>
        <w:t xml:space="preserve">7.11 </w:t>
      </w:r>
      <w:r>
        <w:rPr>
          <w:rFonts w:hint="eastAsia" w:ascii="宋体" w:hAnsi="宋体" w:eastAsia="宋体" w:cs="宋体"/>
        </w:rPr>
        <w:t>工程照管</w:t>
      </w:r>
      <w:bookmarkEnd w:id="378"/>
    </w:p>
    <w:p>
      <w:pPr>
        <w:spacing w:line="360" w:lineRule="auto"/>
        <w:ind w:firstLine="480" w:firstLineChars="200"/>
        <w:rPr>
          <w:sz w:val="24"/>
          <w:szCs w:val="24"/>
        </w:rPr>
      </w:pPr>
      <w:r>
        <w:rPr>
          <w:rFonts w:hint="eastAsia"/>
          <w:sz w:val="24"/>
          <w:szCs w:val="24"/>
        </w:rPr>
        <w:t>自开始现场施工日期起至发包人应当接收工程之日止，承包人应承担工程现场、材料、设备及承包人文件的照管和维护工作。</w:t>
      </w:r>
    </w:p>
    <w:p>
      <w:pPr>
        <w:spacing w:line="360" w:lineRule="auto"/>
        <w:ind w:firstLine="480" w:firstLineChars="200"/>
        <w:rPr>
          <w:sz w:val="24"/>
          <w:szCs w:val="24"/>
        </w:rPr>
      </w:pPr>
      <w:r>
        <w:rPr>
          <w:rFonts w:hint="eastAsia"/>
          <w:sz w:val="24"/>
          <w:szCs w:val="24"/>
        </w:rPr>
        <w:t>如部分工程于竣工验收前提前交付发包人的，则自交付之日起，该部分工程照管及维护职责由发包人承担。</w:t>
      </w:r>
    </w:p>
    <w:p>
      <w:pPr>
        <w:spacing w:line="360" w:lineRule="auto"/>
        <w:ind w:firstLine="480" w:firstLineChars="200"/>
        <w:rPr>
          <w:sz w:val="24"/>
          <w:szCs w:val="24"/>
        </w:rPr>
      </w:pPr>
      <w:r>
        <w:rPr>
          <w:rFonts w:hint="eastAsia"/>
          <w:sz w:val="24"/>
          <w:szCs w:val="24"/>
        </w:rPr>
        <w:t>如发包人及承包人进行竣工验收时尚有部分未竣工工程的，承包人应负责该未竣工工程的照管和维护工作，直至竣工后移交给发包人。</w:t>
      </w:r>
    </w:p>
    <w:p>
      <w:pPr>
        <w:spacing w:line="360" w:lineRule="auto"/>
        <w:ind w:firstLine="480" w:firstLineChars="200"/>
        <w:rPr>
          <w:sz w:val="24"/>
          <w:szCs w:val="24"/>
        </w:rPr>
      </w:pPr>
      <w:r>
        <w:rPr>
          <w:rFonts w:hint="eastAsia"/>
          <w:sz w:val="24"/>
          <w:szCs w:val="24"/>
        </w:rPr>
        <w:t>如合同解除或终止的，承包人自合同解除或终止之日起不再对工程承担照管和维护义务。</w:t>
      </w:r>
    </w:p>
    <w:p>
      <w:pPr>
        <w:pStyle w:val="64"/>
        <w:numPr>
          <w:ilvl w:val="0"/>
          <w:numId w:val="0"/>
        </w:numPr>
        <w:spacing w:before="0"/>
        <w:ind w:firstLine="482" w:firstLineChars="200"/>
        <w:rPr>
          <w:rFonts w:ascii="宋体"/>
          <w:b/>
          <w:sz w:val="24"/>
          <w:szCs w:val="24"/>
        </w:rPr>
      </w:pPr>
      <w:bookmarkStart w:id="379" w:name="_Toc54862247"/>
      <w:bookmarkStart w:id="380" w:name="_Ref508998009"/>
      <w:bookmarkStart w:id="381" w:name="_Ref531954505"/>
      <w:bookmarkStart w:id="382" w:name="_Ref531954518"/>
      <w:r>
        <w:rPr>
          <w:rFonts w:hint="eastAsia" w:ascii="宋体" w:hAnsi="宋体"/>
          <w:b/>
          <w:sz w:val="24"/>
          <w:szCs w:val="24"/>
        </w:rPr>
        <w:t>第</w:t>
      </w:r>
      <w:r>
        <w:rPr>
          <w:rFonts w:ascii="宋体" w:hAnsi="宋体"/>
          <w:b/>
          <w:sz w:val="24"/>
          <w:szCs w:val="24"/>
        </w:rPr>
        <w:t>8</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工期和进度</w:t>
      </w:r>
      <w:bookmarkEnd w:id="379"/>
      <w:bookmarkEnd w:id="380"/>
    </w:p>
    <w:p>
      <w:pPr>
        <w:pStyle w:val="65"/>
        <w:widowControl/>
        <w:spacing w:afterLines="0"/>
        <w:ind w:left="0" w:firstLine="482" w:firstLineChars="200"/>
        <w:rPr>
          <w:rFonts w:ascii="宋体" w:hAnsi="宋体" w:eastAsia="宋体" w:cs="宋体"/>
          <w:b w:val="0"/>
          <w:bCs/>
        </w:rPr>
      </w:pPr>
      <w:bookmarkStart w:id="383" w:name="_Ref532362072"/>
      <w:bookmarkStart w:id="384" w:name="_Ref532362075"/>
      <w:bookmarkStart w:id="385" w:name="_Ref532362777"/>
      <w:bookmarkStart w:id="386" w:name="_Ref532362774"/>
      <w:bookmarkStart w:id="387" w:name="_Toc54862248"/>
      <w:r>
        <w:rPr>
          <w:rFonts w:ascii="宋体" w:hAnsi="宋体" w:eastAsia="宋体" w:cs="宋体"/>
        </w:rPr>
        <w:t xml:space="preserve">8.1 </w:t>
      </w:r>
      <w:r>
        <w:rPr>
          <w:rFonts w:hint="eastAsia" w:ascii="宋体" w:hAnsi="宋体" w:eastAsia="宋体" w:cs="宋体"/>
        </w:rPr>
        <w:t>开始工作</w:t>
      </w:r>
      <w:bookmarkEnd w:id="383"/>
      <w:bookmarkEnd w:id="384"/>
      <w:bookmarkEnd w:id="385"/>
      <w:bookmarkEnd w:id="386"/>
      <w:bookmarkEnd w:id="387"/>
    </w:p>
    <w:p>
      <w:pPr>
        <w:pStyle w:val="66"/>
        <w:spacing w:afterLines="0"/>
        <w:ind w:left="0" w:firstLine="480" w:firstLineChars="200"/>
        <w:rPr>
          <w:rFonts w:cs="宋体"/>
          <w:szCs w:val="24"/>
        </w:rPr>
      </w:pPr>
      <w:bookmarkStart w:id="388" w:name="_Ref4428890"/>
      <w:r>
        <w:rPr>
          <w:rFonts w:cs="宋体"/>
          <w:szCs w:val="24"/>
        </w:rPr>
        <w:t xml:space="preserve">8.1.1 </w:t>
      </w:r>
      <w:r>
        <w:rPr>
          <w:rFonts w:hint="eastAsia" w:cs="宋体"/>
          <w:szCs w:val="24"/>
        </w:rPr>
        <w:t>开始工作准备</w:t>
      </w:r>
      <w:bookmarkEnd w:id="388"/>
    </w:p>
    <w:p>
      <w:pPr>
        <w:spacing w:line="360" w:lineRule="auto"/>
        <w:ind w:firstLine="480" w:firstLineChars="200"/>
        <w:rPr>
          <w:sz w:val="24"/>
          <w:szCs w:val="24"/>
        </w:rPr>
      </w:pPr>
      <w:r>
        <w:rPr>
          <w:rFonts w:hint="eastAsia"/>
          <w:sz w:val="24"/>
          <w:szCs w:val="24"/>
        </w:rPr>
        <w:t>合同当事人应按专用合同条件约定完成开始工作准备工作。</w:t>
      </w:r>
    </w:p>
    <w:p>
      <w:pPr>
        <w:pStyle w:val="66"/>
        <w:spacing w:afterLines="0"/>
        <w:ind w:left="0" w:firstLine="480" w:firstLineChars="200"/>
        <w:rPr>
          <w:rFonts w:cs="宋体"/>
          <w:szCs w:val="24"/>
        </w:rPr>
      </w:pPr>
      <w:bookmarkStart w:id="389" w:name="_Ref536790534"/>
      <w:bookmarkStart w:id="390" w:name="_Hlk51506490"/>
      <w:r>
        <w:rPr>
          <w:rFonts w:cs="宋体"/>
          <w:szCs w:val="24"/>
        </w:rPr>
        <w:t xml:space="preserve">8.1.2 </w:t>
      </w:r>
      <w:r>
        <w:rPr>
          <w:rFonts w:hint="eastAsia" w:cs="宋体"/>
          <w:szCs w:val="24"/>
        </w:rPr>
        <w:t>开始工作通知</w:t>
      </w:r>
      <w:bookmarkEnd w:id="389"/>
    </w:p>
    <w:bookmarkEnd w:id="390"/>
    <w:p>
      <w:pPr>
        <w:spacing w:line="360" w:lineRule="auto"/>
        <w:ind w:firstLine="480" w:firstLineChars="200"/>
        <w:rPr>
          <w:sz w:val="24"/>
          <w:szCs w:val="24"/>
        </w:rPr>
      </w:pPr>
      <w:r>
        <w:rPr>
          <w:rFonts w:hint="eastAsia"/>
          <w:sz w:val="24"/>
          <w:szCs w:val="24"/>
        </w:rPr>
        <w:t>经发包人同意后，工程师应提前</w:t>
      </w:r>
      <w:r>
        <w:rPr>
          <w:sz w:val="24"/>
          <w:szCs w:val="24"/>
        </w:rPr>
        <w:t>7</w:t>
      </w:r>
      <w:r>
        <w:rPr>
          <w:rFonts w:hint="eastAsia"/>
          <w:sz w:val="24"/>
          <w:szCs w:val="24"/>
        </w:rPr>
        <w:t>天向承包人发出经发包人签认的开始工作通知，工期自开始工作通知中载明的开始工作日期起算。</w:t>
      </w:r>
    </w:p>
    <w:p>
      <w:pPr>
        <w:spacing w:line="360" w:lineRule="auto"/>
        <w:ind w:firstLine="480" w:firstLineChars="200"/>
        <w:rPr>
          <w:sz w:val="24"/>
          <w:szCs w:val="24"/>
        </w:rPr>
      </w:pPr>
      <w:r>
        <w:rPr>
          <w:rFonts w:hint="eastAsia"/>
          <w:sz w:val="24"/>
          <w:szCs w:val="24"/>
        </w:rPr>
        <w:t>除专用合同条件另有约定外，因发包人原因造成实际开始现场施工日期迟于</w:t>
      </w:r>
      <w:bookmarkStart w:id="391" w:name="_Hlk51506566"/>
      <w:r>
        <w:rPr>
          <w:rFonts w:hint="eastAsia"/>
          <w:sz w:val="24"/>
          <w:szCs w:val="24"/>
        </w:rPr>
        <w:t>计划开始现场施工日期</w:t>
      </w:r>
      <w:bookmarkEnd w:id="391"/>
      <w:r>
        <w:rPr>
          <w:rFonts w:hint="eastAsia"/>
          <w:sz w:val="24"/>
          <w:szCs w:val="24"/>
        </w:rPr>
        <w:t>后第</w:t>
      </w:r>
      <w:r>
        <w:rPr>
          <w:sz w:val="24"/>
          <w:szCs w:val="24"/>
        </w:rPr>
        <w:t>84</w:t>
      </w:r>
      <w:r>
        <w:rPr>
          <w:rFonts w:hint="eastAsia"/>
          <w:sz w:val="24"/>
          <w:szCs w:val="24"/>
        </w:rPr>
        <w:t>天的，承包人有权提出价格调整要求，或者解除合同。发包人应当承担由此增加的费用和（或）延误的工期，并向承包人支付合理利润。</w:t>
      </w:r>
    </w:p>
    <w:p>
      <w:pPr>
        <w:pStyle w:val="65"/>
        <w:widowControl/>
        <w:spacing w:afterLines="0"/>
        <w:ind w:left="0" w:firstLine="482" w:firstLineChars="200"/>
        <w:rPr>
          <w:rFonts w:ascii="宋体" w:hAnsi="宋体" w:eastAsia="宋体" w:cs="宋体"/>
        </w:rPr>
      </w:pPr>
      <w:bookmarkStart w:id="392" w:name="_Ref532362124"/>
      <w:bookmarkStart w:id="393" w:name="_Toc54862249"/>
      <w:r>
        <w:rPr>
          <w:rFonts w:ascii="宋体" w:hAnsi="宋体" w:eastAsia="宋体" w:cs="宋体"/>
        </w:rPr>
        <w:t xml:space="preserve">8.2 </w:t>
      </w:r>
      <w:r>
        <w:rPr>
          <w:rFonts w:hint="eastAsia" w:ascii="宋体" w:hAnsi="宋体" w:eastAsia="宋体" w:cs="宋体"/>
        </w:rPr>
        <w:t>竣工日期</w:t>
      </w:r>
      <w:bookmarkEnd w:id="392"/>
      <w:bookmarkEnd w:id="393"/>
      <w:r>
        <w:rPr>
          <w:rFonts w:ascii="宋体" w:hAnsi="宋体" w:eastAsia="宋体" w:cs="宋体"/>
        </w:rPr>
        <w:t xml:space="preserve"> </w:t>
      </w:r>
    </w:p>
    <w:p>
      <w:pPr>
        <w:spacing w:line="360" w:lineRule="auto"/>
        <w:ind w:firstLine="480" w:firstLineChars="200"/>
        <w:rPr>
          <w:sz w:val="24"/>
          <w:szCs w:val="24"/>
        </w:rPr>
      </w:pPr>
      <w:r>
        <w:rPr>
          <w:rFonts w:hint="eastAsia"/>
          <w:sz w:val="24"/>
          <w:szCs w:val="24"/>
        </w:rPr>
        <w:t>承包人应在合同协议书约定的工期内完成合同工作。除专用合同条件另有约定外，工程的竣工日期以第</w:t>
      </w:r>
      <w:r>
        <w:rPr>
          <w:sz w:val="24"/>
          <w:szCs w:val="24"/>
        </w:rPr>
        <w:t>10.1</w:t>
      </w:r>
      <w:r>
        <w:rPr>
          <w:rFonts w:hint="eastAsia"/>
          <w:sz w:val="24"/>
          <w:szCs w:val="24"/>
        </w:rPr>
        <w:t>条</w:t>
      </w:r>
      <w:r>
        <w:rPr>
          <w:sz w:val="24"/>
          <w:szCs w:val="24"/>
        </w:rPr>
        <w:t>[</w:t>
      </w:r>
      <w:r>
        <w:rPr>
          <w:rFonts w:hint="eastAsia"/>
          <w:sz w:val="24"/>
          <w:szCs w:val="24"/>
        </w:rPr>
        <w:t>竣工验收</w:t>
      </w:r>
      <w:r>
        <w:rPr>
          <w:sz w:val="24"/>
          <w:szCs w:val="24"/>
        </w:rPr>
        <w:t>]</w:t>
      </w:r>
      <w:r>
        <w:rPr>
          <w:rFonts w:hint="eastAsia"/>
          <w:sz w:val="24"/>
          <w:szCs w:val="24"/>
        </w:rPr>
        <w:t>的约定为准，并在工程接收证书中写明。</w:t>
      </w:r>
    </w:p>
    <w:p>
      <w:pPr>
        <w:spacing w:line="360" w:lineRule="auto"/>
        <w:ind w:firstLine="480" w:firstLineChars="200"/>
        <w:rPr>
          <w:sz w:val="24"/>
          <w:szCs w:val="24"/>
        </w:rPr>
      </w:pPr>
      <w:r>
        <w:rPr>
          <w:rFonts w:hint="eastAsia"/>
          <w:sz w:val="24"/>
          <w:szCs w:val="24"/>
        </w:rPr>
        <w:t>因发包人原因，在工程师收到承包人竣工验收申请报告</w:t>
      </w:r>
      <w:r>
        <w:rPr>
          <w:sz w:val="24"/>
          <w:szCs w:val="24"/>
        </w:rPr>
        <w:t>42</w:t>
      </w:r>
      <w:r>
        <w:rPr>
          <w:rFonts w:hint="eastAsia"/>
          <w:sz w:val="24"/>
          <w:szCs w:val="24"/>
        </w:rPr>
        <w:t>天后未进行验收的，视为验收合格，实际竣工日期以提交竣工验收申请报告的日期为准，但发包人由于不可抗力不能进行验收的除外。</w:t>
      </w:r>
    </w:p>
    <w:p>
      <w:pPr>
        <w:pStyle w:val="65"/>
        <w:widowControl/>
        <w:spacing w:afterLines="0"/>
        <w:ind w:left="0" w:firstLine="482" w:firstLineChars="200"/>
        <w:rPr>
          <w:rFonts w:ascii="宋体" w:hAnsi="宋体" w:eastAsia="宋体" w:cs="宋体"/>
        </w:rPr>
      </w:pPr>
      <w:bookmarkStart w:id="394" w:name="_Toc54862250"/>
      <w:bookmarkStart w:id="395" w:name="_Ref11863334"/>
      <w:bookmarkStart w:id="396" w:name="_Ref532352853"/>
      <w:bookmarkStart w:id="397" w:name="_Ref532352856"/>
      <w:bookmarkStart w:id="398" w:name="_Ref532362204"/>
      <w:bookmarkStart w:id="399" w:name="_Ref532362207"/>
      <w:r>
        <w:rPr>
          <w:rFonts w:ascii="宋体" w:hAnsi="宋体" w:eastAsia="宋体" w:cs="宋体"/>
        </w:rPr>
        <w:t xml:space="preserve">8.3 </w:t>
      </w:r>
      <w:r>
        <w:rPr>
          <w:rFonts w:hint="eastAsia" w:ascii="宋体" w:hAnsi="宋体" w:eastAsia="宋体" w:cs="宋体"/>
        </w:rPr>
        <w:t>项目实施计划</w:t>
      </w:r>
      <w:bookmarkEnd w:id="394"/>
      <w:bookmarkEnd w:id="395"/>
    </w:p>
    <w:p>
      <w:pPr>
        <w:pStyle w:val="66"/>
        <w:spacing w:afterLines="0"/>
        <w:ind w:left="0" w:firstLine="480" w:firstLineChars="200"/>
        <w:rPr>
          <w:rFonts w:cs="宋体"/>
          <w:szCs w:val="24"/>
        </w:rPr>
      </w:pPr>
      <w:bookmarkStart w:id="400" w:name="_Ref18990904"/>
      <w:r>
        <w:rPr>
          <w:rFonts w:cs="宋体"/>
          <w:szCs w:val="24"/>
        </w:rPr>
        <w:t xml:space="preserve">8.3.1 </w:t>
      </w:r>
      <w:r>
        <w:rPr>
          <w:rFonts w:hint="eastAsia" w:cs="宋体"/>
          <w:szCs w:val="24"/>
        </w:rPr>
        <w:t>项目实施计划的内容</w:t>
      </w:r>
      <w:bookmarkEnd w:id="400"/>
    </w:p>
    <w:p>
      <w:pPr>
        <w:spacing w:line="360" w:lineRule="auto"/>
        <w:ind w:firstLine="480" w:firstLineChars="200"/>
        <w:rPr>
          <w:sz w:val="24"/>
          <w:szCs w:val="24"/>
        </w:rPr>
      </w:pPr>
      <w:r>
        <w:rPr>
          <w:rFonts w:hint="eastAsia"/>
          <w:sz w:val="24"/>
          <w:szCs w:val="24"/>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pPr>
        <w:pStyle w:val="66"/>
        <w:spacing w:afterLines="0"/>
        <w:ind w:left="0" w:firstLine="480" w:firstLineChars="200"/>
        <w:rPr>
          <w:rFonts w:cs="宋体"/>
          <w:szCs w:val="24"/>
        </w:rPr>
      </w:pPr>
      <w:bookmarkStart w:id="401" w:name="_Ref18990921"/>
      <w:r>
        <w:rPr>
          <w:rFonts w:cs="宋体"/>
          <w:szCs w:val="24"/>
        </w:rPr>
        <w:t xml:space="preserve">8.3.2 </w:t>
      </w:r>
      <w:r>
        <w:rPr>
          <w:rFonts w:hint="eastAsia" w:cs="宋体"/>
          <w:szCs w:val="24"/>
        </w:rPr>
        <w:t>项目实施计划的提交和修改</w:t>
      </w:r>
      <w:bookmarkEnd w:id="401"/>
    </w:p>
    <w:p>
      <w:pPr>
        <w:spacing w:line="360" w:lineRule="auto"/>
        <w:ind w:firstLine="480" w:firstLineChars="200"/>
        <w:rPr>
          <w:sz w:val="24"/>
          <w:szCs w:val="24"/>
        </w:rPr>
      </w:pPr>
      <w:r>
        <w:rPr>
          <w:rFonts w:hint="eastAsia"/>
          <w:sz w:val="24"/>
          <w:szCs w:val="24"/>
        </w:rPr>
        <w:t>除专用合同条件另有约定外，承包人应在合同订立后</w:t>
      </w:r>
      <w:r>
        <w:rPr>
          <w:sz w:val="24"/>
          <w:szCs w:val="24"/>
        </w:rPr>
        <w:t>14</w:t>
      </w:r>
      <w:r>
        <w:rPr>
          <w:rFonts w:hint="eastAsia"/>
          <w:sz w:val="24"/>
          <w:szCs w:val="24"/>
        </w:rPr>
        <w:t>天内，向工程师提交项目实施计划，工程师应在收到项目实施计划后</w:t>
      </w:r>
      <w:r>
        <w:rPr>
          <w:sz w:val="24"/>
          <w:szCs w:val="24"/>
        </w:rPr>
        <w:t>21</w:t>
      </w:r>
      <w:r>
        <w:rPr>
          <w:rFonts w:hint="eastAsia"/>
          <w:sz w:val="24"/>
          <w:szCs w:val="24"/>
        </w:rPr>
        <w:t>天内确认或提出修改意见。对工程师提出的合理意见和要求，承包人应自费修改完善。根据工程实施的实际情况需要修改项目实施计划的，承包人应向工程师提交修改后的项目实施计划。</w:t>
      </w:r>
    </w:p>
    <w:p>
      <w:pPr>
        <w:spacing w:line="360" w:lineRule="auto"/>
        <w:ind w:firstLine="480" w:firstLineChars="200"/>
        <w:rPr>
          <w:sz w:val="24"/>
          <w:szCs w:val="24"/>
        </w:rPr>
      </w:pPr>
      <w:r>
        <w:rPr>
          <w:rFonts w:hint="eastAsia"/>
          <w:sz w:val="24"/>
          <w:szCs w:val="24"/>
        </w:rPr>
        <w:t>项目进度计划的编制和修改按照第</w:t>
      </w:r>
      <w:r>
        <w:rPr>
          <w:sz w:val="24"/>
          <w:szCs w:val="24"/>
        </w:rPr>
        <w:t>8.4</w:t>
      </w:r>
      <w:r>
        <w:rPr>
          <w:rFonts w:hint="eastAsia"/>
          <w:sz w:val="24"/>
          <w:szCs w:val="24"/>
        </w:rPr>
        <w:t>款</w:t>
      </w:r>
      <w:r>
        <w:rPr>
          <w:sz w:val="24"/>
          <w:szCs w:val="24"/>
        </w:rPr>
        <w:t>[</w:t>
      </w:r>
      <w:r>
        <w:rPr>
          <w:rFonts w:hint="eastAsia"/>
          <w:sz w:val="24"/>
          <w:szCs w:val="24"/>
        </w:rPr>
        <w:t>项目进度计划</w:t>
      </w:r>
      <w:r>
        <w:rPr>
          <w:sz w:val="24"/>
          <w:szCs w:val="24"/>
        </w:rPr>
        <w:t>]</w:t>
      </w:r>
      <w:r>
        <w:rPr>
          <w:rFonts w:hint="eastAsia"/>
          <w:sz w:val="24"/>
          <w:szCs w:val="24"/>
        </w:rPr>
        <w:t>执行。</w:t>
      </w:r>
    </w:p>
    <w:p>
      <w:pPr>
        <w:pStyle w:val="65"/>
        <w:widowControl/>
        <w:spacing w:afterLines="0"/>
        <w:ind w:left="0" w:firstLine="482" w:firstLineChars="200"/>
        <w:rPr>
          <w:rFonts w:ascii="宋体" w:hAnsi="宋体" w:eastAsia="宋体" w:cs="宋体"/>
        </w:rPr>
      </w:pPr>
      <w:bookmarkStart w:id="402" w:name="_Toc54862251"/>
      <w:bookmarkStart w:id="403" w:name="_Ref11865507"/>
      <w:r>
        <w:rPr>
          <w:rFonts w:ascii="宋体" w:hAnsi="宋体" w:eastAsia="宋体" w:cs="宋体"/>
        </w:rPr>
        <w:t xml:space="preserve">8.4 </w:t>
      </w:r>
      <w:r>
        <w:rPr>
          <w:rFonts w:hint="eastAsia" w:ascii="宋体" w:hAnsi="宋体" w:eastAsia="宋体" w:cs="宋体"/>
        </w:rPr>
        <w:t>项目进度计划</w:t>
      </w:r>
      <w:bookmarkEnd w:id="396"/>
      <w:bookmarkEnd w:id="397"/>
      <w:bookmarkEnd w:id="398"/>
      <w:bookmarkEnd w:id="399"/>
      <w:bookmarkEnd w:id="402"/>
      <w:bookmarkEnd w:id="403"/>
    </w:p>
    <w:p>
      <w:pPr>
        <w:pStyle w:val="66"/>
        <w:spacing w:afterLines="0"/>
        <w:ind w:left="0" w:firstLine="480" w:firstLineChars="200"/>
        <w:rPr>
          <w:rFonts w:cs="宋体"/>
          <w:szCs w:val="24"/>
        </w:rPr>
      </w:pPr>
      <w:bookmarkStart w:id="404" w:name="_Ref4681217"/>
      <w:r>
        <w:rPr>
          <w:rFonts w:cs="宋体"/>
          <w:szCs w:val="24"/>
        </w:rPr>
        <w:t xml:space="preserve">8.4.1 </w:t>
      </w:r>
      <w:r>
        <w:rPr>
          <w:rFonts w:hint="eastAsia" w:cs="宋体"/>
          <w:szCs w:val="24"/>
        </w:rPr>
        <w:t>项目进度计划的提交和修改</w:t>
      </w:r>
      <w:bookmarkEnd w:id="404"/>
    </w:p>
    <w:p>
      <w:pPr>
        <w:spacing w:line="360" w:lineRule="auto"/>
        <w:ind w:firstLine="480" w:firstLineChars="200"/>
        <w:rPr>
          <w:sz w:val="24"/>
          <w:szCs w:val="24"/>
        </w:rPr>
      </w:pPr>
      <w:r>
        <w:rPr>
          <w:rFonts w:hint="eastAsia"/>
          <w:sz w:val="24"/>
          <w:szCs w:val="24"/>
        </w:rPr>
        <w:t>承包人应按照第</w:t>
      </w:r>
      <w:r>
        <w:rPr>
          <w:sz w:val="24"/>
          <w:szCs w:val="24"/>
        </w:rPr>
        <w:t>8.3</w:t>
      </w:r>
      <w:r>
        <w:rPr>
          <w:rFonts w:hint="eastAsia"/>
          <w:sz w:val="24"/>
          <w:szCs w:val="24"/>
        </w:rPr>
        <w:t>款</w:t>
      </w:r>
      <w:r>
        <w:rPr>
          <w:sz w:val="24"/>
          <w:szCs w:val="24"/>
        </w:rPr>
        <w:t>[</w:t>
      </w:r>
      <w:r>
        <w:rPr>
          <w:rFonts w:hint="eastAsia"/>
          <w:sz w:val="24"/>
          <w:szCs w:val="24"/>
        </w:rPr>
        <w:t>项目实施计划</w:t>
      </w:r>
      <w:r>
        <w:rPr>
          <w:sz w:val="24"/>
          <w:szCs w:val="24"/>
        </w:rPr>
        <w:t>]</w:t>
      </w:r>
      <w:r>
        <w:rPr>
          <w:rFonts w:hint="eastAsia"/>
          <w:sz w:val="24"/>
          <w:szCs w:val="24"/>
        </w:rPr>
        <w:t>约定编制并向工程师提交项目初步进度计划，经工程师批准后实施。除专用合同条件另有约定外，工程师应在</w:t>
      </w:r>
      <w:r>
        <w:rPr>
          <w:sz w:val="24"/>
          <w:szCs w:val="24"/>
        </w:rPr>
        <w:t>21</w:t>
      </w:r>
      <w:r>
        <w:rPr>
          <w:rFonts w:hint="eastAsia"/>
          <w:sz w:val="24"/>
          <w:szCs w:val="24"/>
        </w:rPr>
        <w:t>天内批复或提出修改意见，否则该项目初步进度计划视为已得到批准。对工程师提出的合理意见和要求，承包人应自费修改完善。</w:t>
      </w:r>
    </w:p>
    <w:p>
      <w:pPr>
        <w:spacing w:line="360" w:lineRule="auto"/>
        <w:ind w:firstLine="480" w:firstLineChars="200"/>
        <w:rPr>
          <w:sz w:val="24"/>
          <w:szCs w:val="24"/>
        </w:rPr>
      </w:pPr>
      <w:r>
        <w:rPr>
          <w:rFonts w:hint="eastAsia"/>
          <w:sz w:val="24"/>
          <w:szCs w:val="24"/>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pPr>
        <w:pStyle w:val="66"/>
        <w:spacing w:afterLines="0"/>
        <w:ind w:left="0" w:firstLine="480" w:firstLineChars="200"/>
        <w:rPr>
          <w:rFonts w:cs="宋体"/>
          <w:szCs w:val="24"/>
        </w:rPr>
      </w:pPr>
      <w:bookmarkStart w:id="405" w:name="_Ref4429079"/>
      <w:r>
        <w:rPr>
          <w:rFonts w:cs="宋体"/>
          <w:szCs w:val="24"/>
        </w:rPr>
        <w:t xml:space="preserve">8.4.2 </w:t>
      </w:r>
      <w:r>
        <w:rPr>
          <w:rFonts w:hint="eastAsia" w:cs="宋体"/>
          <w:szCs w:val="24"/>
        </w:rPr>
        <w:t>项目进度计划的内容</w:t>
      </w:r>
      <w:bookmarkEnd w:id="405"/>
    </w:p>
    <w:p>
      <w:pPr>
        <w:spacing w:line="360" w:lineRule="auto"/>
        <w:ind w:firstLine="480" w:firstLineChars="200"/>
        <w:rPr>
          <w:sz w:val="24"/>
          <w:szCs w:val="24"/>
        </w:rPr>
      </w:pPr>
      <w:r>
        <w:rPr>
          <w:rFonts w:hint="eastAsia"/>
          <w:sz w:val="24"/>
          <w:szCs w:val="24"/>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pPr>
        <w:pStyle w:val="66"/>
        <w:spacing w:afterLines="0"/>
        <w:ind w:left="0" w:firstLine="480" w:firstLineChars="200"/>
        <w:rPr>
          <w:rFonts w:cs="宋体"/>
          <w:szCs w:val="24"/>
        </w:rPr>
      </w:pPr>
      <w:bookmarkStart w:id="406" w:name="_Ref3848203"/>
      <w:r>
        <w:rPr>
          <w:rFonts w:cs="宋体"/>
          <w:szCs w:val="24"/>
        </w:rPr>
        <w:t xml:space="preserve">8.4.3 </w:t>
      </w:r>
      <w:r>
        <w:rPr>
          <w:rFonts w:hint="eastAsia" w:cs="宋体"/>
          <w:szCs w:val="24"/>
        </w:rPr>
        <w:t>项目进度计划的修订</w:t>
      </w:r>
      <w:bookmarkEnd w:id="406"/>
    </w:p>
    <w:p>
      <w:pPr>
        <w:spacing w:line="360" w:lineRule="auto"/>
        <w:ind w:firstLine="480" w:firstLineChars="200"/>
        <w:rPr>
          <w:sz w:val="24"/>
          <w:szCs w:val="24"/>
        </w:rPr>
      </w:pPr>
      <w:r>
        <w:rPr>
          <w:rFonts w:hint="eastAsia"/>
          <w:sz w:val="24"/>
          <w:szCs w:val="24"/>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w:t>
      </w:r>
      <w:r>
        <w:rPr>
          <w:sz w:val="24"/>
          <w:szCs w:val="24"/>
        </w:rPr>
        <w:t>14</w:t>
      </w:r>
      <w:r>
        <w:rPr>
          <w:rFonts w:hint="eastAsia"/>
          <w:sz w:val="24"/>
          <w:szCs w:val="24"/>
        </w:rPr>
        <w:t>天内答复，如未按时答复视作已接受修订项目进度计划通知中的内容。</w:t>
      </w:r>
    </w:p>
    <w:p>
      <w:pPr>
        <w:spacing w:line="360" w:lineRule="auto"/>
        <w:ind w:firstLine="480" w:firstLineChars="200"/>
        <w:rPr>
          <w:sz w:val="24"/>
          <w:szCs w:val="24"/>
        </w:rPr>
      </w:pPr>
      <w:r>
        <w:rPr>
          <w:rFonts w:hint="eastAsia"/>
          <w:sz w:val="24"/>
          <w:szCs w:val="24"/>
        </w:rPr>
        <w:t>除专用合同条件另有约定外，工程师应在收到修订的项目进度计划后</w:t>
      </w:r>
      <w:r>
        <w:rPr>
          <w:sz w:val="24"/>
          <w:szCs w:val="24"/>
        </w:rPr>
        <w:t>14</w:t>
      </w:r>
      <w:r>
        <w:rPr>
          <w:rFonts w:hint="eastAsia"/>
          <w:sz w:val="24"/>
          <w:szCs w:val="24"/>
        </w:rPr>
        <w:t>天内完成审批或提出修改意见，如未按时答复视作已批准承包人修订后的项目进度计划。工程师对承包人提交的项目进度计划的确认，不能减轻或免除承包人根据法律规定和合同约定应承担的任何责任或义务。</w:t>
      </w:r>
    </w:p>
    <w:p>
      <w:pPr>
        <w:spacing w:line="360" w:lineRule="auto"/>
        <w:ind w:firstLine="480" w:firstLineChars="200"/>
        <w:rPr>
          <w:sz w:val="24"/>
          <w:szCs w:val="24"/>
        </w:rPr>
      </w:pPr>
      <w:r>
        <w:rPr>
          <w:rFonts w:hint="eastAsia"/>
          <w:sz w:val="24"/>
          <w:szCs w:val="24"/>
        </w:rPr>
        <w:t>除合同当事人另有约定外，项目进度计划的修订并不能减轻或者免除双方按第</w:t>
      </w:r>
      <w:r>
        <w:rPr>
          <w:sz w:val="24"/>
          <w:szCs w:val="24"/>
        </w:rPr>
        <w:t>8.7</w:t>
      </w:r>
      <w:r>
        <w:rPr>
          <w:rFonts w:hint="eastAsia"/>
          <w:sz w:val="24"/>
          <w:szCs w:val="24"/>
        </w:rPr>
        <w:t>款</w:t>
      </w:r>
      <w:r>
        <w:rPr>
          <w:sz w:val="24"/>
          <w:szCs w:val="24"/>
        </w:rPr>
        <w:t>[</w:t>
      </w:r>
      <w:r>
        <w:rPr>
          <w:rFonts w:hint="eastAsia"/>
          <w:sz w:val="24"/>
          <w:szCs w:val="24"/>
        </w:rPr>
        <w:t>工期延误</w:t>
      </w:r>
      <w:r>
        <w:rPr>
          <w:sz w:val="24"/>
          <w:szCs w:val="24"/>
        </w:rPr>
        <w:t>]</w:t>
      </w:r>
      <w:r>
        <w:rPr>
          <w:rFonts w:hint="eastAsia"/>
          <w:sz w:val="24"/>
          <w:szCs w:val="24"/>
        </w:rPr>
        <w:t>、第</w:t>
      </w:r>
      <w:r>
        <w:rPr>
          <w:sz w:val="24"/>
          <w:szCs w:val="24"/>
        </w:rPr>
        <w:t>8.8</w:t>
      </w:r>
      <w:r>
        <w:rPr>
          <w:rFonts w:hint="eastAsia"/>
          <w:sz w:val="24"/>
          <w:szCs w:val="24"/>
        </w:rPr>
        <w:t>款</w:t>
      </w:r>
      <w:r>
        <w:rPr>
          <w:sz w:val="24"/>
          <w:szCs w:val="24"/>
        </w:rPr>
        <w:t>[</w:t>
      </w:r>
      <w:r>
        <w:rPr>
          <w:rFonts w:hint="eastAsia"/>
          <w:sz w:val="24"/>
          <w:szCs w:val="24"/>
        </w:rPr>
        <w:t>工期提前</w:t>
      </w:r>
      <w:r>
        <w:rPr>
          <w:sz w:val="24"/>
          <w:szCs w:val="24"/>
        </w:rPr>
        <w:t>]</w:t>
      </w:r>
      <w:r>
        <w:rPr>
          <w:rFonts w:hint="eastAsia"/>
          <w:sz w:val="24"/>
          <w:szCs w:val="24"/>
        </w:rPr>
        <w:t>、第</w:t>
      </w:r>
      <w:r>
        <w:rPr>
          <w:sz w:val="24"/>
          <w:szCs w:val="24"/>
        </w:rPr>
        <w:t>8.9</w:t>
      </w:r>
      <w:r>
        <w:rPr>
          <w:rFonts w:hint="eastAsia"/>
          <w:sz w:val="24"/>
          <w:szCs w:val="24"/>
        </w:rPr>
        <w:t>款</w:t>
      </w:r>
      <w:r>
        <w:rPr>
          <w:sz w:val="24"/>
          <w:szCs w:val="24"/>
        </w:rPr>
        <w:t>[</w:t>
      </w:r>
      <w:r>
        <w:rPr>
          <w:rFonts w:hint="eastAsia"/>
          <w:sz w:val="24"/>
          <w:szCs w:val="24"/>
        </w:rPr>
        <w:t>暂停工作</w:t>
      </w:r>
      <w:r>
        <w:rPr>
          <w:sz w:val="24"/>
          <w:szCs w:val="24"/>
        </w:rPr>
        <w:t>]</w:t>
      </w:r>
      <w:r>
        <w:rPr>
          <w:rFonts w:hint="eastAsia"/>
          <w:sz w:val="24"/>
          <w:szCs w:val="24"/>
        </w:rPr>
        <w:t>应承担的合同责任。</w:t>
      </w:r>
    </w:p>
    <w:p>
      <w:pPr>
        <w:pStyle w:val="65"/>
        <w:widowControl/>
        <w:spacing w:afterLines="0"/>
        <w:ind w:left="0" w:firstLine="482" w:firstLineChars="200"/>
        <w:rPr>
          <w:rFonts w:ascii="宋体" w:hAnsi="宋体" w:eastAsia="宋体" w:cs="宋体"/>
        </w:rPr>
      </w:pPr>
      <w:bookmarkStart w:id="407" w:name="_Ref532362276"/>
      <w:bookmarkStart w:id="408" w:name="_Ref532362278"/>
      <w:bookmarkStart w:id="409" w:name="_Toc54862252"/>
      <w:r>
        <w:rPr>
          <w:rFonts w:ascii="宋体" w:hAnsi="宋体" w:eastAsia="宋体" w:cs="宋体"/>
        </w:rPr>
        <w:t xml:space="preserve">8.5 </w:t>
      </w:r>
      <w:r>
        <w:rPr>
          <w:rFonts w:hint="eastAsia" w:ascii="宋体" w:hAnsi="宋体" w:eastAsia="宋体" w:cs="宋体"/>
        </w:rPr>
        <w:t>进度报告</w:t>
      </w:r>
      <w:bookmarkEnd w:id="407"/>
      <w:bookmarkEnd w:id="408"/>
      <w:bookmarkEnd w:id="409"/>
    </w:p>
    <w:p>
      <w:pPr>
        <w:spacing w:line="360" w:lineRule="auto"/>
        <w:ind w:firstLine="480" w:firstLineChars="200"/>
        <w:rPr>
          <w:sz w:val="24"/>
          <w:szCs w:val="24"/>
        </w:rPr>
      </w:pPr>
      <w:r>
        <w:rPr>
          <w:rFonts w:hint="eastAsia"/>
          <w:sz w:val="24"/>
          <w:szCs w:val="24"/>
        </w:rPr>
        <w:t>项目实施过程中，承包人应进行实际进度记录，并根据工程师的要求编制月进度报告，并提交给工程师。进度报告应包含以下主要内容：</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工程设计、采购、施工等各个工作内容的进展报告；</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工程施工方法的一般说明；</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当月工程实施介入的项目人员、设备和材料的预估明细报告；</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当月实际进度与进度计划对比分析，以及提出未来可能引起工期延误的情形，同时提出应对措施；需要修订项目进度计划的，应对项目进度计划的修订部分进行说明；</w:t>
      </w:r>
      <w:r>
        <w:rPr>
          <w:sz w:val="24"/>
          <w:szCs w:val="24"/>
        </w:rPr>
        <w:t xml:space="preserve"> </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承包人对于解决工期延误所提出的建议；</w:t>
      </w:r>
    </w:p>
    <w:p>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其他与工程有关的重大事项。</w:t>
      </w:r>
    </w:p>
    <w:p>
      <w:pPr>
        <w:spacing w:line="360" w:lineRule="auto"/>
        <w:ind w:firstLine="480" w:firstLineChars="200"/>
        <w:rPr>
          <w:sz w:val="24"/>
          <w:szCs w:val="24"/>
        </w:rPr>
      </w:pPr>
      <w:r>
        <w:rPr>
          <w:rFonts w:hint="eastAsia"/>
          <w:sz w:val="24"/>
          <w:szCs w:val="24"/>
        </w:rPr>
        <w:t>进度报告的具体要求等，在专用合同条件约定。</w:t>
      </w:r>
    </w:p>
    <w:p>
      <w:pPr>
        <w:pStyle w:val="65"/>
        <w:widowControl/>
        <w:spacing w:afterLines="0"/>
        <w:ind w:left="0" w:firstLine="482" w:firstLineChars="200"/>
        <w:rPr>
          <w:rFonts w:ascii="宋体" w:hAnsi="宋体" w:eastAsia="宋体" w:cs="宋体"/>
        </w:rPr>
      </w:pPr>
      <w:bookmarkStart w:id="410" w:name="_Toc54862253"/>
      <w:r>
        <w:rPr>
          <w:rFonts w:ascii="宋体" w:hAnsi="宋体" w:eastAsia="宋体" w:cs="宋体"/>
        </w:rPr>
        <w:t xml:space="preserve">8.6 </w:t>
      </w:r>
      <w:r>
        <w:rPr>
          <w:rFonts w:hint="eastAsia" w:ascii="宋体" w:hAnsi="宋体" w:eastAsia="宋体" w:cs="宋体"/>
        </w:rPr>
        <w:t>提前预警</w:t>
      </w:r>
      <w:bookmarkEnd w:id="410"/>
    </w:p>
    <w:p>
      <w:pPr>
        <w:spacing w:line="360" w:lineRule="auto"/>
        <w:ind w:firstLine="480" w:firstLineChars="200"/>
        <w:rPr>
          <w:sz w:val="24"/>
          <w:szCs w:val="24"/>
        </w:rPr>
      </w:pPr>
      <w:r>
        <w:rPr>
          <w:rFonts w:hint="eastAsia"/>
          <w:sz w:val="24"/>
          <w:szCs w:val="24"/>
        </w:rPr>
        <w:t>任何一方应当在下列情形发生时尽快书面通知另一方：</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该情形可能对合同的履行或实现合同目的产生不利影响；</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该情形可能对工程完成后的使用产生不利影响；</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该情形可能导致合同价款增加；</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该情形可能导致整个工程或单位</w:t>
      </w:r>
      <w:r>
        <w:rPr>
          <w:sz w:val="24"/>
          <w:szCs w:val="24"/>
        </w:rPr>
        <w:t>/</w:t>
      </w:r>
      <w:r>
        <w:rPr>
          <w:rFonts w:hint="eastAsia"/>
          <w:sz w:val="24"/>
          <w:szCs w:val="24"/>
        </w:rPr>
        <w:t>区段工程的工期延长。</w:t>
      </w:r>
    </w:p>
    <w:p>
      <w:pPr>
        <w:spacing w:line="360" w:lineRule="auto"/>
        <w:ind w:firstLine="480" w:firstLineChars="200"/>
        <w:rPr>
          <w:sz w:val="24"/>
          <w:szCs w:val="24"/>
        </w:rPr>
      </w:pPr>
      <w:r>
        <w:rPr>
          <w:rFonts w:hint="eastAsia"/>
          <w:sz w:val="24"/>
          <w:szCs w:val="24"/>
        </w:rPr>
        <w:t>发包人有权要求承包人根据第</w:t>
      </w:r>
      <w:r>
        <w:rPr>
          <w:sz w:val="24"/>
          <w:szCs w:val="24"/>
        </w:rPr>
        <w:t>13.2</w:t>
      </w:r>
      <w:r>
        <w:rPr>
          <w:rFonts w:hint="eastAsia"/>
          <w:sz w:val="24"/>
          <w:szCs w:val="24"/>
        </w:rPr>
        <w:t>款</w:t>
      </w:r>
      <w:r>
        <w:rPr>
          <w:sz w:val="24"/>
          <w:szCs w:val="24"/>
        </w:rPr>
        <w:t>[</w:t>
      </w:r>
      <w:r>
        <w:rPr>
          <w:rFonts w:hint="eastAsia"/>
          <w:sz w:val="24"/>
          <w:szCs w:val="24"/>
        </w:rPr>
        <w:t>承包人的合理化建议</w:t>
      </w:r>
      <w:r>
        <w:rPr>
          <w:sz w:val="24"/>
          <w:szCs w:val="24"/>
        </w:rPr>
        <w:t>]</w:t>
      </w:r>
      <w:r>
        <w:rPr>
          <w:rFonts w:hint="eastAsia"/>
          <w:sz w:val="24"/>
          <w:szCs w:val="24"/>
        </w:rPr>
        <w:t>的约定提交变更建议，采取措施尽量避免或最小化上述情形的发生或影响。</w:t>
      </w:r>
    </w:p>
    <w:p>
      <w:pPr>
        <w:pStyle w:val="65"/>
        <w:widowControl/>
        <w:spacing w:afterLines="0"/>
        <w:ind w:left="0" w:firstLine="482" w:firstLineChars="200"/>
        <w:rPr>
          <w:rFonts w:ascii="宋体" w:hAnsi="宋体" w:eastAsia="宋体" w:cs="宋体"/>
          <w:b w:val="0"/>
          <w:bCs/>
        </w:rPr>
      </w:pPr>
      <w:bookmarkStart w:id="411" w:name="_Toc4784159"/>
      <w:bookmarkEnd w:id="411"/>
      <w:bookmarkStart w:id="412" w:name="_Toc4784163"/>
      <w:bookmarkEnd w:id="412"/>
      <w:bookmarkStart w:id="413" w:name="_Toc4784171"/>
      <w:bookmarkEnd w:id="413"/>
      <w:bookmarkStart w:id="414" w:name="_Toc4784168"/>
      <w:bookmarkEnd w:id="414"/>
      <w:bookmarkStart w:id="415" w:name="_Toc4784155"/>
      <w:bookmarkEnd w:id="415"/>
      <w:bookmarkStart w:id="416" w:name="_Toc4784160"/>
      <w:bookmarkEnd w:id="416"/>
      <w:bookmarkStart w:id="417" w:name="_Toc4784165"/>
      <w:bookmarkEnd w:id="417"/>
      <w:bookmarkStart w:id="418" w:name="_Toc4784156"/>
      <w:bookmarkEnd w:id="418"/>
      <w:bookmarkStart w:id="419" w:name="_Toc4784169"/>
      <w:bookmarkEnd w:id="419"/>
      <w:bookmarkStart w:id="420" w:name="_Toc4784161"/>
      <w:bookmarkEnd w:id="420"/>
      <w:bookmarkStart w:id="421" w:name="_Toc4784173"/>
      <w:bookmarkEnd w:id="421"/>
      <w:bookmarkStart w:id="422" w:name="_Toc4784174"/>
      <w:bookmarkEnd w:id="422"/>
      <w:bookmarkStart w:id="423" w:name="_Toc4784154"/>
      <w:bookmarkEnd w:id="423"/>
      <w:bookmarkStart w:id="424" w:name="_Toc4784172"/>
      <w:bookmarkEnd w:id="424"/>
      <w:bookmarkStart w:id="425" w:name="_Toc4784170"/>
      <w:bookmarkEnd w:id="425"/>
      <w:bookmarkStart w:id="426" w:name="_Toc4784166"/>
      <w:bookmarkEnd w:id="426"/>
      <w:bookmarkStart w:id="427" w:name="_Toc4784162"/>
      <w:bookmarkEnd w:id="427"/>
      <w:bookmarkStart w:id="428" w:name="_Toc4784164"/>
      <w:bookmarkEnd w:id="428"/>
      <w:bookmarkStart w:id="429" w:name="_Toc4784175"/>
      <w:bookmarkEnd w:id="429"/>
      <w:bookmarkStart w:id="430" w:name="_Toc4784158"/>
      <w:bookmarkEnd w:id="430"/>
      <w:bookmarkStart w:id="431" w:name="_Toc4784167"/>
      <w:bookmarkEnd w:id="431"/>
      <w:bookmarkStart w:id="432" w:name="_Toc4784157"/>
      <w:bookmarkEnd w:id="432"/>
      <w:bookmarkStart w:id="433" w:name="_Toc54862254"/>
      <w:bookmarkStart w:id="434" w:name="_Ref4770106"/>
      <w:bookmarkStart w:id="435" w:name="_Ref532362359"/>
      <w:bookmarkStart w:id="436" w:name="_Ref532362356"/>
      <w:r>
        <w:rPr>
          <w:rFonts w:ascii="宋体" w:hAnsi="宋体" w:eastAsia="宋体" w:cs="宋体"/>
        </w:rPr>
        <w:t xml:space="preserve">8.7 </w:t>
      </w:r>
      <w:r>
        <w:rPr>
          <w:rFonts w:hint="eastAsia" w:ascii="宋体" w:hAnsi="宋体" w:eastAsia="宋体" w:cs="宋体"/>
        </w:rPr>
        <w:t>工期延误</w:t>
      </w:r>
      <w:bookmarkEnd w:id="433"/>
      <w:bookmarkEnd w:id="434"/>
    </w:p>
    <w:p>
      <w:pPr>
        <w:pStyle w:val="66"/>
        <w:spacing w:afterLines="0"/>
        <w:ind w:left="0" w:firstLine="480" w:firstLineChars="200"/>
        <w:rPr>
          <w:rFonts w:cs="宋体"/>
          <w:szCs w:val="24"/>
        </w:rPr>
      </w:pPr>
      <w:bookmarkStart w:id="437" w:name="_Ref4796050"/>
      <w:r>
        <w:rPr>
          <w:rFonts w:cs="宋体"/>
          <w:szCs w:val="24"/>
        </w:rPr>
        <w:t xml:space="preserve">8.7.1 </w:t>
      </w:r>
      <w:r>
        <w:rPr>
          <w:rFonts w:hint="eastAsia" w:cs="宋体"/>
          <w:szCs w:val="24"/>
        </w:rPr>
        <w:t>因发包人原因导致工期延误</w:t>
      </w:r>
      <w:bookmarkEnd w:id="437"/>
    </w:p>
    <w:p>
      <w:pPr>
        <w:spacing w:line="360" w:lineRule="auto"/>
        <w:ind w:firstLine="480" w:firstLineChars="200"/>
        <w:rPr>
          <w:sz w:val="24"/>
          <w:szCs w:val="24"/>
        </w:rPr>
      </w:pPr>
      <w:r>
        <w:rPr>
          <w:rFonts w:hint="eastAsia"/>
          <w:sz w:val="24"/>
          <w:szCs w:val="24"/>
        </w:rPr>
        <w:t>在合同履行过程中，因下列情况导致工期延误和（或）费用增加的，由发包人承担由此延误的工期和（或）增加的费用，且发包人应支付承包人合理的利润：</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根据第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的约定构成一项变更的；</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发包人违反本合同约定，导致工期延误和（或）费用增加的；</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发包人、发包人代表、工程师或发包人聘请的任意第三方造成或引起的任何延误、妨碍和阻碍；</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发包人未能依据第</w:t>
      </w:r>
      <w:r>
        <w:rPr>
          <w:sz w:val="24"/>
          <w:szCs w:val="24"/>
        </w:rPr>
        <w:t>6.2.1</w:t>
      </w:r>
      <w:r>
        <w:rPr>
          <w:rFonts w:hint="eastAsia"/>
          <w:sz w:val="24"/>
          <w:szCs w:val="24"/>
        </w:rPr>
        <w:t>项</w:t>
      </w:r>
      <w:r>
        <w:rPr>
          <w:sz w:val="24"/>
          <w:szCs w:val="24"/>
        </w:rPr>
        <w:t>[</w:t>
      </w:r>
      <w:r>
        <w:rPr>
          <w:rFonts w:hint="eastAsia"/>
          <w:sz w:val="24"/>
          <w:szCs w:val="24"/>
        </w:rPr>
        <w:t>发包人提供的材料和工程设备</w:t>
      </w:r>
      <w:r>
        <w:rPr>
          <w:sz w:val="24"/>
          <w:szCs w:val="24"/>
        </w:rPr>
        <w:t>]</w:t>
      </w:r>
      <w:r>
        <w:rPr>
          <w:rFonts w:hint="eastAsia"/>
          <w:sz w:val="24"/>
          <w:szCs w:val="24"/>
        </w:rPr>
        <w:t>的约定提供材料和工程设备导致工期延误和（或）费用增加的；</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因发包人原因导致的暂停施工；</w:t>
      </w:r>
    </w:p>
    <w:p>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发包人未及时履行相关合同义务，造成工期延误的其他原因。</w:t>
      </w:r>
    </w:p>
    <w:p>
      <w:pPr>
        <w:pStyle w:val="66"/>
        <w:spacing w:afterLines="0"/>
        <w:ind w:left="0" w:firstLine="480" w:firstLineChars="200"/>
        <w:rPr>
          <w:rFonts w:cs="宋体"/>
          <w:szCs w:val="24"/>
        </w:rPr>
      </w:pPr>
      <w:bookmarkStart w:id="438" w:name="_Ref4770209"/>
      <w:r>
        <w:rPr>
          <w:rFonts w:cs="宋体"/>
          <w:szCs w:val="24"/>
        </w:rPr>
        <w:t xml:space="preserve">8.7.2 </w:t>
      </w:r>
      <w:r>
        <w:rPr>
          <w:rFonts w:hint="eastAsia" w:cs="宋体"/>
          <w:szCs w:val="24"/>
        </w:rPr>
        <w:t>因承包人原因导致工期延误</w:t>
      </w:r>
      <w:bookmarkEnd w:id="438"/>
    </w:p>
    <w:p>
      <w:pPr>
        <w:spacing w:line="360" w:lineRule="auto"/>
        <w:ind w:firstLine="480" w:firstLineChars="200"/>
        <w:rPr>
          <w:sz w:val="24"/>
          <w:szCs w:val="24"/>
        </w:rPr>
      </w:pPr>
      <w:r>
        <w:rPr>
          <w:rFonts w:hint="eastAsia"/>
          <w:sz w:val="24"/>
          <w:szCs w:val="24"/>
        </w:rPr>
        <w:t>由于承包人的原因，未能按项目进度计划完成工作，承包人应采取措施加快进度，并承担加快进度所增加的费用。</w:t>
      </w:r>
    </w:p>
    <w:p>
      <w:pPr>
        <w:spacing w:line="360" w:lineRule="auto"/>
        <w:ind w:firstLine="480" w:firstLineChars="200"/>
        <w:rPr>
          <w:sz w:val="24"/>
          <w:szCs w:val="24"/>
        </w:rPr>
      </w:pPr>
      <w:r>
        <w:rPr>
          <w:rFonts w:hint="eastAsia"/>
          <w:sz w:val="24"/>
          <w:szCs w:val="24"/>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pPr>
        <w:pStyle w:val="66"/>
        <w:spacing w:afterLines="0"/>
        <w:ind w:left="0" w:firstLine="480" w:firstLineChars="200"/>
        <w:rPr>
          <w:rFonts w:cs="宋体"/>
          <w:szCs w:val="24"/>
        </w:rPr>
      </w:pPr>
      <w:bookmarkStart w:id="439" w:name="_Ref4770872"/>
      <w:r>
        <w:rPr>
          <w:rFonts w:cs="宋体"/>
          <w:szCs w:val="24"/>
        </w:rPr>
        <w:t xml:space="preserve">8.7.3 </w:t>
      </w:r>
      <w:r>
        <w:rPr>
          <w:rFonts w:hint="eastAsia" w:cs="宋体"/>
          <w:szCs w:val="24"/>
        </w:rPr>
        <w:t>行政审批迟延</w:t>
      </w:r>
      <w:bookmarkEnd w:id="439"/>
      <w:r>
        <w:rPr>
          <w:rFonts w:cs="宋体"/>
          <w:szCs w:val="24"/>
        </w:rPr>
        <w:t xml:space="preserve"> </w:t>
      </w:r>
    </w:p>
    <w:p>
      <w:pPr>
        <w:spacing w:line="360" w:lineRule="auto"/>
        <w:ind w:firstLine="480" w:firstLineChars="200"/>
        <w:rPr>
          <w:sz w:val="24"/>
          <w:szCs w:val="24"/>
        </w:rPr>
      </w:pPr>
      <w:r>
        <w:rPr>
          <w:rFonts w:hint="eastAsia"/>
          <w:sz w:val="24"/>
          <w:szCs w:val="24"/>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pPr>
        <w:pStyle w:val="66"/>
        <w:spacing w:afterLines="0"/>
        <w:ind w:left="0" w:firstLine="480" w:firstLineChars="200"/>
        <w:rPr>
          <w:rFonts w:cs="宋体"/>
          <w:szCs w:val="24"/>
        </w:rPr>
      </w:pPr>
      <w:bookmarkStart w:id="440" w:name="_Ref4770933"/>
      <w:r>
        <w:rPr>
          <w:rFonts w:cs="宋体"/>
          <w:szCs w:val="24"/>
        </w:rPr>
        <w:t xml:space="preserve">8.7.4 </w:t>
      </w:r>
      <w:r>
        <w:rPr>
          <w:rFonts w:hint="eastAsia" w:cs="宋体"/>
          <w:szCs w:val="24"/>
        </w:rPr>
        <w:t>异常恶劣的气候条件</w:t>
      </w:r>
      <w:bookmarkEnd w:id="440"/>
    </w:p>
    <w:p>
      <w:pPr>
        <w:spacing w:line="360" w:lineRule="auto"/>
        <w:ind w:firstLine="480" w:firstLineChars="200"/>
        <w:rPr>
          <w:sz w:val="24"/>
          <w:szCs w:val="24"/>
        </w:rPr>
      </w:pPr>
      <w:r>
        <w:rPr>
          <w:rFonts w:hint="eastAsia"/>
          <w:sz w:val="24"/>
          <w:szCs w:val="24"/>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pPr>
        <w:spacing w:line="360" w:lineRule="auto"/>
        <w:ind w:firstLine="480" w:firstLineChars="200"/>
        <w:rPr>
          <w:sz w:val="24"/>
          <w:szCs w:val="24"/>
        </w:rPr>
      </w:pPr>
      <w:r>
        <w:rPr>
          <w:rFonts w:hint="eastAsia"/>
          <w:sz w:val="24"/>
          <w:szCs w:val="24"/>
        </w:rPr>
        <w:t>承包人应采取克服异常恶劣的气候条件的合理措施继续施工，并及时通知工程师。工程师应当及时发出指示，指示构成变更的，按第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约定办理。承包人因采取合理措施而延误的工期由发包人承担。</w:t>
      </w:r>
    </w:p>
    <w:p>
      <w:pPr>
        <w:pStyle w:val="65"/>
        <w:widowControl/>
        <w:spacing w:afterLines="0"/>
        <w:ind w:left="0" w:firstLine="482" w:firstLineChars="200"/>
        <w:rPr>
          <w:rFonts w:ascii="宋体" w:hAnsi="宋体" w:eastAsia="宋体" w:cs="宋体"/>
        </w:rPr>
      </w:pPr>
      <w:bookmarkStart w:id="441" w:name="_Toc54862255"/>
      <w:bookmarkStart w:id="442" w:name="_Ref4781828"/>
      <w:r>
        <w:rPr>
          <w:rFonts w:ascii="宋体" w:hAnsi="宋体" w:eastAsia="宋体" w:cs="宋体"/>
        </w:rPr>
        <w:t xml:space="preserve">8.8 </w:t>
      </w:r>
      <w:r>
        <w:rPr>
          <w:rFonts w:hint="eastAsia" w:ascii="宋体" w:hAnsi="宋体" w:eastAsia="宋体" w:cs="宋体"/>
        </w:rPr>
        <w:t>工期提前</w:t>
      </w:r>
      <w:bookmarkEnd w:id="435"/>
      <w:bookmarkEnd w:id="436"/>
      <w:bookmarkEnd w:id="441"/>
      <w:bookmarkEnd w:id="442"/>
    </w:p>
    <w:p>
      <w:pPr>
        <w:pStyle w:val="66"/>
        <w:spacing w:afterLines="0"/>
        <w:ind w:left="0" w:firstLine="480" w:firstLineChars="200"/>
        <w:rPr>
          <w:rFonts w:cs="宋体"/>
          <w:szCs w:val="24"/>
        </w:rPr>
      </w:pPr>
      <w:r>
        <w:rPr>
          <w:rFonts w:cs="宋体"/>
          <w:szCs w:val="24"/>
        </w:rPr>
        <w:t xml:space="preserve">8.8.1 </w:t>
      </w:r>
      <w:r>
        <w:rPr>
          <w:rFonts w:hint="eastAsia" w:cs="宋体"/>
          <w:szCs w:val="24"/>
        </w:rPr>
        <w:t>发包人指示承包人提前竣工且被承包人接受的，应与承包人共同协商采取加快工程进度的措施和修订项目进度计划。发包人应承担承包人由此增加的费用，增加的费用按第</w:t>
      </w:r>
      <w:r>
        <w:rPr>
          <w:rFonts w:cs="宋体"/>
          <w:szCs w:val="24"/>
        </w:rPr>
        <w:t>13</w:t>
      </w:r>
      <w:r>
        <w:rPr>
          <w:rFonts w:hint="eastAsia" w:cs="宋体"/>
          <w:szCs w:val="24"/>
        </w:rPr>
        <w:t>条</w:t>
      </w:r>
      <w:r>
        <w:rPr>
          <w:rFonts w:cs="宋体"/>
          <w:szCs w:val="24"/>
        </w:rPr>
        <w:t>[</w:t>
      </w:r>
      <w:r>
        <w:rPr>
          <w:rFonts w:hint="eastAsia" w:cs="宋体"/>
          <w:szCs w:val="24"/>
        </w:rPr>
        <w:t>变更与调整</w:t>
      </w:r>
      <w:r>
        <w:rPr>
          <w:rFonts w:cs="宋体"/>
          <w:szCs w:val="24"/>
        </w:rPr>
        <w:t>]</w:t>
      </w:r>
      <w:r>
        <w:rPr>
          <w:rFonts w:hint="eastAsia" w:cs="宋体"/>
          <w:szCs w:val="24"/>
        </w:rPr>
        <w:t>的约定执行；发包人不得以任何理由要求承包人超过合理限度压缩工期。承包人有权不接受提前竣工的指示，工期按照合同约定执行。</w:t>
      </w:r>
    </w:p>
    <w:p>
      <w:pPr>
        <w:pStyle w:val="66"/>
        <w:spacing w:afterLines="0"/>
        <w:ind w:left="0" w:firstLine="480" w:firstLineChars="200"/>
        <w:rPr>
          <w:rFonts w:cs="宋体"/>
          <w:szCs w:val="24"/>
        </w:rPr>
      </w:pPr>
      <w:bookmarkStart w:id="443" w:name="_Ref4429347"/>
      <w:r>
        <w:rPr>
          <w:rFonts w:cs="宋体"/>
          <w:szCs w:val="24"/>
        </w:rPr>
        <w:t xml:space="preserve">8.8.2 </w:t>
      </w:r>
      <w:r>
        <w:rPr>
          <w:rFonts w:hint="eastAsia" w:cs="宋体"/>
          <w:szCs w:val="24"/>
        </w:rPr>
        <w:t>承包人提出提前竣工的建议且发包人接受的，应与发包人共同协商采取加快工程进度的措施和修订项目进度计划。发包人应承担承包人由此增加的费用，增加的费用按第</w:t>
      </w:r>
      <w:r>
        <w:rPr>
          <w:rFonts w:cs="宋体"/>
          <w:szCs w:val="24"/>
        </w:rPr>
        <w:t>13</w:t>
      </w:r>
      <w:r>
        <w:rPr>
          <w:rFonts w:hint="eastAsia" w:cs="宋体"/>
          <w:szCs w:val="24"/>
        </w:rPr>
        <w:t>条</w:t>
      </w:r>
      <w:r>
        <w:rPr>
          <w:rFonts w:cs="宋体"/>
          <w:szCs w:val="24"/>
        </w:rPr>
        <w:t>[</w:t>
      </w:r>
      <w:r>
        <w:rPr>
          <w:rFonts w:hint="eastAsia" w:cs="宋体"/>
          <w:szCs w:val="24"/>
        </w:rPr>
        <w:t>变更与调整</w:t>
      </w:r>
      <w:r>
        <w:rPr>
          <w:rFonts w:cs="宋体"/>
          <w:szCs w:val="24"/>
        </w:rPr>
        <w:t>]</w:t>
      </w:r>
      <w:r>
        <w:rPr>
          <w:rFonts w:hint="eastAsia" w:cs="宋体"/>
          <w:szCs w:val="24"/>
        </w:rPr>
        <w:t>的约定执行，并向承包人支付专用合同条件约定的相应奖励金。</w:t>
      </w:r>
      <w:bookmarkEnd w:id="443"/>
    </w:p>
    <w:p>
      <w:pPr>
        <w:pStyle w:val="65"/>
        <w:widowControl/>
        <w:spacing w:afterLines="0"/>
        <w:ind w:left="0" w:firstLine="482" w:firstLineChars="200"/>
        <w:rPr>
          <w:rFonts w:ascii="宋体" w:hAnsi="宋体" w:eastAsia="宋体" w:cs="宋体"/>
        </w:rPr>
      </w:pPr>
      <w:bookmarkStart w:id="444" w:name="_Ref4615040"/>
      <w:bookmarkStart w:id="445" w:name="_Ref4615031"/>
      <w:bookmarkStart w:id="446" w:name="_Toc54862256"/>
      <w:r>
        <w:rPr>
          <w:rFonts w:ascii="宋体" w:hAnsi="宋体" w:eastAsia="宋体" w:cs="宋体"/>
        </w:rPr>
        <w:t xml:space="preserve">8.9 </w:t>
      </w:r>
      <w:r>
        <w:rPr>
          <w:rFonts w:hint="eastAsia" w:ascii="宋体" w:hAnsi="宋体" w:eastAsia="宋体" w:cs="宋体"/>
        </w:rPr>
        <w:t>暂停工作</w:t>
      </w:r>
      <w:bookmarkEnd w:id="444"/>
      <w:bookmarkEnd w:id="445"/>
      <w:bookmarkEnd w:id="446"/>
      <w:r>
        <w:rPr>
          <w:rFonts w:ascii="宋体" w:hAnsi="宋体" w:eastAsia="宋体" w:cs="宋体"/>
        </w:rPr>
        <w:t xml:space="preserve"> </w:t>
      </w:r>
    </w:p>
    <w:p>
      <w:pPr>
        <w:pStyle w:val="66"/>
        <w:spacing w:afterLines="0"/>
        <w:ind w:left="0" w:firstLine="480" w:firstLineChars="200"/>
        <w:rPr>
          <w:rFonts w:cs="宋体"/>
          <w:szCs w:val="24"/>
        </w:rPr>
      </w:pPr>
      <w:bookmarkStart w:id="447" w:name="_Ref4709151"/>
      <w:r>
        <w:rPr>
          <w:rFonts w:cs="宋体"/>
          <w:szCs w:val="24"/>
        </w:rPr>
        <w:t xml:space="preserve">8.9.1 </w:t>
      </w:r>
      <w:r>
        <w:rPr>
          <w:rFonts w:hint="eastAsia" w:cs="宋体"/>
          <w:szCs w:val="24"/>
        </w:rPr>
        <w:t>由发包人暂停工作</w:t>
      </w:r>
      <w:bookmarkEnd w:id="447"/>
    </w:p>
    <w:p>
      <w:pPr>
        <w:spacing w:line="360" w:lineRule="auto"/>
        <w:ind w:firstLine="480" w:firstLineChars="200"/>
        <w:rPr>
          <w:sz w:val="24"/>
          <w:szCs w:val="24"/>
        </w:rPr>
      </w:pPr>
      <w:r>
        <w:rPr>
          <w:rFonts w:hint="eastAsia"/>
          <w:sz w:val="24"/>
          <w:szCs w:val="24"/>
        </w:rPr>
        <w:t>发包人认为必要时，可通过工程师向承包人发出经发包人签认的暂停工作通知，应列明暂停原因、暂停的日期及预计暂停的期限。承包人应按该通知暂停工作。</w:t>
      </w:r>
      <w:bookmarkStart w:id="448" w:name="_Ref4709233"/>
    </w:p>
    <w:p>
      <w:pPr>
        <w:spacing w:line="360" w:lineRule="auto"/>
        <w:ind w:firstLine="480" w:firstLineChars="200"/>
        <w:rPr>
          <w:sz w:val="24"/>
          <w:szCs w:val="24"/>
        </w:rPr>
      </w:pPr>
      <w:r>
        <w:rPr>
          <w:rFonts w:hint="eastAsia"/>
          <w:sz w:val="24"/>
          <w:szCs w:val="24"/>
        </w:rPr>
        <w:t>承包人因执行暂停工作通知而造成费用的增加和（或）工期延误由发包人承担，并有权要求发包人支付合理利润，但</w:t>
      </w:r>
      <w:bookmarkEnd w:id="448"/>
      <w:r>
        <w:rPr>
          <w:rFonts w:hint="eastAsia"/>
          <w:sz w:val="24"/>
          <w:szCs w:val="24"/>
        </w:rPr>
        <w:t>由于承包人原因造成发包人暂停工作的除外。</w:t>
      </w:r>
    </w:p>
    <w:p>
      <w:pPr>
        <w:pStyle w:val="66"/>
        <w:spacing w:afterLines="0"/>
        <w:ind w:left="0" w:firstLine="480" w:firstLineChars="200"/>
        <w:rPr>
          <w:rFonts w:cs="宋体"/>
          <w:szCs w:val="24"/>
        </w:rPr>
      </w:pPr>
      <w:bookmarkStart w:id="449" w:name="_Ref18972173"/>
      <w:r>
        <w:rPr>
          <w:rFonts w:cs="宋体"/>
          <w:szCs w:val="24"/>
        </w:rPr>
        <w:t xml:space="preserve">8.9.2 </w:t>
      </w:r>
      <w:r>
        <w:rPr>
          <w:rFonts w:hint="eastAsia" w:cs="宋体"/>
          <w:szCs w:val="24"/>
        </w:rPr>
        <w:t>由承包人暂停工作</w:t>
      </w:r>
      <w:bookmarkEnd w:id="449"/>
      <w:r>
        <w:rPr>
          <w:rFonts w:cs="宋体"/>
          <w:szCs w:val="24"/>
        </w:rPr>
        <w:t xml:space="preserve"> </w:t>
      </w:r>
    </w:p>
    <w:p>
      <w:pPr>
        <w:spacing w:line="360" w:lineRule="auto"/>
        <w:ind w:firstLine="480" w:firstLineChars="200"/>
        <w:rPr>
          <w:sz w:val="24"/>
          <w:szCs w:val="24"/>
        </w:rPr>
      </w:pPr>
      <w:r>
        <w:rPr>
          <w:rFonts w:hint="eastAsia"/>
          <w:sz w:val="24"/>
          <w:szCs w:val="24"/>
        </w:rPr>
        <w:t>因承包人原因所造成部分或全部工程的暂停，承包人应采取措施尽快复工并赶上进度，由此造成费用的增加或工期延误由承包人承担。因此造成逾期竣工的，承包人应按第</w:t>
      </w:r>
      <w:r>
        <w:rPr>
          <w:sz w:val="24"/>
          <w:szCs w:val="24"/>
        </w:rPr>
        <w:t>8.7.2</w:t>
      </w:r>
      <w:r>
        <w:rPr>
          <w:rFonts w:hint="eastAsia"/>
          <w:sz w:val="24"/>
          <w:szCs w:val="24"/>
        </w:rPr>
        <w:t>项</w:t>
      </w:r>
      <w:r>
        <w:rPr>
          <w:sz w:val="24"/>
          <w:szCs w:val="24"/>
        </w:rPr>
        <w:t>[</w:t>
      </w:r>
      <w:r>
        <w:rPr>
          <w:rFonts w:hint="eastAsia"/>
          <w:sz w:val="24"/>
          <w:szCs w:val="24"/>
        </w:rPr>
        <w:t>因承包人原因导致工期延误</w:t>
      </w:r>
      <w:r>
        <w:rPr>
          <w:sz w:val="24"/>
          <w:szCs w:val="24"/>
        </w:rPr>
        <w:t>]</w:t>
      </w:r>
      <w:r>
        <w:rPr>
          <w:rFonts w:hint="eastAsia"/>
          <w:sz w:val="24"/>
          <w:szCs w:val="24"/>
        </w:rPr>
        <w:t>承担逾期竣工违约责任。</w:t>
      </w:r>
    </w:p>
    <w:p>
      <w:pPr>
        <w:spacing w:line="360" w:lineRule="auto"/>
        <w:ind w:firstLine="480" w:firstLineChars="200"/>
        <w:rPr>
          <w:sz w:val="24"/>
          <w:szCs w:val="24"/>
        </w:rPr>
      </w:pPr>
      <w:r>
        <w:rPr>
          <w:rFonts w:hint="eastAsia"/>
          <w:sz w:val="24"/>
          <w:szCs w:val="24"/>
        </w:rPr>
        <w:t>合同履行过程中发生下列情形之一的，承包人可向发包人发出通知，要求发包人采取有效措施予以纠正。发包人收到承包人通知后的</w:t>
      </w:r>
      <w:r>
        <w:rPr>
          <w:sz w:val="24"/>
          <w:szCs w:val="24"/>
        </w:rPr>
        <w:t>28</w:t>
      </w:r>
      <w:r>
        <w:rPr>
          <w:rFonts w:hint="eastAsia"/>
          <w:sz w:val="24"/>
          <w:szCs w:val="24"/>
        </w:rPr>
        <w:t>天内仍不予以纠正，承包人有权暂停施工，并通知工程师。承包人有权要求发包人延长工期和（或）增加费用，并支付合理利润：</w:t>
      </w:r>
    </w:p>
    <w:p>
      <w:pPr>
        <w:spacing w:line="360" w:lineRule="auto"/>
        <w:ind w:firstLine="480" w:firstLineChars="200"/>
        <w:rPr>
          <w:sz w:val="24"/>
          <w:szCs w:val="24"/>
        </w:rPr>
      </w:pPr>
      <w:bookmarkStart w:id="450" w:name="_Ref4709224"/>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发包人拖延、拒绝批准付款申请和支付证书，或未能按合同约定支付价款，导致付款延误的；</w:t>
      </w:r>
      <w:bookmarkEnd w:id="450"/>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发包人未按约定履行合同其他义务导致承包人无法继续履行合同的，或者发包人明确表示暂停或实质上已暂停履行合同的。</w:t>
      </w:r>
    </w:p>
    <w:p>
      <w:pPr>
        <w:pStyle w:val="66"/>
        <w:spacing w:afterLines="0"/>
        <w:ind w:left="0" w:firstLine="480" w:firstLineChars="200"/>
        <w:rPr>
          <w:rFonts w:cs="宋体"/>
          <w:szCs w:val="24"/>
        </w:rPr>
      </w:pPr>
      <w:r>
        <w:rPr>
          <w:rFonts w:cs="宋体"/>
          <w:szCs w:val="24"/>
        </w:rPr>
        <w:t xml:space="preserve">8.9.3 </w:t>
      </w:r>
      <w:r>
        <w:rPr>
          <w:rFonts w:hint="eastAsia" w:cs="宋体"/>
          <w:szCs w:val="24"/>
        </w:rPr>
        <w:t>除上述原因以外的暂停工作，双方应遵守第</w:t>
      </w:r>
      <w:r>
        <w:rPr>
          <w:rFonts w:cs="宋体"/>
          <w:szCs w:val="24"/>
        </w:rPr>
        <w:t>17</w:t>
      </w:r>
      <w:r>
        <w:rPr>
          <w:rFonts w:hint="eastAsia" w:cs="宋体"/>
          <w:szCs w:val="24"/>
        </w:rPr>
        <w:t>条</w:t>
      </w:r>
      <w:r>
        <w:rPr>
          <w:rFonts w:cs="宋体"/>
          <w:szCs w:val="24"/>
        </w:rPr>
        <w:t>[</w:t>
      </w:r>
      <w:r>
        <w:rPr>
          <w:rFonts w:hint="eastAsia" w:cs="宋体"/>
          <w:szCs w:val="24"/>
        </w:rPr>
        <w:t>不可抗力</w:t>
      </w:r>
      <w:r>
        <w:rPr>
          <w:rFonts w:cs="宋体"/>
          <w:szCs w:val="24"/>
        </w:rPr>
        <w:t>]</w:t>
      </w:r>
      <w:r>
        <w:rPr>
          <w:rFonts w:hint="eastAsia" w:cs="宋体"/>
          <w:szCs w:val="24"/>
        </w:rPr>
        <w:t>的相关约定。</w:t>
      </w:r>
    </w:p>
    <w:p>
      <w:pPr>
        <w:pStyle w:val="66"/>
        <w:spacing w:afterLines="0"/>
        <w:ind w:left="0" w:firstLine="480" w:firstLineChars="200"/>
        <w:rPr>
          <w:rFonts w:cs="宋体"/>
          <w:szCs w:val="24"/>
        </w:rPr>
      </w:pPr>
      <w:bookmarkStart w:id="451" w:name="_Ref4709158"/>
      <w:r>
        <w:rPr>
          <w:rFonts w:cs="宋体"/>
          <w:szCs w:val="24"/>
        </w:rPr>
        <w:t xml:space="preserve">8.9.4 </w:t>
      </w:r>
      <w:r>
        <w:rPr>
          <w:rFonts w:hint="eastAsia" w:cs="宋体"/>
          <w:szCs w:val="24"/>
        </w:rPr>
        <w:t>暂停工作期间的工程照管</w:t>
      </w:r>
      <w:bookmarkEnd w:id="451"/>
      <w:r>
        <w:rPr>
          <w:rFonts w:cs="宋体"/>
          <w:szCs w:val="24"/>
        </w:rPr>
        <w:t xml:space="preserve"> </w:t>
      </w:r>
    </w:p>
    <w:p>
      <w:pPr>
        <w:pStyle w:val="66"/>
        <w:spacing w:afterLines="0"/>
        <w:ind w:left="0" w:firstLine="480" w:firstLineChars="200"/>
        <w:rPr>
          <w:rFonts w:cs="宋体"/>
          <w:szCs w:val="24"/>
        </w:rPr>
      </w:pPr>
      <w:r>
        <w:rPr>
          <w:rFonts w:hint="eastAsia" w:cs="宋体"/>
          <w:szCs w:val="24"/>
        </w:rPr>
        <w:t>不论由于何种原因引起暂停工作的，暂停工作期间，承包人应负责对工程、工程物资及文件等进行照管和保护，并提供安全保障，由此增加的费用按第</w:t>
      </w:r>
      <w:r>
        <w:rPr>
          <w:rFonts w:cs="宋体"/>
          <w:szCs w:val="24"/>
        </w:rPr>
        <w:t>8.9.1</w:t>
      </w:r>
      <w:r>
        <w:rPr>
          <w:rFonts w:hint="eastAsia" w:cs="宋体"/>
          <w:szCs w:val="24"/>
        </w:rPr>
        <w:t>项</w:t>
      </w:r>
      <w:r>
        <w:rPr>
          <w:rFonts w:cs="宋体"/>
          <w:szCs w:val="24"/>
        </w:rPr>
        <w:t>[</w:t>
      </w:r>
      <w:r>
        <w:rPr>
          <w:rFonts w:hint="eastAsia" w:cs="宋体"/>
          <w:szCs w:val="24"/>
        </w:rPr>
        <w:t>由发包人暂停工作</w:t>
      </w:r>
      <w:r>
        <w:rPr>
          <w:rFonts w:cs="宋体"/>
          <w:szCs w:val="24"/>
        </w:rPr>
        <w:t>]</w:t>
      </w:r>
      <w:r>
        <w:rPr>
          <w:rFonts w:hint="eastAsia" w:cs="宋体"/>
          <w:szCs w:val="24"/>
        </w:rPr>
        <w:t>和第</w:t>
      </w:r>
      <w:r>
        <w:rPr>
          <w:rFonts w:cs="宋体"/>
          <w:szCs w:val="24"/>
        </w:rPr>
        <w:t>8.9.2</w:t>
      </w:r>
      <w:r>
        <w:rPr>
          <w:rFonts w:hint="eastAsia" w:cs="宋体"/>
          <w:szCs w:val="24"/>
        </w:rPr>
        <w:t>项</w:t>
      </w:r>
      <w:r>
        <w:rPr>
          <w:rFonts w:cs="宋体"/>
          <w:szCs w:val="24"/>
        </w:rPr>
        <w:t>[</w:t>
      </w:r>
      <w:r>
        <w:rPr>
          <w:rFonts w:hint="eastAsia" w:cs="宋体"/>
          <w:szCs w:val="24"/>
        </w:rPr>
        <w:t>由承包人暂停工作</w:t>
      </w:r>
      <w:r>
        <w:rPr>
          <w:rFonts w:cs="宋体"/>
          <w:szCs w:val="24"/>
        </w:rPr>
        <w:t>]</w:t>
      </w:r>
      <w:r>
        <w:rPr>
          <w:rFonts w:hint="eastAsia" w:cs="宋体"/>
          <w:szCs w:val="24"/>
        </w:rPr>
        <w:t>的约定承担。</w:t>
      </w:r>
    </w:p>
    <w:p>
      <w:pPr>
        <w:spacing w:line="360" w:lineRule="auto"/>
        <w:ind w:firstLine="480" w:firstLineChars="200"/>
        <w:rPr>
          <w:sz w:val="24"/>
          <w:szCs w:val="24"/>
        </w:rPr>
      </w:pPr>
      <w:r>
        <w:rPr>
          <w:rFonts w:hint="eastAsia"/>
          <w:sz w:val="24"/>
          <w:szCs w:val="24"/>
        </w:rPr>
        <w:t>因承包人未能尽到照管、保护的责任造成损失的，使发包人的费用增加，（或）竣工日期延误的，由承包人按本合同约定承担责任。</w:t>
      </w:r>
    </w:p>
    <w:p>
      <w:pPr>
        <w:pStyle w:val="66"/>
        <w:spacing w:afterLines="0"/>
        <w:ind w:left="0" w:firstLine="480" w:firstLineChars="200"/>
        <w:rPr>
          <w:rFonts w:cs="宋体"/>
          <w:szCs w:val="24"/>
        </w:rPr>
      </w:pPr>
      <w:r>
        <w:rPr>
          <w:rFonts w:cs="宋体"/>
          <w:szCs w:val="24"/>
        </w:rPr>
        <w:t xml:space="preserve">8.9.5 </w:t>
      </w:r>
      <w:r>
        <w:rPr>
          <w:rFonts w:hint="eastAsia" w:cs="宋体"/>
          <w:szCs w:val="24"/>
        </w:rPr>
        <w:t>拖长的暂停</w:t>
      </w:r>
    </w:p>
    <w:p>
      <w:pPr>
        <w:spacing w:line="360" w:lineRule="auto"/>
        <w:ind w:firstLine="480" w:firstLineChars="200"/>
        <w:rPr>
          <w:sz w:val="24"/>
          <w:szCs w:val="24"/>
        </w:rPr>
      </w:pPr>
      <w:r>
        <w:rPr>
          <w:rFonts w:hint="eastAsia"/>
          <w:sz w:val="24"/>
          <w:szCs w:val="24"/>
        </w:rPr>
        <w:t>根据第</w:t>
      </w:r>
      <w:r>
        <w:rPr>
          <w:sz w:val="24"/>
          <w:szCs w:val="24"/>
        </w:rPr>
        <w:t>8.9.1</w:t>
      </w:r>
      <w:r>
        <w:rPr>
          <w:rFonts w:hint="eastAsia"/>
          <w:sz w:val="24"/>
          <w:szCs w:val="24"/>
        </w:rPr>
        <w:t>项</w:t>
      </w:r>
      <w:r>
        <w:rPr>
          <w:sz w:val="24"/>
          <w:szCs w:val="24"/>
        </w:rPr>
        <w:t>[</w:t>
      </w:r>
      <w:r>
        <w:rPr>
          <w:rFonts w:hint="eastAsia"/>
          <w:sz w:val="24"/>
          <w:szCs w:val="24"/>
        </w:rPr>
        <w:t>由发包人暂停工作</w:t>
      </w:r>
      <w:r>
        <w:rPr>
          <w:sz w:val="24"/>
          <w:szCs w:val="24"/>
        </w:rPr>
        <w:t>]</w:t>
      </w:r>
      <w:r>
        <w:rPr>
          <w:rFonts w:hint="eastAsia"/>
          <w:sz w:val="24"/>
          <w:szCs w:val="24"/>
        </w:rPr>
        <w:t>暂停工作持续超过</w:t>
      </w:r>
      <w:r>
        <w:rPr>
          <w:sz w:val="24"/>
          <w:szCs w:val="24"/>
        </w:rPr>
        <w:t>56</w:t>
      </w:r>
      <w:r>
        <w:rPr>
          <w:rFonts w:hint="eastAsia"/>
          <w:sz w:val="24"/>
          <w:szCs w:val="24"/>
        </w:rPr>
        <w:t>天的，承包人可向发包人发出要求复工的通知。如果发包人没有在收到书面通知后</w:t>
      </w:r>
      <w:r>
        <w:rPr>
          <w:sz w:val="24"/>
          <w:szCs w:val="24"/>
        </w:rPr>
        <w:t>28</w:t>
      </w:r>
      <w:r>
        <w:rPr>
          <w:rFonts w:hint="eastAsia"/>
          <w:sz w:val="24"/>
          <w:szCs w:val="24"/>
        </w:rPr>
        <w:t>天内准许已暂停工作的全部或部分继续工作，承包人有权根据第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的约定，要求以变更方式调减受暂停影响的部分工程。发包人的暂停超过</w:t>
      </w:r>
      <w:r>
        <w:rPr>
          <w:sz w:val="24"/>
          <w:szCs w:val="24"/>
        </w:rPr>
        <w:t>56</w:t>
      </w:r>
      <w:r>
        <w:rPr>
          <w:rFonts w:hint="eastAsia"/>
          <w:sz w:val="24"/>
          <w:szCs w:val="24"/>
        </w:rPr>
        <w:t>天且暂停影响到整个工程的，承包人有权根据第</w:t>
      </w:r>
      <w:r>
        <w:rPr>
          <w:sz w:val="24"/>
          <w:szCs w:val="24"/>
        </w:rPr>
        <w:t>16.2</w:t>
      </w:r>
      <w:r>
        <w:rPr>
          <w:rFonts w:hint="eastAsia"/>
          <w:sz w:val="24"/>
          <w:szCs w:val="24"/>
        </w:rPr>
        <w:t>款</w:t>
      </w:r>
      <w:r>
        <w:rPr>
          <w:sz w:val="24"/>
          <w:szCs w:val="24"/>
        </w:rPr>
        <w:t>[</w:t>
      </w:r>
      <w:r>
        <w:rPr>
          <w:rFonts w:hint="eastAsia"/>
          <w:sz w:val="24"/>
          <w:szCs w:val="24"/>
        </w:rPr>
        <w:t>由承包人解除合同</w:t>
      </w:r>
      <w:r>
        <w:rPr>
          <w:sz w:val="24"/>
          <w:szCs w:val="24"/>
        </w:rPr>
        <w:t>]</w:t>
      </w:r>
      <w:r>
        <w:rPr>
          <w:rFonts w:hint="eastAsia"/>
          <w:sz w:val="24"/>
          <w:szCs w:val="24"/>
        </w:rPr>
        <w:t>的约定，发出解除合同的通知。</w:t>
      </w:r>
    </w:p>
    <w:p>
      <w:pPr>
        <w:pStyle w:val="65"/>
        <w:widowControl/>
        <w:spacing w:afterLines="0"/>
        <w:ind w:left="0" w:firstLine="482" w:firstLineChars="200"/>
        <w:rPr>
          <w:rFonts w:ascii="宋体" w:hAnsi="宋体" w:eastAsia="宋体" w:cs="宋体"/>
          <w:b w:val="0"/>
          <w:bCs/>
        </w:rPr>
      </w:pPr>
      <w:bookmarkStart w:id="452" w:name="_Toc54862257"/>
      <w:r>
        <w:rPr>
          <w:rFonts w:ascii="宋体" w:hAnsi="宋体" w:eastAsia="宋体" w:cs="宋体"/>
        </w:rPr>
        <w:t xml:space="preserve">8.10 </w:t>
      </w:r>
      <w:r>
        <w:rPr>
          <w:rFonts w:hint="eastAsia" w:ascii="宋体" w:hAnsi="宋体" w:eastAsia="宋体" w:cs="宋体"/>
        </w:rPr>
        <w:t>复工</w:t>
      </w:r>
      <w:bookmarkEnd w:id="452"/>
      <w:r>
        <w:rPr>
          <w:rFonts w:ascii="宋体" w:hAnsi="宋体" w:eastAsia="宋体" w:cs="宋体"/>
          <w:b w:val="0"/>
          <w:bCs/>
        </w:rPr>
        <w:t xml:space="preserve"> </w:t>
      </w:r>
    </w:p>
    <w:p>
      <w:pPr>
        <w:pStyle w:val="66"/>
        <w:spacing w:afterLines="0"/>
        <w:ind w:left="0" w:firstLine="480" w:firstLineChars="200"/>
        <w:rPr>
          <w:rFonts w:cs="宋体"/>
          <w:szCs w:val="24"/>
        </w:rPr>
      </w:pPr>
      <w:r>
        <w:rPr>
          <w:rFonts w:cs="宋体"/>
          <w:szCs w:val="24"/>
        </w:rPr>
        <w:t xml:space="preserve">8.10.1 </w:t>
      </w:r>
      <w:r>
        <w:rPr>
          <w:rFonts w:hint="eastAsia" w:cs="宋体"/>
          <w:szCs w:val="24"/>
        </w:rPr>
        <w:t>收到发包人的复工通知后，承包人应按通知时间复工；发包人通知的复工时间应当给予承包人必要的准备复工时间。</w:t>
      </w:r>
    </w:p>
    <w:p>
      <w:pPr>
        <w:pStyle w:val="66"/>
        <w:spacing w:afterLines="0"/>
        <w:ind w:left="0" w:firstLine="480" w:firstLineChars="200"/>
        <w:rPr>
          <w:rFonts w:cs="宋体"/>
          <w:szCs w:val="24"/>
        </w:rPr>
      </w:pPr>
      <w:r>
        <w:rPr>
          <w:rFonts w:cs="宋体"/>
          <w:szCs w:val="24"/>
        </w:rPr>
        <w:t xml:space="preserve">8.10.2 </w:t>
      </w:r>
      <w:r>
        <w:rPr>
          <w:rFonts w:hint="eastAsia" w:cs="宋体"/>
          <w:szCs w:val="24"/>
        </w:rPr>
        <w:t>不论由于何种原因引起暂停工作，双方均可要求对方一同对受暂停影响的工程、工程设备和工程物资进行检查，承包人应将检查结果及需要恢复、修复的内容和估算通知发包人。</w:t>
      </w:r>
    </w:p>
    <w:p>
      <w:pPr>
        <w:pStyle w:val="66"/>
        <w:spacing w:afterLines="0"/>
        <w:ind w:left="0" w:firstLine="480" w:firstLineChars="200"/>
        <w:rPr>
          <w:rFonts w:cs="宋体"/>
          <w:szCs w:val="24"/>
        </w:rPr>
      </w:pPr>
      <w:r>
        <w:rPr>
          <w:rFonts w:cs="宋体"/>
          <w:szCs w:val="24"/>
        </w:rPr>
        <w:t xml:space="preserve">8.10.3 </w:t>
      </w:r>
      <w:r>
        <w:rPr>
          <w:rFonts w:hint="eastAsia" w:cs="宋体"/>
          <w:szCs w:val="24"/>
        </w:rPr>
        <w:t>除第</w:t>
      </w:r>
      <w:r>
        <w:rPr>
          <w:rFonts w:cs="宋体"/>
          <w:szCs w:val="24"/>
        </w:rPr>
        <w:t>17</w:t>
      </w:r>
      <w:r>
        <w:rPr>
          <w:rFonts w:hint="eastAsia" w:cs="宋体"/>
          <w:szCs w:val="24"/>
        </w:rPr>
        <w:t>条</w:t>
      </w:r>
      <w:r>
        <w:rPr>
          <w:rFonts w:cs="宋体"/>
          <w:szCs w:val="24"/>
        </w:rPr>
        <w:t>[</w:t>
      </w:r>
      <w:r>
        <w:rPr>
          <w:rFonts w:hint="eastAsia" w:cs="宋体"/>
          <w:szCs w:val="24"/>
        </w:rPr>
        <w:t>不可抗力</w:t>
      </w:r>
      <w:r>
        <w:rPr>
          <w:rFonts w:cs="宋体"/>
          <w:szCs w:val="24"/>
        </w:rPr>
        <w:t>]</w:t>
      </w:r>
      <w:r>
        <w:rPr>
          <w:rFonts w:hint="eastAsia" w:cs="宋体"/>
          <w:szCs w:val="24"/>
        </w:rPr>
        <w:t>另有约定外，发生的恢复、修复价款及工期延误的后果由责任方承担。</w:t>
      </w:r>
    </w:p>
    <w:p>
      <w:pPr>
        <w:pStyle w:val="64"/>
        <w:numPr>
          <w:ilvl w:val="0"/>
          <w:numId w:val="0"/>
        </w:numPr>
        <w:spacing w:before="0"/>
        <w:ind w:firstLine="482" w:firstLineChars="200"/>
        <w:rPr>
          <w:rFonts w:ascii="宋体"/>
          <w:bCs/>
          <w:sz w:val="24"/>
          <w:szCs w:val="24"/>
        </w:rPr>
      </w:pPr>
      <w:bookmarkStart w:id="453" w:name="_Ref4621041"/>
      <w:bookmarkStart w:id="454" w:name="_Toc54862258"/>
      <w:bookmarkStart w:id="455" w:name="_Ref4621029"/>
      <w:r>
        <w:rPr>
          <w:rFonts w:hint="eastAsia" w:ascii="宋体" w:hAnsi="宋体"/>
          <w:b/>
          <w:sz w:val="24"/>
          <w:szCs w:val="24"/>
        </w:rPr>
        <w:t>第</w:t>
      </w:r>
      <w:r>
        <w:rPr>
          <w:rFonts w:ascii="宋体" w:hAnsi="宋体"/>
          <w:b/>
          <w:sz w:val="24"/>
          <w:szCs w:val="24"/>
        </w:rPr>
        <w:t>9</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竣工试验</w:t>
      </w:r>
      <w:bookmarkEnd w:id="381"/>
      <w:bookmarkEnd w:id="453"/>
      <w:bookmarkEnd w:id="454"/>
      <w:bookmarkEnd w:id="455"/>
      <w:r>
        <w:rPr>
          <w:rFonts w:ascii="宋体" w:hAnsi="宋体"/>
          <w:b/>
          <w:sz w:val="24"/>
          <w:szCs w:val="24"/>
        </w:rPr>
        <w:t xml:space="preserve"> </w:t>
      </w:r>
    </w:p>
    <w:p>
      <w:pPr>
        <w:pStyle w:val="65"/>
        <w:widowControl/>
        <w:spacing w:afterLines="0"/>
        <w:ind w:left="0" w:firstLine="482" w:firstLineChars="200"/>
        <w:rPr>
          <w:rFonts w:ascii="宋体" w:hAnsi="宋体" w:eastAsia="宋体" w:cs="宋体"/>
          <w:b w:val="0"/>
          <w:bCs/>
        </w:rPr>
      </w:pPr>
      <w:bookmarkStart w:id="456" w:name="_Ref532586251"/>
      <w:bookmarkStart w:id="457" w:name="_Toc54862259"/>
      <w:bookmarkStart w:id="458" w:name="_Ref532586248"/>
      <w:r>
        <w:rPr>
          <w:rFonts w:ascii="宋体" w:hAnsi="宋体" w:eastAsia="宋体" w:cs="宋体"/>
        </w:rPr>
        <w:t xml:space="preserve">9.1 </w:t>
      </w:r>
      <w:r>
        <w:rPr>
          <w:rFonts w:hint="eastAsia" w:ascii="宋体" w:hAnsi="宋体" w:eastAsia="宋体" w:cs="宋体"/>
        </w:rPr>
        <w:t>竣工试验的义务</w:t>
      </w:r>
      <w:bookmarkEnd w:id="456"/>
      <w:bookmarkEnd w:id="457"/>
      <w:bookmarkEnd w:id="458"/>
    </w:p>
    <w:p>
      <w:pPr>
        <w:pStyle w:val="66"/>
        <w:spacing w:afterLines="0"/>
        <w:ind w:left="0" w:firstLine="480" w:firstLineChars="200"/>
        <w:rPr>
          <w:rFonts w:cs="宋体"/>
          <w:szCs w:val="24"/>
        </w:rPr>
      </w:pPr>
      <w:r>
        <w:rPr>
          <w:rFonts w:cs="宋体"/>
          <w:szCs w:val="24"/>
        </w:rPr>
        <w:t xml:space="preserve">9.1.1 </w:t>
      </w:r>
      <w:r>
        <w:rPr>
          <w:rFonts w:hint="eastAsia" w:cs="宋体"/>
          <w:szCs w:val="24"/>
        </w:rPr>
        <w:t>承包人完成工程或区段工程进行竣工试验所需的作业，并根据第</w:t>
      </w:r>
      <w:r>
        <w:rPr>
          <w:rFonts w:cs="宋体"/>
          <w:szCs w:val="24"/>
        </w:rPr>
        <w:t>5.4</w:t>
      </w:r>
      <w:r>
        <w:rPr>
          <w:rFonts w:hint="eastAsia" w:cs="宋体"/>
          <w:szCs w:val="24"/>
        </w:rPr>
        <w:t>款</w:t>
      </w:r>
      <w:r>
        <w:rPr>
          <w:rFonts w:cs="宋体"/>
          <w:szCs w:val="24"/>
        </w:rPr>
        <w:t>[</w:t>
      </w:r>
      <w:r>
        <w:rPr>
          <w:rFonts w:hint="eastAsia" w:cs="宋体"/>
          <w:szCs w:val="24"/>
        </w:rPr>
        <w:t>竣工文件</w:t>
      </w:r>
      <w:r>
        <w:rPr>
          <w:rFonts w:cs="宋体"/>
          <w:szCs w:val="24"/>
        </w:rPr>
        <w:t>]</w:t>
      </w:r>
      <w:r>
        <w:rPr>
          <w:rFonts w:hint="eastAsia" w:cs="宋体"/>
          <w:szCs w:val="24"/>
        </w:rPr>
        <w:t>和第</w:t>
      </w:r>
      <w:r>
        <w:rPr>
          <w:rFonts w:cs="宋体"/>
          <w:szCs w:val="24"/>
        </w:rPr>
        <w:t>5.5</w:t>
      </w:r>
      <w:r>
        <w:rPr>
          <w:rFonts w:hint="eastAsia" w:cs="宋体"/>
          <w:szCs w:val="24"/>
        </w:rPr>
        <w:t>款</w:t>
      </w:r>
      <w:r>
        <w:rPr>
          <w:rFonts w:cs="宋体"/>
          <w:szCs w:val="24"/>
        </w:rPr>
        <w:t>[</w:t>
      </w:r>
      <w:r>
        <w:rPr>
          <w:rFonts w:hint="eastAsia" w:cs="宋体"/>
          <w:szCs w:val="24"/>
        </w:rPr>
        <w:t>操作和维修手册</w:t>
      </w:r>
      <w:r>
        <w:rPr>
          <w:rFonts w:cs="宋体"/>
          <w:szCs w:val="24"/>
        </w:rPr>
        <w:t>]</w:t>
      </w:r>
      <w:r>
        <w:rPr>
          <w:rFonts w:hint="eastAsia" w:cs="宋体"/>
          <w:szCs w:val="24"/>
        </w:rPr>
        <w:t>提交文件后，进行竣工试验。</w:t>
      </w:r>
      <w:bookmarkStart w:id="459" w:name="_Ref532586608"/>
    </w:p>
    <w:p>
      <w:pPr>
        <w:pStyle w:val="66"/>
        <w:spacing w:afterLines="0"/>
        <w:ind w:left="0" w:firstLine="480" w:firstLineChars="200"/>
        <w:rPr>
          <w:rFonts w:cs="宋体"/>
          <w:szCs w:val="24"/>
        </w:rPr>
      </w:pPr>
      <w:bookmarkStart w:id="460" w:name="_Ref11919920"/>
      <w:r>
        <w:rPr>
          <w:rFonts w:cs="宋体"/>
          <w:szCs w:val="24"/>
        </w:rPr>
        <w:t xml:space="preserve">9.1.2 </w:t>
      </w:r>
      <w:r>
        <w:rPr>
          <w:rFonts w:hint="eastAsia" w:cs="宋体"/>
          <w:szCs w:val="24"/>
        </w:rPr>
        <w:t>承包人应在进行竣工试验之前，至少提前</w:t>
      </w:r>
      <w:r>
        <w:rPr>
          <w:rFonts w:cs="宋体"/>
          <w:szCs w:val="24"/>
        </w:rPr>
        <w:t>42</w:t>
      </w:r>
      <w:r>
        <w:rPr>
          <w:rFonts w:hint="eastAsia" w:cs="宋体"/>
          <w:szCs w:val="24"/>
        </w:rPr>
        <w:t>天向工程师提交详细的竣工试验计划，该计划应载明竣工试验的内容、地点、拟开展时间和需要发包人提供的资源条件。</w:t>
      </w:r>
      <w:bookmarkEnd w:id="459"/>
      <w:r>
        <w:rPr>
          <w:rFonts w:hint="eastAsia" w:cs="宋体"/>
          <w:szCs w:val="24"/>
        </w:rPr>
        <w:t>工程师应在收到计划后的</w:t>
      </w:r>
      <w:r>
        <w:rPr>
          <w:rFonts w:cs="宋体"/>
          <w:szCs w:val="24"/>
        </w:rPr>
        <w:t>14</w:t>
      </w:r>
      <w:r>
        <w:rPr>
          <w:rFonts w:hint="eastAsia" w:cs="宋体"/>
          <w:szCs w:val="24"/>
        </w:rPr>
        <w:t>天内进行审查，并就该计划不符合合同的部分提出意见，承包人应在收到意见后的</w:t>
      </w:r>
      <w:r>
        <w:rPr>
          <w:rFonts w:cs="宋体"/>
          <w:szCs w:val="24"/>
        </w:rPr>
        <w:t>14</w:t>
      </w:r>
      <w:r>
        <w:rPr>
          <w:rFonts w:hint="eastAsia" w:cs="宋体"/>
          <w:szCs w:val="24"/>
        </w:rPr>
        <w:t>天内自费对计划进行修正。工程师逾期未提出意见的，视为竣工试验计划已得到确认。除提交竣工试验计划外，承包人还应提前</w:t>
      </w:r>
      <w:r>
        <w:rPr>
          <w:rFonts w:cs="宋体"/>
          <w:szCs w:val="24"/>
        </w:rPr>
        <w:t>21</w:t>
      </w:r>
      <w:r>
        <w:rPr>
          <w:rFonts w:hint="eastAsia" w:cs="宋体"/>
          <w:szCs w:val="24"/>
        </w:rPr>
        <w:t>天将可以开始进行各项竣工试验的日期通知工程师，并在该日期后的</w:t>
      </w:r>
      <w:r>
        <w:rPr>
          <w:rFonts w:cs="宋体"/>
          <w:szCs w:val="24"/>
        </w:rPr>
        <w:t>14</w:t>
      </w:r>
      <w:r>
        <w:rPr>
          <w:rFonts w:hint="eastAsia" w:cs="宋体"/>
          <w:szCs w:val="24"/>
        </w:rPr>
        <w:t>天内或工程师指示的日期进行竣工试验。</w:t>
      </w:r>
      <w:bookmarkEnd w:id="460"/>
    </w:p>
    <w:p>
      <w:pPr>
        <w:pStyle w:val="66"/>
        <w:spacing w:afterLines="0"/>
        <w:ind w:left="0" w:firstLine="480" w:firstLineChars="200"/>
        <w:rPr>
          <w:rFonts w:cs="宋体"/>
          <w:szCs w:val="24"/>
        </w:rPr>
      </w:pPr>
      <w:bookmarkStart w:id="461" w:name="_Ref532688147"/>
      <w:r>
        <w:rPr>
          <w:rFonts w:cs="宋体"/>
          <w:szCs w:val="24"/>
        </w:rPr>
        <w:t xml:space="preserve">9.1.3 </w:t>
      </w:r>
      <w:r>
        <w:rPr>
          <w:rFonts w:hint="eastAsia" w:cs="宋体"/>
          <w:szCs w:val="24"/>
        </w:rPr>
        <w:t>承包人应根据经确认的竣工试验计划以及第</w:t>
      </w:r>
      <w:r>
        <w:rPr>
          <w:rFonts w:cs="宋体"/>
          <w:szCs w:val="24"/>
        </w:rPr>
        <w:t>6.5</w:t>
      </w:r>
      <w:r>
        <w:rPr>
          <w:rFonts w:hint="eastAsia" w:cs="宋体"/>
          <w:szCs w:val="24"/>
        </w:rPr>
        <w:t>款</w:t>
      </w:r>
      <w:r>
        <w:rPr>
          <w:rFonts w:cs="宋体"/>
          <w:szCs w:val="24"/>
        </w:rPr>
        <w:t>[</w:t>
      </w:r>
      <w:r>
        <w:rPr>
          <w:rFonts w:hint="eastAsia" w:cs="宋体"/>
          <w:szCs w:val="24"/>
        </w:rPr>
        <w:t>由承包人试验和检验</w:t>
      </w:r>
      <w:r>
        <w:rPr>
          <w:rFonts w:cs="宋体"/>
          <w:szCs w:val="24"/>
        </w:rPr>
        <w:t>]</w:t>
      </w:r>
      <w:r>
        <w:rPr>
          <w:rFonts w:hint="eastAsia" w:cs="宋体"/>
          <w:szCs w:val="24"/>
        </w:rPr>
        <w:t>进行竣工试验。除《发包人要求》中另有说明外，竣工试验应按以下顺序分阶段进行，即只有在工程或区段工程已通过上一阶段试验的情况下，才可进行下一阶段试验：</w:t>
      </w:r>
      <w:bookmarkEnd w:id="461"/>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承包人进行启动前试验，包括适当的检查和功能性试验，以证明工程或区段工程的每一部分均能够安全地承受下一阶段试验；</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承包人进行启动试验，以证明工程或区段工程能够在所有可利用的操作条件下安全运行，并按照专用合同条件和《发包人要求》中的规定操作；</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承包人进行试运行试验。当工程或区段工程能稳定安全运行时，承包人应通知工程师，可以进行其他竣工试验，包括各种性能测试，以证明工程或区段工程符合《发包人要求》中列明的性能保证指标。</w:t>
      </w:r>
    </w:p>
    <w:p>
      <w:pPr>
        <w:spacing w:line="360" w:lineRule="auto"/>
        <w:ind w:firstLine="480" w:firstLineChars="200"/>
        <w:rPr>
          <w:sz w:val="24"/>
          <w:szCs w:val="24"/>
        </w:rPr>
      </w:pPr>
      <w:r>
        <w:rPr>
          <w:rFonts w:hint="eastAsia"/>
          <w:sz w:val="24"/>
          <w:szCs w:val="24"/>
        </w:rPr>
        <w:t>进行上述试验不应构成第</w:t>
      </w:r>
      <w:r>
        <w:rPr>
          <w:sz w:val="24"/>
          <w:szCs w:val="24"/>
        </w:rPr>
        <w:t>10</w:t>
      </w:r>
      <w:r>
        <w:rPr>
          <w:rFonts w:hint="eastAsia"/>
          <w:sz w:val="24"/>
          <w:szCs w:val="24"/>
        </w:rPr>
        <w:t>条</w:t>
      </w:r>
      <w:r>
        <w:rPr>
          <w:sz w:val="24"/>
          <w:szCs w:val="24"/>
        </w:rPr>
        <w:t>[</w:t>
      </w:r>
      <w:r>
        <w:rPr>
          <w:rFonts w:hint="eastAsia"/>
          <w:sz w:val="24"/>
          <w:szCs w:val="24"/>
        </w:rPr>
        <w:t>验收和工程接收</w:t>
      </w:r>
      <w:r>
        <w:rPr>
          <w:sz w:val="24"/>
          <w:szCs w:val="24"/>
        </w:rPr>
        <w:t>]</w:t>
      </w:r>
      <w:r>
        <w:rPr>
          <w:rFonts w:hint="eastAsia"/>
          <w:sz w:val="24"/>
          <w:szCs w:val="24"/>
        </w:rPr>
        <w:t>规定的接收，但试验所产生的任何产品或其他收益均应归属于发包人。</w:t>
      </w:r>
    </w:p>
    <w:p>
      <w:pPr>
        <w:pStyle w:val="66"/>
        <w:spacing w:afterLines="0"/>
        <w:ind w:left="0" w:firstLine="480" w:firstLineChars="200"/>
        <w:rPr>
          <w:rFonts w:cs="宋体"/>
          <w:szCs w:val="24"/>
        </w:rPr>
      </w:pPr>
      <w:r>
        <w:rPr>
          <w:rFonts w:cs="宋体"/>
          <w:szCs w:val="24"/>
        </w:rPr>
        <w:t xml:space="preserve">9.1.4 </w:t>
      </w:r>
      <w:r>
        <w:rPr>
          <w:rFonts w:hint="eastAsia" w:cs="宋体"/>
          <w:szCs w:val="24"/>
        </w:rPr>
        <w:t>完成上述各阶段竣工试验后，承包人应向工程师提交试验结果报告，试验结果须符合约定的标准、规范和数据。工程师应在收到报告后</w:t>
      </w:r>
      <w:r>
        <w:rPr>
          <w:rFonts w:cs="宋体"/>
          <w:szCs w:val="24"/>
        </w:rPr>
        <w:t>14</w:t>
      </w:r>
      <w:r>
        <w:rPr>
          <w:rFonts w:hint="eastAsia" w:cs="宋体"/>
          <w:szCs w:val="24"/>
        </w:rPr>
        <w:t>天内予以回复，逾期未回复的，视为认可竣工试验结果。但在考虑工程或区段工程是否通过竣工试验时，应适当考虑发包人对工程或其任何部分的使用，对工程或区段工程的性能、特性和试验结果产生的影响。</w:t>
      </w:r>
    </w:p>
    <w:p>
      <w:pPr>
        <w:pStyle w:val="65"/>
        <w:widowControl/>
        <w:spacing w:afterLines="0"/>
        <w:ind w:left="0" w:firstLine="482" w:firstLineChars="200"/>
        <w:rPr>
          <w:rFonts w:ascii="宋体" w:hAnsi="宋体" w:eastAsia="宋体" w:cs="宋体"/>
        </w:rPr>
      </w:pPr>
      <w:bookmarkStart w:id="462" w:name="_Toc54862260"/>
      <w:r>
        <w:rPr>
          <w:rFonts w:ascii="宋体" w:hAnsi="宋体" w:eastAsia="宋体" w:cs="宋体"/>
        </w:rPr>
        <w:t xml:space="preserve">9.2 </w:t>
      </w:r>
      <w:r>
        <w:rPr>
          <w:rFonts w:hint="eastAsia" w:ascii="宋体" w:hAnsi="宋体" w:eastAsia="宋体" w:cs="宋体"/>
        </w:rPr>
        <w:t>延误的试验</w:t>
      </w:r>
      <w:bookmarkEnd w:id="462"/>
    </w:p>
    <w:p>
      <w:pPr>
        <w:pStyle w:val="66"/>
        <w:spacing w:afterLines="0"/>
        <w:ind w:left="0" w:firstLine="480" w:firstLineChars="200"/>
        <w:rPr>
          <w:rFonts w:cs="宋体"/>
          <w:szCs w:val="24"/>
        </w:rPr>
      </w:pPr>
      <w:r>
        <w:rPr>
          <w:rFonts w:cs="宋体"/>
          <w:szCs w:val="24"/>
        </w:rPr>
        <w:t xml:space="preserve">9.2.1 </w:t>
      </w:r>
      <w:r>
        <w:rPr>
          <w:rFonts w:hint="eastAsia" w:cs="宋体"/>
          <w:szCs w:val="24"/>
        </w:rPr>
        <w:t>如果承包人已根据第</w:t>
      </w:r>
      <w:r>
        <w:rPr>
          <w:rFonts w:cs="宋体"/>
          <w:szCs w:val="24"/>
        </w:rPr>
        <w:t>9.1</w:t>
      </w:r>
      <w:r>
        <w:rPr>
          <w:rFonts w:hint="eastAsia" w:cs="宋体"/>
          <w:szCs w:val="24"/>
        </w:rPr>
        <w:t>款</w:t>
      </w:r>
      <w:r>
        <w:rPr>
          <w:rFonts w:cs="宋体"/>
          <w:szCs w:val="24"/>
        </w:rPr>
        <w:t>[</w:t>
      </w:r>
      <w:r>
        <w:rPr>
          <w:rFonts w:hint="eastAsia" w:cs="宋体"/>
          <w:szCs w:val="24"/>
        </w:rPr>
        <w:t>竣工试验的义务</w:t>
      </w:r>
      <w:r>
        <w:rPr>
          <w:rFonts w:cs="宋体"/>
          <w:szCs w:val="24"/>
        </w:rPr>
        <w:t>]</w:t>
      </w:r>
      <w:r>
        <w:rPr>
          <w:rFonts w:hint="eastAsia" w:cs="宋体"/>
          <w:szCs w:val="24"/>
        </w:rPr>
        <w:t>就可以开始进行各项竣工试验的日期通知工程师，但该等试验因发包人原因被延误</w:t>
      </w:r>
      <w:r>
        <w:rPr>
          <w:rFonts w:cs="宋体"/>
          <w:szCs w:val="24"/>
        </w:rPr>
        <w:t>14</w:t>
      </w:r>
      <w:r>
        <w:rPr>
          <w:rFonts w:hint="eastAsia" w:cs="宋体"/>
          <w:szCs w:val="24"/>
        </w:rPr>
        <w:t>天以上的，发包人应承担由此增加的费用和工期延误，并支付承包人合理利润。同时，承包人应在合理可行的情况下尽快进行竣工试验。</w:t>
      </w:r>
    </w:p>
    <w:p>
      <w:pPr>
        <w:pStyle w:val="66"/>
        <w:spacing w:afterLines="0"/>
        <w:ind w:left="0" w:firstLine="480" w:firstLineChars="200"/>
        <w:rPr>
          <w:rFonts w:cs="宋体"/>
          <w:szCs w:val="24"/>
        </w:rPr>
      </w:pPr>
      <w:r>
        <w:rPr>
          <w:rFonts w:cs="宋体"/>
          <w:szCs w:val="24"/>
        </w:rPr>
        <w:t xml:space="preserve">9.2.2 </w:t>
      </w:r>
      <w:r>
        <w:rPr>
          <w:rFonts w:hint="eastAsia" w:cs="宋体"/>
          <w:szCs w:val="24"/>
        </w:rPr>
        <w:t>承包人无正当理由延误进行竣工试验的，工程师可向其发出通知，要求其在收到通知后的</w:t>
      </w:r>
      <w:r>
        <w:rPr>
          <w:rFonts w:cs="宋体"/>
          <w:szCs w:val="24"/>
        </w:rPr>
        <w:t>21</w:t>
      </w:r>
      <w:r>
        <w:rPr>
          <w:rFonts w:hint="eastAsia" w:cs="宋体"/>
          <w:szCs w:val="24"/>
        </w:rPr>
        <w:t>天内进行该项竣工试验。承包人应在该</w:t>
      </w:r>
      <w:r>
        <w:rPr>
          <w:rFonts w:cs="宋体"/>
          <w:szCs w:val="24"/>
        </w:rPr>
        <w:t>21</w:t>
      </w:r>
      <w:r>
        <w:rPr>
          <w:rFonts w:hint="eastAsia" w:cs="宋体"/>
          <w:szCs w:val="24"/>
        </w:rPr>
        <w:t>天的期限内确定进行试验的日期，并至少提前</w:t>
      </w:r>
      <w:r>
        <w:rPr>
          <w:rFonts w:cs="宋体"/>
          <w:szCs w:val="24"/>
        </w:rPr>
        <w:t>7</w:t>
      </w:r>
      <w:r>
        <w:rPr>
          <w:rFonts w:hint="eastAsia" w:cs="宋体"/>
          <w:szCs w:val="24"/>
        </w:rPr>
        <w:t>天通知工程师。</w:t>
      </w:r>
    </w:p>
    <w:p>
      <w:pPr>
        <w:pStyle w:val="66"/>
        <w:spacing w:afterLines="0"/>
        <w:ind w:left="0" w:firstLine="480" w:firstLineChars="200"/>
        <w:rPr>
          <w:rFonts w:cs="宋体"/>
          <w:szCs w:val="24"/>
        </w:rPr>
      </w:pPr>
      <w:r>
        <w:rPr>
          <w:rFonts w:cs="宋体"/>
          <w:szCs w:val="24"/>
        </w:rPr>
        <w:t xml:space="preserve">9.2.3 </w:t>
      </w:r>
      <w:r>
        <w:rPr>
          <w:rFonts w:hint="eastAsia" w:cs="宋体"/>
          <w:szCs w:val="24"/>
        </w:rPr>
        <w:t>如果承包人未在该期限内进行竣工试验，则发包人有权自行组织该项竣工试验，由此产生的合理费用由承包人承担。发包人应在试验完成后</w:t>
      </w:r>
      <w:r>
        <w:rPr>
          <w:rFonts w:cs="宋体"/>
          <w:szCs w:val="24"/>
        </w:rPr>
        <w:t>28</w:t>
      </w:r>
      <w:r>
        <w:rPr>
          <w:rFonts w:hint="eastAsia" w:cs="宋体"/>
          <w:szCs w:val="24"/>
        </w:rPr>
        <w:t>天内向承包人发送试验结果。</w:t>
      </w:r>
    </w:p>
    <w:p>
      <w:pPr>
        <w:pStyle w:val="65"/>
        <w:widowControl/>
        <w:spacing w:afterLines="0"/>
        <w:ind w:left="0" w:firstLine="482" w:firstLineChars="200"/>
        <w:rPr>
          <w:rFonts w:ascii="宋体" w:hAnsi="宋体" w:eastAsia="宋体" w:cs="宋体"/>
        </w:rPr>
      </w:pPr>
      <w:bookmarkStart w:id="463" w:name="_Ref532594592"/>
      <w:bookmarkStart w:id="464" w:name="_Toc54862261"/>
      <w:bookmarkStart w:id="465" w:name="_Ref532594588"/>
      <w:r>
        <w:rPr>
          <w:rFonts w:ascii="宋体" w:hAnsi="宋体" w:eastAsia="宋体" w:cs="宋体"/>
        </w:rPr>
        <w:t xml:space="preserve">9.3 </w:t>
      </w:r>
      <w:r>
        <w:rPr>
          <w:rFonts w:hint="eastAsia" w:ascii="宋体" w:hAnsi="宋体" w:eastAsia="宋体" w:cs="宋体"/>
        </w:rPr>
        <w:t>重新试验</w:t>
      </w:r>
      <w:bookmarkEnd w:id="463"/>
      <w:bookmarkEnd w:id="464"/>
      <w:bookmarkEnd w:id="465"/>
      <w:r>
        <w:rPr>
          <w:rFonts w:ascii="宋体" w:hAnsi="宋体" w:eastAsia="宋体" w:cs="宋体"/>
        </w:rPr>
        <w:t xml:space="preserve"> </w:t>
      </w:r>
    </w:p>
    <w:p>
      <w:pPr>
        <w:spacing w:line="360" w:lineRule="auto"/>
        <w:ind w:firstLine="480" w:firstLineChars="200"/>
        <w:rPr>
          <w:sz w:val="24"/>
          <w:szCs w:val="24"/>
        </w:rPr>
      </w:pPr>
      <w:r>
        <w:rPr>
          <w:rFonts w:hint="eastAsia"/>
          <w:sz w:val="24"/>
          <w:szCs w:val="24"/>
        </w:rPr>
        <w:t>如果工程或区段工程未能通过竣工试验，则承包人应根据第</w:t>
      </w:r>
      <w:r>
        <w:rPr>
          <w:sz w:val="24"/>
          <w:szCs w:val="24"/>
        </w:rPr>
        <w:t>6.6</w:t>
      </w:r>
      <w:r>
        <w:rPr>
          <w:rFonts w:hint="eastAsia"/>
          <w:sz w:val="24"/>
          <w:szCs w:val="24"/>
        </w:rPr>
        <w:t>款</w:t>
      </w:r>
      <w:r>
        <w:rPr>
          <w:sz w:val="24"/>
          <w:szCs w:val="24"/>
        </w:rPr>
        <w:t>[</w:t>
      </w:r>
      <w:r>
        <w:rPr>
          <w:rFonts w:hint="eastAsia"/>
          <w:sz w:val="24"/>
          <w:szCs w:val="24"/>
        </w:rPr>
        <w:t>缺陷和修补</w:t>
      </w:r>
      <w:r>
        <w:rPr>
          <w:sz w:val="24"/>
          <w:szCs w:val="24"/>
        </w:rPr>
        <w:t>]</w:t>
      </w:r>
      <w:r>
        <w:rPr>
          <w:rFonts w:hint="eastAsia"/>
          <w:sz w:val="24"/>
          <w:szCs w:val="24"/>
        </w:rPr>
        <w:t>修补缺陷。发包人或承包人可要求按相同的条件，重新进行未通过的试验以及相关工程或区段工程的竣工试验。该等重新进行的试验仍应适用本条对于竣工试验的规定。</w:t>
      </w:r>
    </w:p>
    <w:p>
      <w:pPr>
        <w:pStyle w:val="65"/>
        <w:widowControl/>
        <w:spacing w:afterLines="0"/>
        <w:ind w:left="0" w:firstLine="482" w:firstLineChars="200"/>
        <w:rPr>
          <w:rFonts w:ascii="宋体" w:hAnsi="宋体" w:eastAsia="宋体" w:cs="宋体"/>
        </w:rPr>
      </w:pPr>
      <w:bookmarkStart w:id="466" w:name="_Ref532688226"/>
      <w:bookmarkStart w:id="467" w:name="_Ref532688221"/>
      <w:bookmarkStart w:id="468" w:name="_Toc54862262"/>
      <w:r>
        <w:rPr>
          <w:rFonts w:ascii="宋体" w:hAnsi="宋体" w:eastAsia="宋体" w:cs="宋体"/>
        </w:rPr>
        <w:t xml:space="preserve">9.4 </w:t>
      </w:r>
      <w:r>
        <w:rPr>
          <w:rFonts w:hint="eastAsia" w:ascii="宋体" w:hAnsi="宋体" w:eastAsia="宋体" w:cs="宋体"/>
        </w:rPr>
        <w:t>未能通过竣工试验</w:t>
      </w:r>
      <w:bookmarkEnd w:id="466"/>
      <w:bookmarkEnd w:id="467"/>
      <w:bookmarkEnd w:id="468"/>
    </w:p>
    <w:p>
      <w:pPr>
        <w:pStyle w:val="66"/>
        <w:spacing w:afterLines="0"/>
        <w:ind w:left="0" w:firstLine="480" w:firstLineChars="200"/>
        <w:rPr>
          <w:rFonts w:cs="宋体"/>
          <w:szCs w:val="24"/>
        </w:rPr>
      </w:pPr>
      <w:r>
        <w:rPr>
          <w:rFonts w:cs="宋体"/>
          <w:szCs w:val="24"/>
        </w:rPr>
        <w:t xml:space="preserve">9.4.1 </w:t>
      </w:r>
      <w:r>
        <w:rPr>
          <w:rFonts w:hint="eastAsia" w:cs="宋体"/>
          <w:szCs w:val="24"/>
        </w:rPr>
        <w:t>因发包人原因导致竣工试验未能通过的，承包人进行竣工试验的费用由发包人承担，竣工日期相应顺延。</w:t>
      </w:r>
    </w:p>
    <w:p>
      <w:pPr>
        <w:pStyle w:val="66"/>
        <w:spacing w:afterLines="0"/>
        <w:ind w:left="0" w:firstLine="480" w:firstLineChars="200"/>
        <w:rPr>
          <w:rFonts w:cs="宋体"/>
          <w:szCs w:val="24"/>
        </w:rPr>
      </w:pPr>
      <w:r>
        <w:rPr>
          <w:rFonts w:cs="宋体"/>
          <w:szCs w:val="24"/>
        </w:rPr>
        <w:t xml:space="preserve">9.4.2 </w:t>
      </w:r>
      <w:r>
        <w:rPr>
          <w:rFonts w:hint="eastAsia" w:cs="宋体"/>
          <w:szCs w:val="24"/>
        </w:rPr>
        <w:t>如果工程或区段工程未能通过根据第</w:t>
      </w:r>
      <w:r>
        <w:rPr>
          <w:rFonts w:cs="宋体"/>
          <w:szCs w:val="24"/>
        </w:rPr>
        <w:t>9.3</w:t>
      </w:r>
      <w:r>
        <w:rPr>
          <w:rFonts w:hint="eastAsia" w:cs="宋体"/>
          <w:szCs w:val="24"/>
        </w:rPr>
        <w:t>款</w:t>
      </w:r>
      <w:r>
        <w:rPr>
          <w:rFonts w:cs="宋体"/>
          <w:szCs w:val="24"/>
        </w:rPr>
        <w:t>[</w:t>
      </w:r>
      <w:r>
        <w:rPr>
          <w:rFonts w:hint="eastAsia" w:cs="宋体"/>
          <w:szCs w:val="24"/>
        </w:rPr>
        <w:t>重新试验</w:t>
      </w:r>
      <w:r>
        <w:rPr>
          <w:rFonts w:cs="宋体"/>
          <w:szCs w:val="24"/>
        </w:rPr>
        <w:t>]</w:t>
      </w:r>
      <w:r>
        <w:rPr>
          <w:rFonts w:hint="eastAsia" w:cs="宋体"/>
          <w:szCs w:val="24"/>
        </w:rPr>
        <w:t>重新进行的竣工试验的，则：</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发包人有权要求承包人根据第</w:t>
      </w:r>
      <w:r>
        <w:rPr>
          <w:sz w:val="24"/>
          <w:szCs w:val="24"/>
        </w:rPr>
        <w:t>6.6</w:t>
      </w:r>
      <w:r>
        <w:rPr>
          <w:rFonts w:hint="eastAsia"/>
          <w:sz w:val="24"/>
          <w:szCs w:val="24"/>
        </w:rPr>
        <w:t>款</w:t>
      </w:r>
      <w:r>
        <w:rPr>
          <w:sz w:val="24"/>
          <w:szCs w:val="24"/>
        </w:rPr>
        <w:t>[</w:t>
      </w:r>
      <w:r>
        <w:rPr>
          <w:rFonts w:hint="eastAsia"/>
          <w:sz w:val="24"/>
          <w:szCs w:val="24"/>
        </w:rPr>
        <w:t>缺陷和修补</w:t>
      </w:r>
      <w:r>
        <w:rPr>
          <w:sz w:val="24"/>
          <w:szCs w:val="24"/>
        </w:rPr>
        <w:t>]</w:t>
      </w:r>
      <w:r>
        <w:rPr>
          <w:rFonts w:hint="eastAsia"/>
          <w:sz w:val="24"/>
          <w:szCs w:val="24"/>
        </w:rPr>
        <w:t>继续进行修补和改正，并根据第</w:t>
      </w:r>
      <w:r>
        <w:rPr>
          <w:sz w:val="24"/>
          <w:szCs w:val="24"/>
        </w:rPr>
        <w:t>9.3</w:t>
      </w:r>
      <w:r>
        <w:rPr>
          <w:rFonts w:hint="eastAsia"/>
          <w:sz w:val="24"/>
          <w:szCs w:val="24"/>
        </w:rPr>
        <w:t>款</w:t>
      </w:r>
      <w:r>
        <w:rPr>
          <w:sz w:val="24"/>
          <w:szCs w:val="24"/>
        </w:rPr>
        <w:t>[</w:t>
      </w:r>
      <w:r>
        <w:rPr>
          <w:rFonts w:hint="eastAsia"/>
          <w:sz w:val="24"/>
          <w:szCs w:val="24"/>
        </w:rPr>
        <w:t>重新试验</w:t>
      </w:r>
      <w:r>
        <w:rPr>
          <w:sz w:val="24"/>
          <w:szCs w:val="24"/>
        </w:rPr>
        <w:t>]</w:t>
      </w:r>
      <w:r>
        <w:rPr>
          <w:rFonts w:hint="eastAsia"/>
          <w:sz w:val="24"/>
          <w:szCs w:val="24"/>
        </w:rPr>
        <w:t>再次进行竣工试验；</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pPr>
        <w:spacing w:line="360" w:lineRule="auto"/>
        <w:ind w:firstLine="480" w:firstLineChars="200"/>
        <w:rPr>
          <w:sz w:val="24"/>
          <w:szCs w:val="24"/>
        </w:rPr>
      </w:pPr>
      <w:bookmarkStart w:id="469" w:name="_Ref4621461"/>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未能通过竣工试验，使工程或区段工程的任何主要部分丧失了生产、使用功能时，发包人有权指令承包人更换相关部分，承包人应承担因此增加的费用和误期损害赔偿责任，并赔偿发包人的相应损失</w:t>
      </w:r>
      <w:bookmarkEnd w:id="469"/>
      <w:r>
        <w:rPr>
          <w:rFonts w:hint="eastAsia"/>
          <w:sz w:val="24"/>
          <w:szCs w:val="24"/>
        </w:rPr>
        <w:t>；</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w:t>
      </w:r>
      <w:r>
        <w:rPr>
          <w:sz w:val="24"/>
          <w:szCs w:val="24"/>
        </w:rPr>
        <w:t>16.1</w:t>
      </w:r>
      <w:r>
        <w:rPr>
          <w:rFonts w:hint="eastAsia"/>
          <w:sz w:val="24"/>
          <w:szCs w:val="24"/>
        </w:rPr>
        <w:t>款</w:t>
      </w:r>
      <w:r>
        <w:rPr>
          <w:sz w:val="24"/>
          <w:szCs w:val="24"/>
        </w:rPr>
        <w:t>[</w:t>
      </w:r>
      <w:r>
        <w:rPr>
          <w:rFonts w:hint="eastAsia"/>
          <w:sz w:val="24"/>
          <w:szCs w:val="24"/>
        </w:rPr>
        <w:t>由发包人解除合同</w:t>
      </w:r>
      <w:r>
        <w:rPr>
          <w:sz w:val="24"/>
          <w:szCs w:val="24"/>
        </w:rPr>
        <w:t>]</w:t>
      </w:r>
      <w:r>
        <w:rPr>
          <w:rFonts w:hint="eastAsia"/>
          <w:sz w:val="24"/>
          <w:szCs w:val="24"/>
        </w:rPr>
        <w:t>的约定解除合同。</w:t>
      </w:r>
    </w:p>
    <w:p>
      <w:pPr>
        <w:pStyle w:val="64"/>
        <w:numPr>
          <w:ilvl w:val="0"/>
          <w:numId w:val="0"/>
        </w:numPr>
        <w:spacing w:before="0"/>
        <w:ind w:firstLine="482" w:firstLineChars="200"/>
        <w:rPr>
          <w:rFonts w:ascii="宋体"/>
          <w:b/>
          <w:sz w:val="24"/>
          <w:szCs w:val="24"/>
        </w:rPr>
      </w:pPr>
      <w:bookmarkStart w:id="470" w:name="_Ref4618338"/>
      <w:bookmarkStart w:id="471" w:name="_Ref4618348"/>
      <w:bookmarkStart w:id="472" w:name="_Toc54862263"/>
      <w:bookmarkStart w:id="473" w:name="_Ref4624043"/>
      <w:r>
        <w:rPr>
          <w:rFonts w:hint="eastAsia" w:ascii="宋体" w:hAnsi="宋体"/>
          <w:b/>
          <w:sz w:val="24"/>
          <w:szCs w:val="24"/>
        </w:rPr>
        <w:t>第</w:t>
      </w:r>
      <w:r>
        <w:rPr>
          <w:rFonts w:ascii="宋体" w:hAnsi="宋体"/>
          <w:b/>
          <w:sz w:val="24"/>
          <w:szCs w:val="24"/>
        </w:rPr>
        <w:t>10</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验收和工程接收</w:t>
      </w:r>
      <w:bookmarkEnd w:id="470"/>
      <w:bookmarkEnd w:id="471"/>
      <w:bookmarkEnd w:id="472"/>
      <w:bookmarkEnd w:id="473"/>
    </w:p>
    <w:p>
      <w:pPr>
        <w:pStyle w:val="65"/>
        <w:widowControl/>
        <w:spacing w:afterLines="0"/>
        <w:ind w:left="0" w:firstLine="482" w:firstLineChars="200"/>
        <w:rPr>
          <w:rFonts w:ascii="宋体" w:hAnsi="宋体" w:eastAsia="宋体" w:cs="宋体"/>
          <w:b w:val="0"/>
          <w:bCs/>
        </w:rPr>
      </w:pPr>
      <w:bookmarkStart w:id="474" w:name="_Ref532301199"/>
      <w:bookmarkStart w:id="475" w:name="_Ref532300801"/>
      <w:bookmarkStart w:id="476" w:name="_Toc54862264"/>
      <w:bookmarkStart w:id="477" w:name="_Ref532359152"/>
      <w:bookmarkStart w:id="478" w:name="_Ref532301202"/>
      <w:bookmarkStart w:id="479" w:name="_Ref532359143"/>
      <w:bookmarkStart w:id="480" w:name="_Ref532300804"/>
      <w:r>
        <w:rPr>
          <w:rFonts w:ascii="宋体" w:hAnsi="宋体" w:eastAsia="宋体" w:cs="宋体"/>
        </w:rPr>
        <w:t xml:space="preserve">10.1 </w:t>
      </w:r>
      <w:r>
        <w:rPr>
          <w:rFonts w:hint="eastAsia" w:ascii="宋体" w:hAnsi="宋体" w:eastAsia="宋体" w:cs="宋体"/>
        </w:rPr>
        <w:t>竣工验收</w:t>
      </w:r>
      <w:bookmarkEnd w:id="474"/>
      <w:bookmarkEnd w:id="475"/>
      <w:bookmarkEnd w:id="476"/>
      <w:bookmarkEnd w:id="477"/>
      <w:bookmarkEnd w:id="478"/>
      <w:bookmarkEnd w:id="479"/>
      <w:bookmarkEnd w:id="480"/>
    </w:p>
    <w:p>
      <w:pPr>
        <w:pStyle w:val="66"/>
        <w:spacing w:afterLines="0"/>
        <w:ind w:left="0" w:firstLine="480" w:firstLineChars="200"/>
        <w:rPr>
          <w:rFonts w:cs="宋体"/>
          <w:szCs w:val="24"/>
        </w:rPr>
      </w:pPr>
      <w:bookmarkStart w:id="481" w:name="_Ref532628356"/>
      <w:r>
        <w:rPr>
          <w:rFonts w:cs="宋体"/>
          <w:szCs w:val="24"/>
        </w:rPr>
        <w:t xml:space="preserve">10.1.1 </w:t>
      </w:r>
      <w:r>
        <w:rPr>
          <w:rFonts w:hint="eastAsia" w:cs="宋体"/>
          <w:szCs w:val="24"/>
        </w:rPr>
        <w:t>竣工验收条件</w:t>
      </w:r>
    </w:p>
    <w:p>
      <w:pPr>
        <w:spacing w:line="360" w:lineRule="auto"/>
        <w:ind w:firstLine="480" w:firstLineChars="200"/>
        <w:rPr>
          <w:sz w:val="24"/>
          <w:szCs w:val="24"/>
        </w:rPr>
      </w:pPr>
      <w:r>
        <w:rPr>
          <w:rFonts w:hint="eastAsia"/>
          <w:sz w:val="24"/>
          <w:szCs w:val="24"/>
        </w:rPr>
        <w:t>工程具备以下条件的，承包人可以申请竣工验收：</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除因第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导致的工程量删减和第</w:t>
      </w:r>
      <w:r>
        <w:rPr>
          <w:sz w:val="24"/>
          <w:szCs w:val="24"/>
        </w:rPr>
        <w:t>14.5.3</w:t>
      </w:r>
      <w:r>
        <w:rPr>
          <w:rFonts w:hint="eastAsia"/>
          <w:sz w:val="24"/>
          <w:szCs w:val="24"/>
        </w:rPr>
        <w:t>项</w:t>
      </w:r>
      <w:r>
        <w:rPr>
          <w:sz w:val="24"/>
          <w:szCs w:val="24"/>
        </w:rPr>
        <w:t>[</w:t>
      </w:r>
      <w:r>
        <w:rPr>
          <w:rFonts w:hint="eastAsia"/>
          <w:sz w:val="24"/>
          <w:szCs w:val="24"/>
        </w:rPr>
        <w:t>扫尾工作清单</w:t>
      </w:r>
      <w:r>
        <w:rPr>
          <w:sz w:val="24"/>
          <w:szCs w:val="24"/>
        </w:rPr>
        <w:t>]</w:t>
      </w:r>
      <w:r>
        <w:rPr>
          <w:rFonts w:hint="eastAsia"/>
          <w:sz w:val="24"/>
          <w:szCs w:val="24"/>
        </w:rPr>
        <w:t>列入缺陷责任期内完成的扫尾工程和缺陷修补工作外，合同范围内的全部单位</w:t>
      </w:r>
      <w:r>
        <w:rPr>
          <w:sz w:val="24"/>
          <w:szCs w:val="24"/>
        </w:rPr>
        <w:t>/</w:t>
      </w:r>
      <w:r>
        <w:rPr>
          <w:rFonts w:hint="eastAsia"/>
          <w:sz w:val="24"/>
          <w:szCs w:val="24"/>
        </w:rPr>
        <w:t>区段工程以及有关工作，包括合同要求的试验和竣工试验均已完成，并符合合同要求；</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已按合同约定编制了扫尾工作和缺陷修补工作清单以及相应实施计划；</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已按合同约定的内容和份数备齐竣工资料；</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合同约定要求在竣工验收前应完成的其他工作。</w:t>
      </w:r>
    </w:p>
    <w:bookmarkEnd w:id="481"/>
    <w:p>
      <w:pPr>
        <w:pStyle w:val="66"/>
        <w:spacing w:afterLines="0"/>
        <w:ind w:left="0" w:firstLine="480" w:firstLineChars="200"/>
        <w:rPr>
          <w:rFonts w:cs="宋体"/>
          <w:szCs w:val="24"/>
        </w:rPr>
      </w:pPr>
      <w:bookmarkStart w:id="482" w:name="_Ref4429424"/>
      <w:bookmarkStart w:id="483" w:name="_Hlk51506601"/>
      <w:r>
        <w:rPr>
          <w:rFonts w:cs="宋体"/>
          <w:szCs w:val="24"/>
        </w:rPr>
        <w:t xml:space="preserve">10.1.2 </w:t>
      </w:r>
      <w:r>
        <w:rPr>
          <w:rFonts w:hint="eastAsia" w:cs="宋体"/>
          <w:szCs w:val="24"/>
        </w:rPr>
        <w:t>竣工验收程序</w:t>
      </w:r>
      <w:bookmarkEnd w:id="482"/>
    </w:p>
    <w:bookmarkEnd w:id="483"/>
    <w:p>
      <w:pPr>
        <w:spacing w:line="360" w:lineRule="auto"/>
        <w:ind w:firstLine="480" w:firstLineChars="200"/>
        <w:rPr>
          <w:sz w:val="24"/>
          <w:szCs w:val="24"/>
        </w:rPr>
      </w:pPr>
      <w:r>
        <w:rPr>
          <w:rFonts w:hint="eastAsia"/>
          <w:sz w:val="24"/>
          <w:szCs w:val="24"/>
        </w:rPr>
        <w:t>除专用合同条件另有约定外，承包人申请竣工验收的，应当按照以下程序进行：</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承包人向工程师报送竣工验收申请报告，工程师应在收到竣工验收申请报告后</w:t>
      </w:r>
      <w:r>
        <w:rPr>
          <w:sz w:val="24"/>
          <w:szCs w:val="24"/>
        </w:rPr>
        <w:t>14</w:t>
      </w:r>
      <w:r>
        <w:rPr>
          <w:rFonts w:hint="eastAsia"/>
          <w:sz w:val="24"/>
          <w:szCs w:val="24"/>
        </w:rPr>
        <w:t>天内完成审查并报送发包人。工程师审查后认为尚不具备竣工验收条件的，应在收到竣工验收申请报告后的</w:t>
      </w:r>
      <w:r>
        <w:rPr>
          <w:sz w:val="24"/>
          <w:szCs w:val="24"/>
        </w:rPr>
        <w:t>14</w:t>
      </w:r>
      <w:r>
        <w:rPr>
          <w:rFonts w:hint="eastAsia"/>
          <w:sz w:val="24"/>
          <w:szCs w:val="24"/>
        </w:rPr>
        <w:t>天内通知承包人，指出在颁发接收证书前承包人还需进行的工作内容。承包人完成工程师通知的全部工作内容后，应再次提交竣工验收申请报告，直至工程师同意为止。</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工程师同意承包人提交的竣工验收申请报告的，或工程师收到竣工验收申请报告后</w:t>
      </w:r>
      <w:r>
        <w:rPr>
          <w:sz w:val="24"/>
          <w:szCs w:val="24"/>
        </w:rPr>
        <w:t>14</w:t>
      </w:r>
      <w:r>
        <w:rPr>
          <w:rFonts w:hint="eastAsia"/>
          <w:sz w:val="24"/>
          <w:szCs w:val="24"/>
        </w:rPr>
        <w:t>天内不予答复的，视为发包人收到并同意承包人的竣工验收申请，发包人应在收到该竣工验收申请报告后的</w:t>
      </w:r>
      <w:r>
        <w:rPr>
          <w:sz w:val="24"/>
          <w:szCs w:val="24"/>
        </w:rPr>
        <w:t>28</w:t>
      </w:r>
      <w:r>
        <w:rPr>
          <w:rFonts w:hint="eastAsia"/>
          <w:sz w:val="24"/>
          <w:szCs w:val="24"/>
        </w:rPr>
        <w:t>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80" w:firstLineChars="200"/>
        <w:rPr>
          <w:sz w:val="24"/>
          <w:szCs w:val="24"/>
        </w:rPr>
      </w:pPr>
      <w:bookmarkStart w:id="484" w:name="_Hlk51506640"/>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因发包人原因，未在工程师收到承包人竣工验收申请报告之日起</w:t>
      </w:r>
      <w:r>
        <w:rPr>
          <w:sz w:val="24"/>
          <w:szCs w:val="24"/>
        </w:rPr>
        <w:t>42</w:t>
      </w:r>
      <w:r>
        <w:rPr>
          <w:rFonts w:hint="eastAsia"/>
          <w:sz w:val="24"/>
          <w:szCs w:val="24"/>
        </w:rPr>
        <w:t>天内完成竣工验收的，以承包人提交竣工验收申请报告之日作为工程实际竣工日期。</w:t>
      </w:r>
    </w:p>
    <w:bookmarkEnd w:id="484"/>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工程未经竣工验收，发包人擅自使用的，以转移占有工程之日为实际竣工日期。</w:t>
      </w:r>
    </w:p>
    <w:p>
      <w:pPr>
        <w:spacing w:line="360" w:lineRule="auto"/>
        <w:ind w:firstLine="480" w:firstLineChars="200"/>
        <w:rPr>
          <w:sz w:val="24"/>
          <w:szCs w:val="24"/>
        </w:rPr>
      </w:pPr>
      <w:r>
        <w:rPr>
          <w:rFonts w:hint="eastAsia"/>
          <w:sz w:val="24"/>
          <w:szCs w:val="24"/>
        </w:rPr>
        <w:t>除专用合同条件另有约定外，发包人不按照本项和第</w:t>
      </w:r>
      <w:r>
        <w:rPr>
          <w:sz w:val="24"/>
          <w:szCs w:val="24"/>
        </w:rPr>
        <w:t>10.4</w:t>
      </w:r>
      <w:r>
        <w:rPr>
          <w:rFonts w:hint="eastAsia"/>
          <w:sz w:val="24"/>
          <w:szCs w:val="24"/>
        </w:rPr>
        <w:t>款</w:t>
      </w:r>
      <w:r>
        <w:rPr>
          <w:sz w:val="24"/>
          <w:szCs w:val="24"/>
        </w:rPr>
        <w:t>[</w:t>
      </w:r>
      <w:r>
        <w:rPr>
          <w:rFonts w:hint="eastAsia"/>
          <w:sz w:val="24"/>
          <w:szCs w:val="24"/>
        </w:rPr>
        <w:t>接收证书</w:t>
      </w:r>
      <w:r>
        <w:rPr>
          <w:sz w:val="24"/>
          <w:szCs w:val="24"/>
        </w:rPr>
        <w:t>]</w:t>
      </w:r>
      <w:r>
        <w:rPr>
          <w:rFonts w:hint="eastAsia"/>
          <w:sz w:val="24"/>
          <w:szCs w:val="24"/>
        </w:rPr>
        <w:t>约定组织竣工验收、颁发工程接收证书的，每逾期一天，应以签约合同价为基数，按照贷款市场报价利率（</w:t>
      </w:r>
      <w:r>
        <w:rPr>
          <w:sz w:val="24"/>
          <w:szCs w:val="24"/>
        </w:rPr>
        <w:t>LPR</w:t>
      </w:r>
      <w:r>
        <w:rPr>
          <w:rFonts w:hint="eastAsia"/>
          <w:sz w:val="24"/>
          <w:szCs w:val="24"/>
        </w:rPr>
        <w:t>）支付违约金。</w:t>
      </w:r>
    </w:p>
    <w:p>
      <w:pPr>
        <w:pStyle w:val="65"/>
        <w:widowControl/>
        <w:spacing w:afterLines="0"/>
        <w:ind w:left="0" w:firstLine="482" w:firstLineChars="200"/>
        <w:rPr>
          <w:rFonts w:ascii="宋体" w:hAnsi="宋体" w:eastAsia="宋体" w:cs="宋体"/>
        </w:rPr>
      </w:pPr>
      <w:bookmarkStart w:id="485" w:name="_Ref532301210"/>
      <w:bookmarkStart w:id="486" w:name="_Ref532301213"/>
      <w:bookmarkStart w:id="487" w:name="_Toc54862265"/>
      <w:r>
        <w:rPr>
          <w:rFonts w:ascii="宋体" w:hAnsi="宋体" w:eastAsia="宋体" w:cs="宋体"/>
        </w:rPr>
        <w:t xml:space="preserve">10.2 </w:t>
      </w:r>
      <w:r>
        <w:rPr>
          <w:rFonts w:hint="eastAsia" w:ascii="宋体" w:hAnsi="宋体" w:eastAsia="宋体" w:cs="宋体"/>
        </w:rPr>
        <w:t>单位</w:t>
      </w:r>
      <w:r>
        <w:rPr>
          <w:rFonts w:ascii="宋体" w:hAnsi="宋体" w:eastAsia="宋体" w:cs="宋体"/>
        </w:rPr>
        <w:t>/</w:t>
      </w:r>
      <w:r>
        <w:rPr>
          <w:rFonts w:hint="eastAsia" w:ascii="宋体" w:hAnsi="宋体" w:eastAsia="宋体" w:cs="宋体"/>
        </w:rPr>
        <w:t>区段工程的验收</w:t>
      </w:r>
      <w:bookmarkEnd w:id="485"/>
      <w:bookmarkEnd w:id="486"/>
      <w:bookmarkEnd w:id="487"/>
    </w:p>
    <w:p>
      <w:pPr>
        <w:pStyle w:val="66"/>
        <w:spacing w:afterLines="0"/>
        <w:ind w:left="0" w:firstLine="480" w:firstLineChars="200"/>
        <w:rPr>
          <w:rFonts w:cs="宋体"/>
          <w:szCs w:val="24"/>
        </w:rPr>
      </w:pPr>
      <w:r>
        <w:rPr>
          <w:rFonts w:cs="宋体"/>
          <w:szCs w:val="24"/>
        </w:rPr>
        <w:t xml:space="preserve">10.2.1 </w:t>
      </w:r>
      <w:r>
        <w:rPr>
          <w:rFonts w:hint="eastAsia" w:cs="宋体"/>
          <w:szCs w:val="24"/>
        </w:rPr>
        <w:t>发包人根据项目进度计划安排，在全部工程竣工前需要使用已经竣工的单位</w:t>
      </w:r>
      <w:r>
        <w:rPr>
          <w:rFonts w:cs="宋体"/>
          <w:szCs w:val="24"/>
        </w:rPr>
        <w:t>/</w:t>
      </w:r>
      <w:r>
        <w:rPr>
          <w:rFonts w:hint="eastAsia" w:cs="宋体"/>
          <w:szCs w:val="24"/>
        </w:rPr>
        <w:t>区段工程时，或承包人提出经发包人同意时，可进行单位</w:t>
      </w:r>
      <w:r>
        <w:rPr>
          <w:rFonts w:cs="宋体"/>
          <w:szCs w:val="24"/>
        </w:rPr>
        <w:t>/</w:t>
      </w:r>
      <w:r>
        <w:rPr>
          <w:rFonts w:hint="eastAsia" w:cs="宋体"/>
          <w:szCs w:val="24"/>
        </w:rPr>
        <w:t>区段工程验收。验收的程序可参照第</w:t>
      </w:r>
      <w:r>
        <w:rPr>
          <w:rFonts w:cs="宋体"/>
          <w:szCs w:val="24"/>
        </w:rPr>
        <w:t>10.1</w:t>
      </w:r>
      <w:r>
        <w:rPr>
          <w:rFonts w:hint="eastAsia" w:cs="宋体"/>
          <w:szCs w:val="24"/>
        </w:rPr>
        <w:t>款</w:t>
      </w:r>
      <w:r>
        <w:rPr>
          <w:rFonts w:cs="宋体"/>
          <w:szCs w:val="24"/>
        </w:rPr>
        <w:t>[</w:t>
      </w:r>
      <w:r>
        <w:rPr>
          <w:rFonts w:hint="eastAsia" w:cs="宋体"/>
          <w:szCs w:val="24"/>
        </w:rPr>
        <w:t>竣工验收</w:t>
      </w:r>
      <w:r>
        <w:rPr>
          <w:rFonts w:cs="宋体"/>
          <w:szCs w:val="24"/>
        </w:rPr>
        <w:t>]</w:t>
      </w:r>
      <w:r>
        <w:rPr>
          <w:rFonts w:hint="eastAsia" w:cs="宋体"/>
          <w:szCs w:val="24"/>
        </w:rPr>
        <w:t>的约定进行。验收合格后，由工程师向承包人出具经发包人签认的单位</w:t>
      </w:r>
      <w:r>
        <w:rPr>
          <w:rFonts w:cs="宋体"/>
          <w:szCs w:val="24"/>
        </w:rPr>
        <w:t>/</w:t>
      </w:r>
      <w:r>
        <w:rPr>
          <w:rFonts w:hint="eastAsia" w:cs="宋体"/>
          <w:szCs w:val="24"/>
        </w:rPr>
        <w:t>区段工程验收证书。单位</w:t>
      </w:r>
      <w:r>
        <w:rPr>
          <w:rFonts w:cs="宋体"/>
          <w:szCs w:val="24"/>
        </w:rPr>
        <w:t>/</w:t>
      </w:r>
      <w:r>
        <w:rPr>
          <w:rFonts w:hint="eastAsia" w:cs="宋体"/>
          <w:szCs w:val="24"/>
        </w:rPr>
        <w:t>区段工程的验收成果和结论作为全部工程竣工验收申请报告的附件。</w:t>
      </w:r>
    </w:p>
    <w:p>
      <w:pPr>
        <w:pStyle w:val="66"/>
        <w:spacing w:afterLines="0"/>
        <w:ind w:left="0" w:firstLine="480" w:firstLineChars="200"/>
        <w:rPr>
          <w:rFonts w:cs="宋体"/>
          <w:szCs w:val="24"/>
        </w:rPr>
      </w:pPr>
      <w:r>
        <w:rPr>
          <w:rFonts w:cs="宋体"/>
          <w:szCs w:val="24"/>
        </w:rPr>
        <w:t xml:space="preserve">10.2.2 </w:t>
      </w:r>
      <w:r>
        <w:rPr>
          <w:rFonts w:hint="eastAsia" w:cs="宋体"/>
          <w:szCs w:val="24"/>
        </w:rPr>
        <w:t>发包人在全部工程竣工前，使用已接收的单位</w:t>
      </w:r>
      <w:r>
        <w:rPr>
          <w:rFonts w:cs="宋体"/>
          <w:szCs w:val="24"/>
        </w:rPr>
        <w:t>/</w:t>
      </w:r>
      <w:r>
        <w:rPr>
          <w:rFonts w:hint="eastAsia" w:cs="宋体"/>
          <w:szCs w:val="24"/>
        </w:rPr>
        <w:t>区段工程导致承包人费用增加的，发包人应承担由此增加的费用和（或）工期延误，并支付承包人合理利润。</w:t>
      </w:r>
    </w:p>
    <w:p>
      <w:pPr>
        <w:pStyle w:val="65"/>
        <w:widowControl/>
        <w:spacing w:afterLines="0"/>
        <w:ind w:left="0" w:firstLine="482" w:firstLineChars="200"/>
        <w:rPr>
          <w:rFonts w:ascii="宋体" w:hAnsi="宋体" w:eastAsia="宋体" w:cs="宋体"/>
          <w:b w:val="0"/>
          <w:bCs/>
        </w:rPr>
      </w:pPr>
      <w:bookmarkStart w:id="488" w:name="_Toc54862266"/>
      <w:bookmarkStart w:id="489" w:name="_Ref4429473"/>
      <w:bookmarkStart w:id="490" w:name="_Ref532688354"/>
      <w:bookmarkStart w:id="491" w:name="_Ref532688351"/>
      <w:r>
        <w:rPr>
          <w:rFonts w:ascii="宋体" w:hAnsi="宋体" w:eastAsia="宋体" w:cs="宋体"/>
        </w:rPr>
        <w:t xml:space="preserve">10.3 </w:t>
      </w:r>
      <w:r>
        <w:rPr>
          <w:rFonts w:hint="eastAsia" w:ascii="宋体" w:hAnsi="宋体" w:eastAsia="宋体" w:cs="宋体"/>
        </w:rPr>
        <w:t>工程的接收</w:t>
      </w:r>
      <w:bookmarkEnd w:id="488"/>
    </w:p>
    <w:p>
      <w:pPr>
        <w:pStyle w:val="66"/>
        <w:spacing w:afterLines="0"/>
        <w:ind w:left="0" w:firstLine="480" w:firstLineChars="200"/>
        <w:rPr>
          <w:rFonts w:cs="宋体"/>
          <w:szCs w:val="24"/>
        </w:rPr>
      </w:pPr>
      <w:r>
        <w:rPr>
          <w:rFonts w:cs="宋体"/>
          <w:szCs w:val="24"/>
        </w:rPr>
        <w:t xml:space="preserve">10.3.1 </w:t>
      </w:r>
      <w:r>
        <w:rPr>
          <w:rFonts w:hint="eastAsia" w:cs="宋体"/>
          <w:szCs w:val="24"/>
        </w:rPr>
        <w:t>根据工程项目的具体情况和特点，可按工程或单位</w:t>
      </w:r>
      <w:r>
        <w:rPr>
          <w:rFonts w:cs="宋体"/>
          <w:szCs w:val="24"/>
        </w:rPr>
        <w:t>/</w:t>
      </w:r>
      <w:r>
        <w:rPr>
          <w:rFonts w:hint="eastAsia" w:cs="宋体"/>
          <w:szCs w:val="24"/>
        </w:rPr>
        <w:t>区段工程进行接收，并在专用合同条件约定接收的先后顺序、时间安排和其他要求。</w:t>
      </w:r>
    </w:p>
    <w:p>
      <w:pPr>
        <w:pStyle w:val="66"/>
        <w:spacing w:afterLines="0"/>
        <w:ind w:left="0" w:firstLine="480" w:firstLineChars="200"/>
        <w:rPr>
          <w:rFonts w:cs="宋体"/>
          <w:szCs w:val="24"/>
        </w:rPr>
      </w:pPr>
      <w:r>
        <w:rPr>
          <w:rFonts w:cs="宋体"/>
          <w:szCs w:val="24"/>
        </w:rPr>
        <w:t xml:space="preserve">10.3.2 </w:t>
      </w:r>
      <w:r>
        <w:rPr>
          <w:rFonts w:hint="eastAsia" w:cs="宋体"/>
          <w:szCs w:val="24"/>
        </w:rPr>
        <w:t>除按本条约定已经提交的资料外，接收工程时承包人需提交竣工验收资料的类别、内容、份数和提交时间，在专用合同条件中约定。</w:t>
      </w:r>
    </w:p>
    <w:p>
      <w:pPr>
        <w:pStyle w:val="66"/>
        <w:spacing w:afterLines="0"/>
        <w:ind w:left="0" w:firstLine="480" w:firstLineChars="200"/>
        <w:rPr>
          <w:rFonts w:cs="宋体"/>
          <w:szCs w:val="24"/>
        </w:rPr>
      </w:pPr>
      <w:r>
        <w:rPr>
          <w:rFonts w:cs="宋体"/>
          <w:szCs w:val="24"/>
        </w:rPr>
        <w:t xml:space="preserve">10.3.3 </w:t>
      </w:r>
      <w:r>
        <w:rPr>
          <w:rFonts w:hint="eastAsia" w:cs="宋体"/>
          <w:szCs w:val="24"/>
        </w:rPr>
        <w:t>发包人无正当理由不接收工程的，发包人自应当接收工程之日起，承担工程照管、成品保护、保管等与工程有关的各项费用，合同当事人可以在专用合同条件中另行约定发包人逾期接收工程的违约责任。</w:t>
      </w:r>
    </w:p>
    <w:p>
      <w:pPr>
        <w:pStyle w:val="66"/>
        <w:spacing w:afterLines="0"/>
        <w:ind w:left="0" w:firstLine="480" w:firstLineChars="200"/>
        <w:rPr>
          <w:rFonts w:cs="宋体"/>
          <w:szCs w:val="24"/>
        </w:rPr>
      </w:pPr>
      <w:r>
        <w:rPr>
          <w:rFonts w:cs="宋体"/>
          <w:szCs w:val="24"/>
        </w:rPr>
        <w:t xml:space="preserve">10.3.4 </w:t>
      </w:r>
      <w:r>
        <w:rPr>
          <w:rFonts w:hint="eastAsia" w:cs="宋体"/>
          <w:szCs w:val="24"/>
        </w:rPr>
        <w:t>承包人无正当理由不移交工程的，承包人应承担工程照管、成品保护、保管等与工程有关的各项费用，合同当事人可以在专用合同条件中另行约定承包人无正当理由不移交工程的违约责任。</w:t>
      </w:r>
    </w:p>
    <w:p>
      <w:pPr>
        <w:pStyle w:val="65"/>
        <w:widowControl/>
        <w:spacing w:afterLines="0"/>
        <w:ind w:left="0" w:firstLine="482" w:firstLineChars="200"/>
        <w:rPr>
          <w:rFonts w:ascii="宋体" w:hAnsi="宋体" w:eastAsia="宋体" w:cs="宋体"/>
        </w:rPr>
      </w:pPr>
      <w:bookmarkStart w:id="492" w:name="_Toc54862267"/>
      <w:r>
        <w:rPr>
          <w:rFonts w:ascii="宋体" w:hAnsi="宋体" w:eastAsia="宋体" w:cs="宋体"/>
        </w:rPr>
        <w:t xml:space="preserve">10.4 </w:t>
      </w:r>
      <w:r>
        <w:rPr>
          <w:rFonts w:hint="eastAsia" w:ascii="宋体" w:hAnsi="宋体" w:eastAsia="宋体" w:cs="宋体"/>
        </w:rPr>
        <w:t>接收证书</w:t>
      </w:r>
      <w:bookmarkEnd w:id="489"/>
      <w:bookmarkEnd w:id="492"/>
    </w:p>
    <w:p>
      <w:pPr>
        <w:pStyle w:val="66"/>
        <w:spacing w:afterLines="0"/>
        <w:ind w:left="0" w:firstLine="480" w:firstLineChars="200"/>
        <w:rPr>
          <w:rFonts w:cs="宋体"/>
          <w:szCs w:val="24"/>
        </w:rPr>
      </w:pPr>
      <w:bookmarkStart w:id="493" w:name="_Ref4429542"/>
      <w:r>
        <w:rPr>
          <w:rFonts w:cs="宋体"/>
          <w:szCs w:val="24"/>
        </w:rPr>
        <w:t xml:space="preserve">10.4.1 </w:t>
      </w:r>
      <w:r>
        <w:rPr>
          <w:rFonts w:hint="eastAsia" w:cs="宋体"/>
          <w:szCs w:val="24"/>
        </w:rPr>
        <w:t>除专用合同条件另有约定外，承包人应在竣工验收合格后向发包人提交第</w:t>
      </w:r>
      <w:r>
        <w:rPr>
          <w:rFonts w:cs="宋体"/>
          <w:szCs w:val="24"/>
        </w:rPr>
        <w:t>14.6</w:t>
      </w:r>
      <w:r>
        <w:rPr>
          <w:rFonts w:hint="eastAsia" w:cs="宋体"/>
          <w:szCs w:val="24"/>
        </w:rPr>
        <w:t>款</w:t>
      </w:r>
      <w:r>
        <w:rPr>
          <w:rFonts w:cs="宋体"/>
          <w:szCs w:val="24"/>
        </w:rPr>
        <w:t>[</w:t>
      </w:r>
      <w:r>
        <w:rPr>
          <w:rFonts w:hint="eastAsia" w:cs="宋体"/>
          <w:szCs w:val="24"/>
        </w:rPr>
        <w:t>质量保证金</w:t>
      </w:r>
      <w:r>
        <w:rPr>
          <w:rFonts w:cs="宋体"/>
          <w:szCs w:val="24"/>
        </w:rPr>
        <w:t>]</w:t>
      </w:r>
      <w:r>
        <w:rPr>
          <w:rFonts w:hint="eastAsia" w:cs="宋体"/>
          <w:szCs w:val="24"/>
        </w:rPr>
        <w:t>约定的质量保证金，发包人应在竣工验收合格且工程具备接收条件后的</w:t>
      </w:r>
      <w:r>
        <w:rPr>
          <w:rFonts w:cs="宋体"/>
          <w:szCs w:val="24"/>
        </w:rPr>
        <w:t>14</w:t>
      </w:r>
      <w:r>
        <w:rPr>
          <w:rFonts w:hint="eastAsia" w:cs="宋体"/>
          <w:szCs w:val="24"/>
        </w:rPr>
        <w:t>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bookmarkEnd w:id="493"/>
    </w:p>
    <w:p>
      <w:pPr>
        <w:pStyle w:val="66"/>
        <w:spacing w:afterLines="0"/>
        <w:ind w:left="0" w:firstLine="480" w:firstLineChars="200"/>
        <w:rPr>
          <w:rFonts w:cs="宋体"/>
          <w:szCs w:val="24"/>
        </w:rPr>
      </w:pPr>
      <w:r>
        <w:rPr>
          <w:rFonts w:cs="宋体"/>
          <w:szCs w:val="24"/>
        </w:rPr>
        <w:t xml:space="preserve">10.4.2 </w:t>
      </w:r>
      <w:r>
        <w:rPr>
          <w:rFonts w:hint="eastAsia" w:cs="宋体"/>
          <w:szCs w:val="24"/>
        </w:rPr>
        <w:t>发包人向承包人颁发的接收证书，应注明工程或单位</w:t>
      </w:r>
      <w:r>
        <w:rPr>
          <w:rFonts w:cs="宋体"/>
          <w:szCs w:val="24"/>
        </w:rPr>
        <w:t>/</w:t>
      </w:r>
      <w:r>
        <w:rPr>
          <w:rFonts w:hint="eastAsia" w:cs="宋体"/>
          <w:szCs w:val="24"/>
        </w:rPr>
        <w:t>区段工程经验收合格的实际竣工日期，并列明不在接收范围内的，在收尾工作和缺陷修补完成之前对工程或单位</w:t>
      </w:r>
      <w:r>
        <w:rPr>
          <w:rFonts w:cs="宋体"/>
          <w:szCs w:val="24"/>
        </w:rPr>
        <w:t>/</w:t>
      </w:r>
      <w:r>
        <w:rPr>
          <w:rFonts w:hint="eastAsia" w:cs="宋体"/>
          <w:szCs w:val="24"/>
        </w:rPr>
        <w:t>区段工程预期使用目的没有实质影响的少量收尾工作和缺陷。</w:t>
      </w:r>
    </w:p>
    <w:p>
      <w:pPr>
        <w:pStyle w:val="66"/>
        <w:spacing w:afterLines="0"/>
        <w:ind w:left="0" w:firstLine="480" w:firstLineChars="200"/>
        <w:rPr>
          <w:rFonts w:cs="宋体"/>
          <w:szCs w:val="24"/>
        </w:rPr>
      </w:pPr>
      <w:r>
        <w:rPr>
          <w:rFonts w:cs="宋体"/>
          <w:szCs w:val="24"/>
        </w:rPr>
        <w:t xml:space="preserve">10.4.3 </w:t>
      </w:r>
      <w:r>
        <w:rPr>
          <w:rFonts w:hint="eastAsia" w:cs="宋体"/>
          <w:szCs w:val="24"/>
        </w:rPr>
        <w:t>竣工验收合格而发包人无正当理由逾期不颁发工程接收证书的，自验收合格后第</w:t>
      </w:r>
      <w:r>
        <w:rPr>
          <w:rFonts w:cs="宋体"/>
          <w:szCs w:val="24"/>
        </w:rPr>
        <w:t>15</w:t>
      </w:r>
      <w:r>
        <w:rPr>
          <w:rFonts w:hint="eastAsia" w:cs="宋体"/>
          <w:szCs w:val="24"/>
        </w:rPr>
        <w:t>天起视为已颁发工程接收证书。</w:t>
      </w:r>
    </w:p>
    <w:p>
      <w:pPr>
        <w:pStyle w:val="66"/>
        <w:spacing w:afterLines="0"/>
        <w:ind w:left="0" w:firstLine="480" w:firstLineChars="200"/>
        <w:rPr>
          <w:rFonts w:cs="宋体"/>
          <w:szCs w:val="24"/>
        </w:rPr>
      </w:pPr>
      <w:r>
        <w:rPr>
          <w:rFonts w:cs="宋体"/>
          <w:szCs w:val="24"/>
        </w:rPr>
        <w:t xml:space="preserve">10.4.4 </w:t>
      </w:r>
      <w:r>
        <w:rPr>
          <w:rFonts w:hint="eastAsia" w:cs="宋体"/>
          <w:szCs w:val="24"/>
        </w:rPr>
        <w:t>工程未经验收或验收不合格，发包人擅自使用的，应在转移占有工程后</w:t>
      </w:r>
      <w:r>
        <w:rPr>
          <w:rFonts w:cs="宋体"/>
          <w:szCs w:val="24"/>
        </w:rPr>
        <w:t>7</w:t>
      </w:r>
      <w:r>
        <w:rPr>
          <w:rFonts w:hint="eastAsia" w:cs="宋体"/>
          <w:szCs w:val="24"/>
        </w:rPr>
        <w:t>天内向承包人颁发工程接收证书；发包人无正当理由逾期不颁发工程接收证书的，自转移占有后第</w:t>
      </w:r>
      <w:r>
        <w:rPr>
          <w:rFonts w:cs="宋体"/>
          <w:szCs w:val="24"/>
        </w:rPr>
        <w:t>15</w:t>
      </w:r>
      <w:r>
        <w:rPr>
          <w:rFonts w:hint="eastAsia" w:cs="宋体"/>
          <w:szCs w:val="24"/>
        </w:rPr>
        <w:t>天起视为已颁发工程接收证书。</w:t>
      </w:r>
    </w:p>
    <w:p>
      <w:pPr>
        <w:pStyle w:val="66"/>
        <w:spacing w:afterLines="0"/>
        <w:ind w:left="0" w:firstLine="480" w:firstLineChars="200"/>
        <w:rPr>
          <w:rFonts w:cs="宋体"/>
          <w:szCs w:val="24"/>
        </w:rPr>
      </w:pPr>
      <w:r>
        <w:rPr>
          <w:rFonts w:cs="宋体"/>
          <w:szCs w:val="24"/>
        </w:rPr>
        <w:t xml:space="preserve">10.4.5 </w:t>
      </w:r>
      <w:r>
        <w:rPr>
          <w:rFonts w:hint="eastAsia" w:cs="宋体"/>
          <w:szCs w:val="24"/>
        </w:rPr>
        <w:t>存在扫尾工作的，工程接收证书中应当将第</w:t>
      </w:r>
      <w:r>
        <w:rPr>
          <w:rFonts w:cs="宋体"/>
          <w:szCs w:val="24"/>
        </w:rPr>
        <w:t>14.5.3</w:t>
      </w:r>
      <w:r>
        <w:rPr>
          <w:rFonts w:hint="eastAsia" w:cs="宋体"/>
          <w:szCs w:val="24"/>
        </w:rPr>
        <w:t>项</w:t>
      </w:r>
      <w:r>
        <w:rPr>
          <w:rFonts w:cs="宋体"/>
          <w:szCs w:val="24"/>
        </w:rPr>
        <w:t>[</w:t>
      </w:r>
      <w:r>
        <w:rPr>
          <w:rFonts w:hint="eastAsia" w:cs="宋体"/>
          <w:szCs w:val="24"/>
        </w:rPr>
        <w:t>扫尾工作清单</w:t>
      </w:r>
      <w:r>
        <w:rPr>
          <w:rFonts w:cs="宋体"/>
          <w:szCs w:val="24"/>
        </w:rPr>
        <w:t>]</w:t>
      </w:r>
      <w:r>
        <w:rPr>
          <w:rFonts w:hint="eastAsia" w:cs="宋体"/>
          <w:szCs w:val="24"/>
        </w:rPr>
        <w:t>中约定的扫尾工作清单作为工程接收证书附件。</w:t>
      </w:r>
    </w:p>
    <w:bookmarkEnd w:id="490"/>
    <w:bookmarkEnd w:id="491"/>
    <w:p>
      <w:pPr>
        <w:pStyle w:val="65"/>
        <w:widowControl/>
        <w:spacing w:afterLines="0"/>
        <w:ind w:left="0" w:firstLine="482" w:firstLineChars="200"/>
        <w:rPr>
          <w:rFonts w:ascii="宋体" w:hAnsi="宋体" w:eastAsia="宋体" w:cs="宋体"/>
        </w:rPr>
      </w:pPr>
      <w:bookmarkStart w:id="494" w:name="_Ref4429932"/>
      <w:bookmarkStart w:id="495" w:name="_Toc54862268"/>
      <w:bookmarkStart w:id="496" w:name="_Ref4429935"/>
      <w:r>
        <w:rPr>
          <w:rFonts w:ascii="宋体" w:hAnsi="宋体" w:eastAsia="宋体" w:cs="宋体"/>
        </w:rPr>
        <w:t xml:space="preserve">10.5 </w:t>
      </w:r>
      <w:r>
        <w:rPr>
          <w:rFonts w:hint="eastAsia" w:ascii="宋体" w:hAnsi="宋体" w:eastAsia="宋体" w:cs="宋体"/>
        </w:rPr>
        <w:t>竣工退场</w:t>
      </w:r>
      <w:bookmarkEnd w:id="494"/>
      <w:bookmarkEnd w:id="495"/>
      <w:bookmarkEnd w:id="496"/>
    </w:p>
    <w:p>
      <w:pPr>
        <w:pStyle w:val="66"/>
        <w:spacing w:afterLines="0"/>
        <w:ind w:left="0" w:firstLine="480" w:firstLineChars="200"/>
        <w:rPr>
          <w:rFonts w:cs="宋体"/>
          <w:szCs w:val="24"/>
        </w:rPr>
      </w:pPr>
      <w:bookmarkStart w:id="497" w:name="_Ref4429943"/>
      <w:r>
        <w:rPr>
          <w:rFonts w:cs="宋体"/>
          <w:szCs w:val="24"/>
        </w:rPr>
        <w:t xml:space="preserve">10.5.1 </w:t>
      </w:r>
      <w:r>
        <w:rPr>
          <w:rFonts w:hint="eastAsia" w:cs="宋体"/>
          <w:szCs w:val="24"/>
        </w:rPr>
        <w:t>竣工退场</w:t>
      </w:r>
      <w:bookmarkEnd w:id="497"/>
    </w:p>
    <w:p>
      <w:pPr>
        <w:spacing w:line="360" w:lineRule="auto"/>
        <w:ind w:firstLine="480" w:firstLineChars="200"/>
        <w:rPr>
          <w:sz w:val="24"/>
          <w:szCs w:val="24"/>
        </w:rPr>
      </w:pPr>
      <w:r>
        <w:rPr>
          <w:rFonts w:hint="eastAsia"/>
          <w:sz w:val="24"/>
          <w:szCs w:val="24"/>
        </w:rPr>
        <w:t>颁发工程接收证书后，承包人应对施工现场进行清理，并撤离相关人员，使得施工现场处于以下状态，直至工程师检验合格为止：</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施工现场内残留的垃圾已全部清除出场；</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临时工程已拆除，场地已按合同约定进行清理、平整或复原；</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按合同约定应撤离的人员、承包人提供的施工设备和剩余的材料，包括废弃的施工设备和材料，已按计划撤离施工现场；</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施工现场周边及其附近道路、河道的施工堆积物，已全部清理；</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施工现场其他竣工退场工作已全部完成。</w:t>
      </w:r>
    </w:p>
    <w:p>
      <w:pPr>
        <w:spacing w:line="360" w:lineRule="auto"/>
        <w:ind w:firstLine="480" w:firstLineChars="200"/>
        <w:rPr>
          <w:sz w:val="24"/>
          <w:szCs w:val="24"/>
        </w:rPr>
      </w:pPr>
      <w:r>
        <w:rPr>
          <w:rFonts w:hint="eastAsia"/>
          <w:sz w:val="24"/>
          <w:szCs w:val="24"/>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pPr>
        <w:pStyle w:val="66"/>
        <w:spacing w:afterLines="0"/>
        <w:ind w:left="0" w:firstLine="480" w:firstLineChars="200"/>
        <w:rPr>
          <w:rFonts w:cs="宋体"/>
          <w:szCs w:val="24"/>
        </w:rPr>
      </w:pPr>
      <w:r>
        <w:rPr>
          <w:rFonts w:cs="宋体"/>
          <w:szCs w:val="24"/>
        </w:rPr>
        <w:t xml:space="preserve">10.5.2 </w:t>
      </w:r>
      <w:r>
        <w:rPr>
          <w:rFonts w:hint="eastAsia" w:cs="宋体"/>
          <w:szCs w:val="24"/>
        </w:rPr>
        <w:t>地表还原</w:t>
      </w:r>
    </w:p>
    <w:p>
      <w:pPr>
        <w:spacing w:line="360" w:lineRule="auto"/>
        <w:ind w:firstLine="480" w:firstLineChars="200"/>
        <w:rPr>
          <w:sz w:val="24"/>
          <w:szCs w:val="24"/>
        </w:rPr>
      </w:pPr>
      <w:r>
        <w:rPr>
          <w:rFonts w:hint="eastAsia"/>
          <w:sz w:val="24"/>
          <w:szCs w:val="24"/>
        </w:rPr>
        <w:t>承包人应按合同约定和工程师的要求恢复临时占地及清理场地，否则发包人有权委托其他人恢复或清理，所发生的费用由承包人承担。</w:t>
      </w:r>
    </w:p>
    <w:p>
      <w:pPr>
        <w:pStyle w:val="66"/>
        <w:spacing w:afterLines="0"/>
        <w:ind w:left="0" w:firstLine="480" w:firstLineChars="200"/>
        <w:rPr>
          <w:rFonts w:cs="宋体"/>
          <w:szCs w:val="24"/>
        </w:rPr>
      </w:pPr>
      <w:bookmarkStart w:id="498" w:name="_Ref20159437"/>
      <w:r>
        <w:rPr>
          <w:rFonts w:cs="宋体"/>
          <w:szCs w:val="24"/>
        </w:rPr>
        <w:t>10.5.3</w:t>
      </w:r>
      <w:r>
        <w:rPr>
          <w:rFonts w:cs="宋体"/>
          <w:b/>
          <w:bCs/>
          <w:szCs w:val="24"/>
        </w:rPr>
        <w:t xml:space="preserve"> </w:t>
      </w:r>
      <w:r>
        <w:rPr>
          <w:rFonts w:hint="eastAsia" w:cs="宋体"/>
          <w:szCs w:val="24"/>
        </w:rPr>
        <w:t>人员撤离</w:t>
      </w:r>
      <w:bookmarkEnd w:id="498"/>
    </w:p>
    <w:p>
      <w:pPr>
        <w:spacing w:line="360" w:lineRule="auto"/>
        <w:ind w:firstLine="480" w:firstLineChars="200"/>
        <w:rPr>
          <w:sz w:val="24"/>
          <w:szCs w:val="24"/>
        </w:rPr>
      </w:pPr>
      <w:r>
        <w:rPr>
          <w:rFonts w:hint="eastAsia"/>
          <w:sz w:val="24"/>
          <w:szCs w:val="24"/>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bookmarkEnd w:id="382"/>
    </w:p>
    <w:p>
      <w:pPr>
        <w:pStyle w:val="64"/>
        <w:numPr>
          <w:ilvl w:val="0"/>
          <w:numId w:val="0"/>
        </w:numPr>
        <w:spacing w:before="0"/>
        <w:ind w:firstLine="482" w:firstLineChars="200"/>
        <w:rPr>
          <w:rFonts w:ascii="宋体"/>
          <w:bCs/>
          <w:sz w:val="24"/>
          <w:szCs w:val="24"/>
        </w:rPr>
      </w:pPr>
      <w:bookmarkStart w:id="499" w:name="_Ref4796906"/>
      <w:bookmarkStart w:id="500" w:name="_Toc54862269"/>
      <w:bookmarkStart w:id="501" w:name="_Ref4796909"/>
      <w:bookmarkStart w:id="502" w:name="_Ref531955009"/>
      <w:r>
        <w:rPr>
          <w:rFonts w:hint="eastAsia" w:ascii="宋体" w:hAnsi="宋体"/>
          <w:b/>
          <w:sz w:val="24"/>
          <w:szCs w:val="24"/>
        </w:rPr>
        <w:t>第</w:t>
      </w:r>
      <w:r>
        <w:rPr>
          <w:rFonts w:ascii="宋体" w:hAnsi="宋体"/>
          <w:b/>
          <w:sz w:val="24"/>
          <w:szCs w:val="24"/>
        </w:rPr>
        <w:t>11</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缺陷责任与保修</w:t>
      </w:r>
      <w:bookmarkEnd w:id="499"/>
      <w:bookmarkEnd w:id="500"/>
      <w:bookmarkEnd w:id="501"/>
      <w:bookmarkEnd w:id="502"/>
      <w:r>
        <w:rPr>
          <w:rFonts w:ascii="宋体" w:hAnsi="宋体"/>
          <w:bCs/>
          <w:sz w:val="24"/>
          <w:szCs w:val="24"/>
        </w:rPr>
        <w:t xml:space="preserve"> </w:t>
      </w:r>
    </w:p>
    <w:p>
      <w:pPr>
        <w:pStyle w:val="65"/>
        <w:widowControl/>
        <w:spacing w:afterLines="0"/>
        <w:ind w:left="0" w:firstLine="482" w:firstLineChars="200"/>
        <w:rPr>
          <w:rFonts w:ascii="宋体" w:hAnsi="宋体" w:eastAsia="宋体" w:cs="宋体"/>
        </w:rPr>
      </w:pPr>
      <w:bookmarkStart w:id="503" w:name="_Toc54862270"/>
      <w:bookmarkStart w:id="504" w:name="_Ref531955245"/>
      <w:bookmarkStart w:id="505" w:name="_Ref531955248"/>
      <w:bookmarkStart w:id="506" w:name="_Ref532362928"/>
      <w:bookmarkStart w:id="507" w:name="_Toc296503147"/>
      <w:bookmarkStart w:id="508" w:name="_Toc337558841"/>
      <w:bookmarkStart w:id="509" w:name="_Toc296346648"/>
      <w:r>
        <w:rPr>
          <w:rFonts w:ascii="宋体" w:hAnsi="宋体" w:eastAsia="宋体" w:cs="宋体"/>
        </w:rPr>
        <w:t xml:space="preserve">11.1 </w:t>
      </w:r>
      <w:r>
        <w:rPr>
          <w:rFonts w:hint="eastAsia" w:ascii="宋体" w:hAnsi="宋体" w:eastAsia="宋体" w:cs="宋体"/>
        </w:rPr>
        <w:t>工程保修的原则</w:t>
      </w:r>
      <w:bookmarkEnd w:id="503"/>
    </w:p>
    <w:p>
      <w:pPr>
        <w:spacing w:line="360" w:lineRule="auto"/>
        <w:ind w:firstLine="480" w:firstLineChars="200"/>
        <w:rPr>
          <w:sz w:val="24"/>
          <w:szCs w:val="24"/>
        </w:rPr>
      </w:pPr>
      <w:r>
        <w:rPr>
          <w:rFonts w:hint="eastAsia"/>
          <w:sz w:val="24"/>
          <w:szCs w:val="24"/>
        </w:rPr>
        <w:t>在工程移交发包人后，因承包人原因产生的质量缺陷，承包人应承担质量缺陷责任和保修义务。缺陷责任期届满，承包人仍应按合同约定的工程各部位保修年限承担保修义务。</w:t>
      </w:r>
    </w:p>
    <w:p>
      <w:pPr>
        <w:pStyle w:val="65"/>
        <w:widowControl/>
        <w:spacing w:afterLines="0"/>
        <w:ind w:left="0" w:firstLine="482" w:firstLineChars="200"/>
        <w:rPr>
          <w:rFonts w:ascii="宋体" w:hAnsi="宋体" w:eastAsia="宋体" w:cs="宋体"/>
        </w:rPr>
      </w:pPr>
      <w:bookmarkStart w:id="510" w:name="_Toc54862271"/>
      <w:bookmarkStart w:id="511" w:name="_Ref4430062"/>
      <w:r>
        <w:rPr>
          <w:rFonts w:ascii="宋体" w:hAnsi="宋体" w:eastAsia="宋体" w:cs="宋体"/>
        </w:rPr>
        <w:t xml:space="preserve">11.2 </w:t>
      </w:r>
      <w:r>
        <w:rPr>
          <w:rFonts w:hint="eastAsia" w:ascii="宋体" w:hAnsi="宋体" w:eastAsia="宋体" w:cs="宋体"/>
        </w:rPr>
        <w:t>缺陷责任</w:t>
      </w:r>
      <w:bookmarkEnd w:id="504"/>
      <w:bookmarkEnd w:id="505"/>
      <w:r>
        <w:rPr>
          <w:rFonts w:hint="eastAsia" w:ascii="宋体" w:hAnsi="宋体" w:eastAsia="宋体" w:cs="宋体"/>
        </w:rPr>
        <w:t>期</w:t>
      </w:r>
      <w:bookmarkEnd w:id="506"/>
      <w:bookmarkEnd w:id="510"/>
      <w:bookmarkEnd w:id="511"/>
      <w:r>
        <w:rPr>
          <w:rFonts w:ascii="宋体" w:hAnsi="宋体" w:eastAsia="宋体" w:cs="宋体"/>
        </w:rPr>
        <w:t xml:space="preserve"> </w:t>
      </w:r>
    </w:p>
    <w:p>
      <w:pPr>
        <w:spacing w:line="360" w:lineRule="auto"/>
        <w:ind w:firstLine="480" w:firstLineChars="200"/>
        <w:rPr>
          <w:sz w:val="24"/>
          <w:szCs w:val="24"/>
        </w:rPr>
      </w:pPr>
      <w:r>
        <w:rPr>
          <w:rFonts w:hint="eastAsia"/>
          <w:sz w:val="24"/>
          <w:szCs w:val="24"/>
        </w:rPr>
        <w:t>缺陷责任期原则上从工程竣工验收合格之日起计算，合同当事人应在专用合同条件约定缺陷责任期的具体期限，但该期限最长不超过</w:t>
      </w:r>
      <w:r>
        <w:rPr>
          <w:sz w:val="24"/>
          <w:szCs w:val="24"/>
        </w:rPr>
        <w:t>24</w:t>
      </w:r>
      <w:r>
        <w:rPr>
          <w:rFonts w:hint="eastAsia"/>
          <w:sz w:val="24"/>
          <w:szCs w:val="24"/>
        </w:rPr>
        <w:t>个月。</w:t>
      </w:r>
    </w:p>
    <w:p>
      <w:pPr>
        <w:spacing w:line="360" w:lineRule="auto"/>
        <w:ind w:firstLine="480" w:firstLineChars="200"/>
        <w:rPr>
          <w:sz w:val="24"/>
          <w:szCs w:val="24"/>
        </w:rPr>
      </w:pPr>
      <w:r>
        <w:rPr>
          <w:rFonts w:hint="eastAsia"/>
          <w:sz w:val="24"/>
          <w:szCs w:val="24"/>
        </w:rPr>
        <w:t>单位</w:t>
      </w:r>
      <w:r>
        <w:rPr>
          <w:sz w:val="24"/>
          <w:szCs w:val="24"/>
        </w:rPr>
        <w:t>/</w:t>
      </w:r>
      <w:r>
        <w:rPr>
          <w:rFonts w:hint="eastAsia"/>
          <w:sz w:val="24"/>
          <w:szCs w:val="24"/>
        </w:rPr>
        <w:t>区段工程先于全部工程进行验收，经验收合格并交付使用的，该单位</w:t>
      </w:r>
      <w:r>
        <w:rPr>
          <w:sz w:val="24"/>
          <w:szCs w:val="24"/>
        </w:rPr>
        <w:t>/</w:t>
      </w:r>
      <w:r>
        <w:rPr>
          <w:rFonts w:hint="eastAsia"/>
          <w:sz w:val="24"/>
          <w:szCs w:val="24"/>
        </w:rPr>
        <w:t>区段工程缺陷责任期自单位</w:t>
      </w:r>
      <w:r>
        <w:rPr>
          <w:sz w:val="24"/>
          <w:szCs w:val="24"/>
        </w:rPr>
        <w:t>/</w:t>
      </w:r>
      <w:r>
        <w:rPr>
          <w:rFonts w:hint="eastAsia"/>
          <w:sz w:val="24"/>
          <w:szCs w:val="24"/>
        </w:rPr>
        <w:t>区段工程验收合格之日起算。因发包人原因导致工程未在合同约定期限进行验收，但工程经验收合格的，以承包人提交竣工验收报告之日起算；因发包人原因导致工程未能进行竣工验收的，在承包人提交竣工验收报告</w:t>
      </w:r>
      <w:r>
        <w:rPr>
          <w:sz w:val="24"/>
          <w:szCs w:val="24"/>
        </w:rPr>
        <w:t>90</w:t>
      </w:r>
      <w:r>
        <w:rPr>
          <w:rFonts w:hint="eastAsia"/>
          <w:sz w:val="24"/>
          <w:szCs w:val="24"/>
        </w:rPr>
        <w:t>天后，工程自动进入缺陷责任期；发包人未经竣工验收擅自使用工程的，缺陷责任期自工程转移占有之日起开始计算。</w:t>
      </w:r>
    </w:p>
    <w:p>
      <w:pPr>
        <w:spacing w:line="360" w:lineRule="auto"/>
        <w:ind w:firstLine="480" w:firstLineChars="200"/>
        <w:rPr>
          <w:sz w:val="24"/>
          <w:szCs w:val="24"/>
        </w:rPr>
      </w:pPr>
      <w:r>
        <w:rPr>
          <w:rFonts w:hint="eastAsia"/>
          <w:sz w:val="24"/>
          <w:szCs w:val="24"/>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w:t>
      </w:r>
      <w:r>
        <w:rPr>
          <w:sz w:val="24"/>
          <w:szCs w:val="24"/>
        </w:rPr>
        <w:t>24</w:t>
      </w:r>
      <w:r>
        <w:rPr>
          <w:rFonts w:hint="eastAsia"/>
          <w:sz w:val="24"/>
          <w:szCs w:val="24"/>
        </w:rPr>
        <w:t>个月。</w:t>
      </w:r>
    </w:p>
    <w:p>
      <w:pPr>
        <w:pStyle w:val="65"/>
        <w:widowControl/>
        <w:spacing w:afterLines="0"/>
        <w:ind w:left="0" w:firstLine="482" w:firstLineChars="200"/>
        <w:rPr>
          <w:rFonts w:ascii="宋体" w:hAnsi="宋体" w:eastAsia="宋体" w:cs="宋体"/>
        </w:rPr>
      </w:pPr>
      <w:bookmarkStart w:id="512" w:name="_Toc54862272"/>
      <w:bookmarkStart w:id="513" w:name="_Ref532662486"/>
      <w:bookmarkStart w:id="514" w:name="_Ref532662491"/>
      <w:r>
        <w:rPr>
          <w:rFonts w:ascii="宋体" w:hAnsi="宋体" w:eastAsia="宋体" w:cs="宋体"/>
        </w:rPr>
        <w:t xml:space="preserve">11.3 </w:t>
      </w:r>
      <w:r>
        <w:rPr>
          <w:rFonts w:hint="eastAsia" w:ascii="宋体" w:hAnsi="宋体" w:eastAsia="宋体" w:cs="宋体"/>
        </w:rPr>
        <w:t>缺陷调查</w:t>
      </w:r>
      <w:bookmarkEnd w:id="512"/>
      <w:bookmarkEnd w:id="513"/>
      <w:bookmarkEnd w:id="514"/>
    </w:p>
    <w:p>
      <w:pPr>
        <w:pStyle w:val="66"/>
        <w:spacing w:afterLines="0"/>
        <w:ind w:left="0" w:firstLine="480" w:firstLineChars="200"/>
        <w:rPr>
          <w:rFonts w:cs="宋体"/>
          <w:b/>
          <w:szCs w:val="24"/>
        </w:rPr>
      </w:pPr>
      <w:r>
        <w:rPr>
          <w:rFonts w:cs="宋体"/>
          <w:szCs w:val="24"/>
        </w:rPr>
        <w:t xml:space="preserve">11.3.1 </w:t>
      </w:r>
      <w:r>
        <w:rPr>
          <w:rFonts w:hint="eastAsia" w:cs="宋体"/>
          <w:szCs w:val="24"/>
        </w:rPr>
        <w:t>承包人缺陷调查</w:t>
      </w:r>
    </w:p>
    <w:p>
      <w:pPr>
        <w:spacing w:line="360" w:lineRule="auto"/>
        <w:ind w:firstLine="480" w:firstLineChars="200"/>
        <w:rPr>
          <w:sz w:val="24"/>
          <w:szCs w:val="24"/>
        </w:rPr>
      </w:pPr>
      <w:r>
        <w:rPr>
          <w:rFonts w:hint="eastAsia"/>
          <w:sz w:val="24"/>
          <w:szCs w:val="24"/>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pPr>
        <w:spacing w:line="360" w:lineRule="auto"/>
        <w:ind w:firstLine="480" w:firstLineChars="200"/>
        <w:rPr>
          <w:sz w:val="24"/>
          <w:szCs w:val="24"/>
        </w:rPr>
      </w:pPr>
      <w:r>
        <w:rPr>
          <w:rFonts w:hint="eastAsia"/>
          <w:sz w:val="24"/>
          <w:szCs w:val="24"/>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pPr>
        <w:pStyle w:val="66"/>
        <w:spacing w:afterLines="0"/>
        <w:ind w:left="0" w:firstLine="480" w:firstLineChars="200"/>
        <w:rPr>
          <w:rFonts w:cs="宋体"/>
          <w:szCs w:val="24"/>
        </w:rPr>
      </w:pPr>
      <w:r>
        <w:rPr>
          <w:rFonts w:cs="宋体"/>
          <w:szCs w:val="24"/>
        </w:rPr>
        <w:t xml:space="preserve">11.3.2 </w:t>
      </w:r>
      <w:r>
        <w:rPr>
          <w:rFonts w:hint="eastAsia" w:cs="宋体"/>
          <w:szCs w:val="24"/>
        </w:rPr>
        <w:t>缺陷责任</w:t>
      </w:r>
    </w:p>
    <w:p>
      <w:pPr>
        <w:spacing w:line="360" w:lineRule="auto"/>
        <w:ind w:firstLine="480" w:firstLineChars="200"/>
        <w:rPr>
          <w:sz w:val="24"/>
          <w:szCs w:val="24"/>
        </w:rPr>
      </w:pPr>
      <w:r>
        <w:rPr>
          <w:rFonts w:hint="eastAsia"/>
          <w:sz w:val="24"/>
          <w:szCs w:val="24"/>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pPr>
        <w:pStyle w:val="66"/>
        <w:spacing w:afterLines="0"/>
        <w:ind w:left="0" w:firstLine="480" w:firstLineChars="200"/>
        <w:rPr>
          <w:rFonts w:cs="宋体"/>
          <w:szCs w:val="24"/>
        </w:rPr>
      </w:pPr>
      <w:r>
        <w:rPr>
          <w:rFonts w:cs="宋体"/>
          <w:szCs w:val="24"/>
        </w:rPr>
        <w:t xml:space="preserve">11.3.3 </w:t>
      </w:r>
      <w:r>
        <w:rPr>
          <w:rFonts w:hint="eastAsia" w:cs="宋体"/>
          <w:szCs w:val="24"/>
        </w:rPr>
        <w:t>修复费用</w:t>
      </w:r>
    </w:p>
    <w:p>
      <w:pPr>
        <w:spacing w:line="360" w:lineRule="auto"/>
        <w:ind w:firstLine="480" w:firstLineChars="200"/>
        <w:rPr>
          <w:sz w:val="24"/>
          <w:szCs w:val="24"/>
        </w:rPr>
      </w:pPr>
      <w:r>
        <w:rPr>
          <w:rFonts w:hint="eastAsia"/>
          <w:sz w:val="24"/>
          <w:szCs w:val="24"/>
        </w:rPr>
        <w:t>发包人和承包人应共同查清缺陷或损坏的原因。经查明属承包人原因造成的，应由承包人承担修复的费用。经查验非承包人原因造成的，发包人应承担修复的费用，并支付承包人合理利润。</w:t>
      </w:r>
    </w:p>
    <w:p>
      <w:pPr>
        <w:pStyle w:val="66"/>
        <w:spacing w:afterLines="0"/>
        <w:ind w:left="0" w:firstLine="480" w:firstLineChars="200"/>
        <w:rPr>
          <w:rFonts w:cs="宋体"/>
          <w:szCs w:val="24"/>
        </w:rPr>
      </w:pPr>
      <w:bookmarkStart w:id="515" w:name="_Ref531955041"/>
      <w:r>
        <w:rPr>
          <w:rFonts w:cs="宋体"/>
          <w:szCs w:val="24"/>
        </w:rPr>
        <w:t xml:space="preserve">11.3.4 </w:t>
      </w:r>
      <w:r>
        <w:rPr>
          <w:rFonts w:hint="eastAsia" w:cs="宋体"/>
          <w:szCs w:val="24"/>
        </w:rPr>
        <w:t>修复通知</w:t>
      </w:r>
      <w:bookmarkEnd w:id="515"/>
    </w:p>
    <w:p>
      <w:pPr>
        <w:spacing w:line="360" w:lineRule="auto"/>
        <w:ind w:firstLine="480" w:firstLineChars="200"/>
        <w:rPr>
          <w:sz w:val="24"/>
          <w:szCs w:val="24"/>
        </w:rPr>
      </w:pPr>
      <w:r>
        <w:rPr>
          <w:rFonts w:hint="eastAsia"/>
          <w:sz w:val="24"/>
          <w:szCs w:val="24"/>
        </w:rPr>
        <w:t>在缺陷责任期内，发包人在使用过程中，发现已接收的工程存在缺陷或损坏的，应书面通知承包人予以修复，但情况紧急必须立即修复缺陷或损坏的，发包人可以口头通知承包人并在口头通知后</w:t>
      </w:r>
      <w:r>
        <w:rPr>
          <w:sz w:val="24"/>
          <w:szCs w:val="24"/>
        </w:rPr>
        <w:t>48</w:t>
      </w:r>
      <w:r>
        <w:rPr>
          <w:rFonts w:hint="eastAsia"/>
          <w:sz w:val="24"/>
          <w:szCs w:val="24"/>
        </w:rPr>
        <w:t>小时内书面确认，承包人应在专用合同条件约定的合理期限内到达工程现场并修复缺陷或损坏。</w:t>
      </w:r>
    </w:p>
    <w:p>
      <w:pPr>
        <w:pStyle w:val="66"/>
        <w:spacing w:afterLines="0"/>
        <w:ind w:left="0" w:firstLine="480" w:firstLineChars="200"/>
        <w:rPr>
          <w:rFonts w:cs="宋体"/>
          <w:szCs w:val="24"/>
        </w:rPr>
      </w:pPr>
      <w:r>
        <w:rPr>
          <w:rFonts w:cs="宋体"/>
          <w:szCs w:val="24"/>
        </w:rPr>
        <w:t>11.3.5</w:t>
      </w:r>
      <w:r>
        <w:rPr>
          <w:rFonts w:cs="宋体"/>
          <w:b/>
          <w:bCs/>
          <w:szCs w:val="24"/>
        </w:rPr>
        <w:t xml:space="preserve"> </w:t>
      </w:r>
      <w:r>
        <w:rPr>
          <w:rFonts w:hint="eastAsia" w:cs="宋体"/>
          <w:szCs w:val="24"/>
        </w:rPr>
        <w:t>在现场外修复</w:t>
      </w:r>
    </w:p>
    <w:p>
      <w:pPr>
        <w:spacing w:line="360" w:lineRule="auto"/>
        <w:ind w:firstLine="480" w:firstLineChars="200"/>
        <w:rPr>
          <w:sz w:val="24"/>
          <w:szCs w:val="24"/>
        </w:rPr>
      </w:pPr>
      <w:r>
        <w:rPr>
          <w:rFonts w:hint="eastAsia"/>
          <w:sz w:val="24"/>
          <w:szCs w:val="24"/>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pPr>
        <w:pStyle w:val="66"/>
        <w:spacing w:afterLines="0"/>
        <w:ind w:left="0" w:firstLine="480" w:firstLineChars="200"/>
        <w:rPr>
          <w:rFonts w:cs="宋体"/>
          <w:szCs w:val="24"/>
        </w:rPr>
      </w:pPr>
      <w:bookmarkStart w:id="516" w:name="_Ref4534291"/>
      <w:bookmarkStart w:id="517" w:name="_Hlk51506786"/>
      <w:r>
        <w:rPr>
          <w:rFonts w:cs="宋体"/>
          <w:szCs w:val="24"/>
        </w:rPr>
        <w:t xml:space="preserve">11.3.6 </w:t>
      </w:r>
      <w:r>
        <w:rPr>
          <w:rFonts w:hint="eastAsia" w:cs="宋体"/>
          <w:szCs w:val="24"/>
        </w:rPr>
        <w:t>未能修复</w:t>
      </w:r>
      <w:bookmarkEnd w:id="516"/>
    </w:p>
    <w:bookmarkEnd w:id="517"/>
    <w:p>
      <w:pPr>
        <w:spacing w:line="360" w:lineRule="auto"/>
        <w:ind w:firstLine="480" w:firstLineChars="200"/>
        <w:rPr>
          <w:sz w:val="24"/>
          <w:szCs w:val="24"/>
        </w:rPr>
      </w:pPr>
      <w:r>
        <w:rPr>
          <w:rFonts w:hint="eastAsia"/>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ind w:firstLine="480" w:firstLineChars="200"/>
        <w:rPr>
          <w:sz w:val="24"/>
          <w:szCs w:val="24"/>
        </w:rPr>
      </w:pPr>
      <w:r>
        <w:rPr>
          <w:rFonts w:hint="eastAsia"/>
          <w:sz w:val="24"/>
          <w:szCs w:val="24"/>
        </w:rPr>
        <w:t>如果工程或工程设备的缺陷或损害使发包人实质上失去了工程的整体功能，发包人有权向承包人追回已支付的工程款项，并要求其赔偿发包人相应损失。</w:t>
      </w:r>
    </w:p>
    <w:bookmarkEnd w:id="507"/>
    <w:bookmarkEnd w:id="508"/>
    <w:bookmarkEnd w:id="509"/>
    <w:p>
      <w:pPr>
        <w:pStyle w:val="65"/>
        <w:widowControl/>
        <w:spacing w:afterLines="0"/>
        <w:ind w:left="0" w:firstLine="480" w:firstLineChars="200"/>
        <w:rPr>
          <w:rFonts w:ascii="宋体" w:hAnsi="宋体" w:eastAsia="宋体" w:cs="宋体"/>
          <w:b w:val="0"/>
          <w:bCs/>
        </w:rPr>
      </w:pPr>
      <w:bookmarkStart w:id="518" w:name="_Ref532662552"/>
      <w:bookmarkStart w:id="519" w:name="_Ref532662554"/>
      <w:bookmarkStart w:id="520" w:name="_Toc54862273"/>
      <w:r>
        <w:rPr>
          <w:rFonts w:ascii="宋体" w:hAnsi="宋体" w:eastAsia="宋体" w:cs="宋体"/>
          <w:b w:val="0"/>
          <w:bCs/>
        </w:rPr>
        <w:t xml:space="preserve">11.4 </w:t>
      </w:r>
      <w:r>
        <w:rPr>
          <w:rFonts w:hint="eastAsia" w:ascii="宋体" w:hAnsi="宋体" w:eastAsia="宋体" w:cs="宋体"/>
          <w:b w:val="0"/>
          <w:bCs/>
        </w:rPr>
        <w:t>缺陷修复后的进一步试验</w:t>
      </w:r>
      <w:bookmarkEnd w:id="518"/>
      <w:bookmarkEnd w:id="519"/>
      <w:bookmarkEnd w:id="520"/>
    </w:p>
    <w:p>
      <w:pPr>
        <w:spacing w:line="360" w:lineRule="auto"/>
        <w:ind w:firstLine="480" w:firstLineChars="200"/>
        <w:rPr>
          <w:sz w:val="24"/>
          <w:szCs w:val="24"/>
        </w:rPr>
      </w:pPr>
      <w:r>
        <w:rPr>
          <w:rFonts w:hint="eastAsia"/>
          <w:sz w:val="24"/>
          <w:szCs w:val="24"/>
        </w:rPr>
        <w:t>任何一项缺陷修补后的</w:t>
      </w:r>
      <w:r>
        <w:rPr>
          <w:sz w:val="24"/>
          <w:szCs w:val="24"/>
        </w:rPr>
        <w:t>7</w:t>
      </w:r>
      <w:r>
        <w:rPr>
          <w:rFonts w:hint="eastAsia"/>
          <w:sz w:val="24"/>
          <w:szCs w:val="24"/>
        </w:rPr>
        <w:t>天内，承包人应向发包人发出通知，告知已修补的情况。如根据第</w:t>
      </w:r>
      <w:r>
        <w:rPr>
          <w:sz w:val="24"/>
          <w:szCs w:val="24"/>
        </w:rPr>
        <w:t>9</w:t>
      </w:r>
      <w:r>
        <w:rPr>
          <w:rFonts w:hint="eastAsia"/>
          <w:sz w:val="24"/>
          <w:szCs w:val="24"/>
        </w:rPr>
        <w:t>条</w:t>
      </w:r>
      <w:r>
        <w:rPr>
          <w:sz w:val="24"/>
          <w:szCs w:val="24"/>
        </w:rPr>
        <w:t>[</w:t>
      </w:r>
      <w:r>
        <w:rPr>
          <w:rFonts w:hint="eastAsia"/>
          <w:sz w:val="24"/>
          <w:szCs w:val="24"/>
        </w:rPr>
        <w:t>竣工试验</w:t>
      </w:r>
      <w:r>
        <w:rPr>
          <w:sz w:val="24"/>
          <w:szCs w:val="24"/>
        </w:rPr>
        <w:t>]</w:t>
      </w:r>
      <w:r>
        <w:rPr>
          <w:rFonts w:hint="eastAsia"/>
          <w:sz w:val="24"/>
          <w:szCs w:val="24"/>
        </w:rPr>
        <w:t>或第</w:t>
      </w:r>
      <w:r>
        <w:rPr>
          <w:sz w:val="24"/>
          <w:szCs w:val="24"/>
        </w:rPr>
        <w:t>12</w:t>
      </w:r>
      <w:r>
        <w:rPr>
          <w:rFonts w:hint="eastAsia"/>
          <w:sz w:val="24"/>
          <w:szCs w:val="24"/>
        </w:rPr>
        <w:t>条</w:t>
      </w:r>
      <w:r>
        <w:rPr>
          <w:sz w:val="24"/>
          <w:szCs w:val="24"/>
        </w:rPr>
        <w:t>[</w:t>
      </w:r>
      <w:r>
        <w:rPr>
          <w:rFonts w:hint="eastAsia"/>
          <w:sz w:val="24"/>
          <w:szCs w:val="24"/>
        </w:rPr>
        <w:t>竣工后试验</w:t>
      </w:r>
      <w:r>
        <w:rPr>
          <w:sz w:val="24"/>
          <w:szCs w:val="24"/>
        </w:rPr>
        <w:t>]</w:t>
      </w:r>
      <w:r>
        <w:rPr>
          <w:rFonts w:hint="eastAsia"/>
          <w:sz w:val="24"/>
          <w:szCs w:val="24"/>
        </w:rPr>
        <w:t>的规定适用重新试验的，还应建议重新试验。发包人应在收到重新试验的通知后</w:t>
      </w:r>
      <w:r>
        <w:rPr>
          <w:sz w:val="24"/>
          <w:szCs w:val="24"/>
        </w:rPr>
        <w:t>14</w:t>
      </w:r>
      <w:r>
        <w:rPr>
          <w:rFonts w:hint="eastAsia"/>
          <w:sz w:val="24"/>
          <w:szCs w:val="24"/>
        </w:rPr>
        <w:t>天内答复，逾期未进行答复的视为同意重新试验。承包人未建议重新试验的，发包人也可在缺陷修补后的</w:t>
      </w:r>
      <w:r>
        <w:rPr>
          <w:sz w:val="24"/>
          <w:szCs w:val="24"/>
        </w:rPr>
        <w:t>14</w:t>
      </w:r>
      <w:r>
        <w:rPr>
          <w:rFonts w:hint="eastAsia"/>
          <w:sz w:val="24"/>
          <w:szCs w:val="24"/>
        </w:rPr>
        <w:t>天内指示进行必要的重新试验，以证明已修复的部分符合合同要求。</w:t>
      </w:r>
    </w:p>
    <w:p>
      <w:pPr>
        <w:spacing w:line="360" w:lineRule="auto"/>
        <w:ind w:firstLine="480" w:firstLineChars="200"/>
        <w:rPr>
          <w:sz w:val="24"/>
          <w:szCs w:val="24"/>
        </w:rPr>
      </w:pPr>
      <w:r>
        <w:rPr>
          <w:rFonts w:hint="eastAsia"/>
          <w:sz w:val="24"/>
          <w:szCs w:val="24"/>
        </w:rPr>
        <w:t>所有的重复试验应按照适用于先前试验的条款进行，但应由责任方承担修补工作的成本和重新试验的风险和费用。</w:t>
      </w:r>
    </w:p>
    <w:p>
      <w:pPr>
        <w:pStyle w:val="65"/>
        <w:widowControl/>
        <w:spacing w:afterLines="0"/>
        <w:ind w:left="0" w:firstLine="482" w:firstLineChars="200"/>
        <w:rPr>
          <w:rFonts w:ascii="宋体" w:hAnsi="宋体" w:eastAsia="宋体" w:cs="宋体"/>
        </w:rPr>
      </w:pPr>
      <w:bookmarkStart w:id="521" w:name="_Toc54862274"/>
      <w:r>
        <w:rPr>
          <w:rFonts w:ascii="宋体" w:hAnsi="宋体" w:eastAsia="宋体" w:cs="宋体"/>
        </w:rPr>
        <w:t xml:space="preserve">11.5 </w:t>
      </w:r>
      <w:r>
        <w:rPr>
          <w:rFonts w:hint="eastAsia" w:ascii="宋体" w:hAnsi="宋体" w:eastAsia="宋体" w:cs="宋体"/>
        </w:rPr>
        <w:t>承包人出入权</w:t>
      </w:r>
      <w:bookmarkEnd w:id="521"/>
    </w:p>
    <w:p>
      <w:pPr>
        <w:spacing w:line="360" w:lineRule="auto"/>
        <w:ind w:firstLine="480" w:firstLineChars="200"/>
        <w:rPr>
          <w:sz w:val="24"/>
          <w:szCs w:val="24"/>
        </w:rPr>
      </w:pPr>
      <w:r>
        <w:rPr>
          <w:rFonts w:hint="eastAsia"/>
          <w:sz w:val="24"/>
          <w:szCs w:val="24"/>
        </w:rPr>
        <w:t>在缺陷责任期内，为了修复缺陷或损坏，承包人有权出入工程现场，除情况紧急必须立即修复缺陷或损坏外，承包人应提前</w:t>
      </w:r>
      <w:r>
        <w:rPr>
          <w:sz w:val="24"/>
          <w:szCs w:val="24"/>
        </w:rPr>
        <w:t>24</w:t>
      </w:r>
      <w:r>
        <w:rPr>
          <w:rFonts w:hint="eastAsia"/>
          <w:sz w:val="24"/>
          <w:szCs w:val="24"/>
        </w:rPr>
        <w:t>小时通知发包人进场修复的时间。承包人进入工程现场前应获得发包人同意，且不应影响发包人正常的生产经营，并应遵守发包人有关安保和保密等规定。</w:t>
      </w:r>
    </w:p>
    <w:p>
      <w:pPr>
        <w:pStyle w:val="65"/>
        <w:widowControl/>
        <w:spacing w:afterLines="0"/>
        <w:ind w:left="0" w:firstLine="482" w:firstLineChars="200"/>
        <w:rPr>
          <w:rFonts w:ascii="宋体" w:hAnsi="宋体" w:eastAsia="宋体" w:cs="宋体"/>
        </w:rPr>
      </w:pPr>
      <w:bookmarkStart w:id="522" w:name="_Ref4430229"/>
      <w:bookmarkStart w:id="523" w:name="_Toc54862275"/>
      <w:bookmarkStart w:id="524" w:name="_Ref4430223"/>
      <w:r>
        <w:rPr>
          <w:rFonts w:ascii="宋体" w:hAnsi="宋体" w:eastAsia="宋体" w:cs="宋体"/>
        </w:rPr>
        <w:t xml:space="preserve">11.6 </w:t>
      </w:r>
      <w:r>
        <w:rPr>
          <w:rFonts w:hint="eastAsia" w:ascii="宋体" w:hAnsi="宋体" w:eastAsia="宋体" w:cs="宋体"/>
        </w:rPr>
        <w:t>缺陷责任期终止证书</w:t>
      </w:r>
      <w:bookmarkEnd w:id="522"/>
      <w:bookmarkEnd w:id="523"/>
      <w:bookmarkEnd w:id="524"/>
    </w:p>
    <w:p>
      <w:pPr>
        <w:spacing w:line="360" w:lineRule="auto"/>
        <w:ind w:firstLine="480" w:firstLineChars="200"/>
        <w:rPr>
          <w:sz w:val="24"/>
          <w:szCs w:val="24"/>
        </w:rPr>
      </w:pPr>
      <w:r>
        <w:rPr>
          <w:rFonts w:hint="eastAsia"/>
          <w:sz w:val="24"/>
          <w:szCs w:val="24"/>
        </w:rPr>
        <w:t>除专用合同条件另有约定外，</w:t>
      </w:r>
      <w:bookmarkStart w:id="525" w:name="_Hlk4686672"/>
      <w:r>
        <w:rPr>
          <w:rFonts w:hint="eastAsia"/>
          <w:sz w:val="24"/>
          <w:szCs w:val="24"/>
        </w:rPr>
        <w:t>承包人应于缺陷责任期届满前</w:t>
      </w:r>
      <w:r>
        <w:rPr>
          <w:sz w:val="24"/>
          <w:szCs w:val="24"/>
        </w:rPr>
        <w:t>7</w:t>
      </w:r>
      <w:r>
        <w:rPr>
          <w:rFonts w:hint="eastAsia"/>
          <w:sz w:val="24"/>
          <w:szCs w:val="24"/>
        </w:rPr>
        <w:t>天内向发包人发出缺陷责任期即将届满通知，发包人应在收到通知后</w:t>
      </w:r>
      <w:r>
        <w:rPr>
          <w:sz w:val="24"/>
          <w:szCs w:val="24"/>
        </w:rPr>
        <w:t>7</w:t>
      </w:r>
      <w:r>
        <w:rPr>
          <w:rFonts w:hint="eastAsia"/>
          <w:sz w:val="24"/>
          <w:szCs w:val="24"/>
        </w:rPr>
        <w:t>天内核实承包人是否履行缺陷修复义务，承包人未能履行缺陷修复义务的，发包人有权扣除相应金额的维修费用。发包人应在缺陷责任期届满之日，向承包人颁发缺陷责任期终止证书，并按第</w:t>
      </w:r>
      <w:r>
        <w:rPr>
          <w:sz w:val="24"/>
          <w:szCs w:val="24"/>
        </w:rPr>
        <w:t>14.6.3</w:t>
      </w:r>
      <w:r>
        <w:rPr>
          <w:rFonts w:hint="eastAsia"/>
          <w:sz w:val="24"/>
          <w:szCs w:val="24"/>
        </w:rPr>
        <w:t>项</w:t>
      </w:r>
      <w:r>
        <w:rPr>
          <w:sz w:val="24"/>
          <w:szCs w:val="24"/>
        </w:rPr>
        <w:t>[</w:t>
      </w:r>
      <w:r>
        <w:rPr>
          <w:rFonts w:hint="eastAsia"/>
          <w:sz w:val="24"/>
          <w:szCs w:val="24"/>
        </w:rPr>
        <w:t>质量保证金的返还</w:t>
      </w:r>
      <w:r>
        <w:rPr>
          <w:sz w:val="24"/>
          <w:szCs w:val="24"/>
        </w:rPr>
        <w:t>]</w:t>
      </w:r>
      <w:r>
        <w:rPr>
          <w:rFonts w:hint="eastAsia"/>
          <w:sz w:val="24"/>
          <w:szCs w:val="24"/>
        </w:rPr>
        <w:t>返还质量保证金。</w:t>
      </w:r>
      <w:bookmarkEnd w:id="525"/>
    </w:p>
    <w:p>
      <w:pPr>
        <w:spacing w:line="360" w:lineRule="auto"/>
        <w:ind w:firstLine="480" w:firstLineChars="200"/>
        <w:rPr>
          <w:sz w:val="24"/>
          <w:szCs w:val="24"/>
        </w:rPr>
      </w:pPr>
      <w:r>
        <w:rPr>
          <w:rFonts w:hint="eastAsia"/>
          <w:sz w:val="24"/>
          <w:szCs w:val="24"/>
        </w:rPr>
        <w:t>如根据第</w:t>
      </w:r>
      <w:r>
        <w:rPr>
          <w:sz w:val="24"/>
          <w:szCs w:val="24"/>
        </w:rPr>
        <w:t>10.5.3</w:t>
      </w:r>
      <w:r>
        <w:rPr>
          <w:rFonts w:hint="eastAsia"/>
          <w:sz w:val="24"/>
          <w:szCs w:val="24"/>
        </w:rPr>
        <w:t>项</w:t>
      </w:r>
      <w:r>
        <w:rPr>
          <w:sz w:val="24"/>
          <w:szCs w:val="24"/>
        </w:rPr>
        <w:t>[</w:t>
      </w:r>
      <w:r>
        <w:rPr>
          <w:rFonts w:hint="eastAsia"/>
          <w:sz w:val="24"/>
          <w:szCs w:val="24"/>
        </w:rPr>
        <w:t>人员撤离</w:t>
      </w:r>
      <w:r>
        <w:rPr>
          <w:sz w:val="24"/>
          <w:szCs w:val="24"/>
        </w:rPr>
        <w:t>]</w:t>
      </w:r>
      <w:r>
        <w:rPr>
          <w:rFonts w:hint="eastAsia"/>
          <w:sz w:val="24"/>
          <w:szCs w:val="24"/>
        </w:rPr>
        <w:t>承包人在施工现场还留有人员、施工设备和临时工程的，承包人应当在收到缺陷责任期终止证书后</w:t>
      </w:r>
      <w:r>
        <w:rPr>
          <w:sz w:val="24"/>
          <w:szCs w:val="24"/>
        </w:rPr>
        <w:t>28</w:t>
      </w:r>
      <w:r>
        <w:rPr>
          <w:rFonts w:hint="eastAsia"/>
          <w:sz w:val="24"/>
          <w:szCs w:val="24"/>
        </w:rPr>
        <w:t>天内，将上述人员、施工设备和临时工程撤离施工现场。</w:t>
      </w:r>
    </w:p>
    <w:p>
      <w:pPr>
        <w:pStyle w:val="65"/>
        <w:widowControl/>
        <w:spacing w:afterLines="0"/>
        <w:ind w:left="0" w:firstLine="482" w:firstLineChars="200"/>
        <w:rPr>
          <w:rFonts w:ascii="宋体" w:hAnsi="宋体" w:eastAsia="宋体" w:cs="宋体"/>
        </w:rPr>
      </w:pPr>
      <w:bookmarkStart w:id="526" w:name="_Toc54862276"/>
      <w:bookmarkStart w:id="527" w:name="_Ref4430272"/>
      <w:r>
        <w:rPr>
          <w:rFonts w:ascii="宋体" w:hAnsi="宋体" w:eastAsia="宋体" w:cs="宋体"/>
        </w:rPr>
        <w:t xml:space="preserve">11.7 </w:t>
      </w:r>
      <w:r>
        <w:rPr>
          <w:rFonts w:hint="eastAsia" w:ascii="宋体" w:hAnsi="宋体" w:eastAsia="宋体" w:cs="宋体"/>
        </w:rPr>
        <w:t>保修责任</w:t>
      </w:r>
      <w:bookmarkEnd w:id="526"/>
      <w:bookmarkEnd w:id="527"/>
    </w:p>
    <w:p>
      <w:pPr>
        <w:spacing w:line="360" w:lineRule="auto"/>
        <w:ind w:firstLine="480" w:firstLineChars="200"/>
        <w:rPr>
          <w:sz w:val="24"/>
          <w:szCs w:val="24"/>
        </w:rPr>
      </w:pPr>
      <w:r>
        <w:rPr>
          <w:rFonts w:hint="eastAsia"/>
          <w:sz w:val="24"/>
          <w:szCs w:val="24"/>
        </w:rPr>
        <w:t>因承包人原因导致的质量缺陷责任，由合同当事人根据有关法律规定，在专用合同条件和工程质量保修书中约定工程质量保修范围、期限和责任。</w:t>
      </w:r>
      <w:bookmarkEnd w:id="374"/>
      <w:bookmarkStart w:id="528" w:name="_Ref531957860"/>
      <w:bookmarkStart w:id="529" w:name="_Ref531958289"/>
    </w:p>
    <w:bookmarkEnd w:id="528"/>
    <w:p>
      <w:pPr>
        <w:pStyle w:val="64"/>
        <w:numPr>
          <w:ilvl w:val="0"/>
          <w:numId w:val="0"/>
        </w:numPr>
        <w:spacing w:before="0"/>
        <w:ind w:firstLine="482" w:firstLineChars="200"/>
        <w:rPr>
          <w:rFonts w:ascii="宋体"/>
          <w:b/>
          <w:sz w:val="24"/>
          <w:szCs w:val="24"/>
        </w:rPr>
      </w:pPr>
      <w:bookmarkStart w:id="530" w:name="_Ref4621057"/>
      <w:bookmarkStart w:id="531" w:name="_Ref4621065"/>
      <w:bookmarkStart w:id="532" w:name="_Toc54862277"/>
      <w:bookmarkStart w:id="533" w:name="_Ref4796955"/>
      <w:bookmarkStart w:id="534" w:name="_Ref4796958"/>
      <w:r>
        <w:rPr>
          <w:rFonts w:hint="eastAsia" w:ascii="宋体" w:hAnsi="宋体"/>
          <w:b/>
          <w:sz w:val="24"/>
          <w:szCs w:val="24"/>
        </w:rPr>
        <w:t>第</w:t>
      </w:r>
      <w:r>
        <w:rPr>
          <w:rFonts w:ascii="宋体" w:hAnsi="宋体"/>
          <w:b/>
          <w:sz w:val="24"/>
          <w:szCs w:val="24"/>
        </w:rPr>
        <w:t>12</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竣工后试验</w:t>
      </w:r>
      <w:bookmarkEnd w:id="530"/>
      <w:bookmarkEnd w:id="531"/>
      <w:bookmarkEnd w:id="532"/>
    </w:p>
    <w:p>
      <w:pPr>
        <w:spacing w:line="360" w:lineRule="auto"/>
        <w:ind w:firstLine="480" w:firstLineChars="200"/>
        <w:rPr>
          <w:sz w:val="24"/>
          <w:szCs w:val="24"/>
        </w:rPr>
      </w:pPr>
      <w:r>
        <w:rPr>
          <w:rFonts w:hint="eastAsia"/>
          <w:sz w:val="24"/>
          <w:szCs w:val="24"/>
        </w:rPr>
        <w:t>本合同工程包含竣工后试验的，遵守本条约定。</w:t>
      </w:r>
    </w:p>
    <w:p>
      <w:pPr>
        <w:pStyle w:val="65"/>
        <w:widowControl/>
        <w:spacing w:afterLines="0"/>
        <w:ind w:left="0" w:firstLine="482" w:firstLineChars="200"/>
        <w:rPr>
          <w:rFonts w:ascii="宋体" w:hAnsi="宋体" w:eastAsia="宋体" w:cs="宋体"/>
        </w:rPr>
      </w:pPr>
      <w:bookmarkStart w:id="535" w:name="_Ref531954601"/>
      <w:bookmarkStart w:id="536" w:name="_Ref531954604"/>
      <w:bookmarkStart w:id="537" w:name="_Toc54862278"/>
      <w:bookmarkStart w:id="538" w:name="_Ref531954694"/>
      <w:bookmarkStart w:id="539" w:name="_Hlk522259976"/>
      <w:r>
        <w:rPr>
          <w:rFonts w:ascii="宋体" w:hAnsi="宋体" w:eastAsia="宋体" w:cs="宋体"/>
        </w:rPr>
        <w:t xml:space="preserve">12.1 </w:t>
      </w:r>
      <w:r>
        <w:rPr>
          <w:rFonts w:hint="eastAsia" w:ascii="宋体" w:hAnsi="宋体" w:eastAsia="宋体" w:cs="宋体"/>
        </w:rPr>
        <w:t>竣工后试验</w:t>
      </w:r>
      <w:bookmarkEnd w:id="535"/>
      <w:bookmarkEnd w:id="536"/>
      <w:r>
        <w:rPr>
          <w:rFonts w:hint="eastAsia" w:ascii="宋体" w:hAnsi="宋体" w:eastAsia="宋体" w:cs="宋体"/>
        </w:rPr>
        <w:t>的程序</w:t>
      </w:r>
      <w:bookmarkEnd w:id="537"/>
      <w:bookmarkEnd w:id="538"/>
    </w:p>
    <w:p>
      <w:pPr>
        <w:pStyle w:val="66"/>
        <w:spacing w:afterLines="0"/>
        <w:ind w:left="0" w:firstLine="480" w:firstLineChars="200"/>
        <w:rPr>
          <w:rFonts w:cs="宋体"/>
          <w:szCs w:val="24"/>
        </w:rPr>
      </w:pPr>
      <w:bookmarkStart w:id="540" w:name="_Ref11920184"/>
      <w:r>
        <w:rPr>
          <w:rFonts w:cs="宋体"/>
          <w:szCs w:val="24"/>
        </w:rPr>
        <w:t xml:space="preserve">12.1.1 </w:t>
      </w:r>
      <w:r>
        <w:rPr>
          <w:rFonts w:hint="eastAsia" w:cs="宋体"/>
          <w:szCs w:val="24"/>
        </w:rPr>
        <w:t>工程或区段工程被发包人接收后，在合理可行的情况下应根据合同约定尽早进行竣工后试验。</w:t>
      </w:r>
      <w:bookmarkEnd w:id="540"/>
    </w:p>
    <w:p>
      <w:pPr>
        <w:pStyle w:val="66"/>
        <w:spacing w:afterLines="0"/>
        <w:ind w:left="0" w:firstLine="480" w:firstLineChars="200"/>
        <w:rPr>
          <w:rFonts w:cs="宋体"/>
          <w:szCs w:val="24"/>
        </w:rPr>
      </w:pPr>
      <w:r>
        <w:rPr>
          <w:rFonts w:cs="宋体"/>
          <w:szCs w:val="24"/>
        </w:rPr>
        <w:t xml:space="preserve">12.1.2 </w:t>
      </w:r>
      <w:r>
        <w:rPr>
          <w:rFonts w:hint="eastAsia" w:cs="宋体"/>
          <w:szCs w:val="24"/>
        </w:rPr>
        <w:t>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pPr>
        <w:pStyle w:val="66"/>
        <w:spacing w:afterLines="0"/>
        <w:ind w:left="0" w:firstLine="480" w:firstLineChars="200"/>
        <w:rPr>
          <w:rFonts w:cs="宋体"/>
          <w:szCs w:val="24"/>
        </w:rPr>
      </w:pPr>
      <w:bookmarkStart w:id="541" w:name="_Ref11920162"/>
      <w:r>
        <w:rPr>
          <w:rFonts w:cs="宋体"/>
          <w:szCs w:val="24"/>
        </w:rPr>
        <w:t xml:space="preserve">12.1.3 </w:t>
      </w:r>
      <w:r>
        <w:rPr>
          <w:rFonts w:hint="eastAsia" w:cs="宋体"/>
          <w:szCs w:val="24"/>
        </w:rPr>
        <w:t>除《发包人要求》另有约定外，发包人应在合理可行的情况下尽快进行每项竣工后试验，并至少提前</w:t>
      </w:r>
      <w:r>
        <w:rPr>
          <w:rFonts w:cs="宋体"/>
          <w:szCs w:val="24"/>
        </w:rPr>
        <w:t>21</w:t>
      </w:r>
      <w:r>
        <w:rPr>
          <w:rFonts w:hint="eastAsia" w:cs="宋体"/>
          <w:szCs w:val="24"/>
        </w:rPr>
        <w:t>天将该项竣工后试验的内容、地点和时间，以及显示其他竣工后试验拟开展时间的竣工后试验计划通知承包人。</w:t>
      </w:r>
      <w:bookmarkEnd w:id="541"/>
    </w:p>
    <w:p>
      <w:pPr>
        <w:pStyle w:val="66"/>
        <w:spacing w:afterLines="0"/>
        <w:ind w:left="0" w:firstLine="480" w:firstLineChars="200"/>
        <w:rPr>
          <w:rFonts w:cs="宋体"/>
          <w:szCs w:val="24"/>
        </w:rPr>
      </w:pPr>
      <w:bookmarkStart w:id="542" w:name="_Ref11920146"/>
      <w:r>
        <w:rPr>
          <w:rFonts w:cs="宋体"/>
          <w:szCs w:val="24"/>
        </w:rPr>
        <w:t xml:space="preserve">12.1.4 </w:t>
      </w:r>
      <w:r>
        <w:rPr>
          <w:rFonts w:hint="eastAsia" w:cs="宋体"/>
          <w:szCs w:val="24"/>
        </w:rPr>
        <w:t>发包人应根据《发包人要求》、承包人按照第</w:t>
      </w:r>
      <w:r>
        <w:rPr>
          <w:rFonts w:cs="宋体"/>
          <w:szCs w:val="24"/>
        </w:rPr>
        <w:t>5.5</w:t>
      </w:r>
      <w:r>
        <w:rPr>
          <w:rFonts w:hint="eastAsia" w:cs="宋体"/>
          <w:szCs w:val="24"/>
        </w:rPr>
        <w:t>款</w:t>
      </w:r>
      <w:bookmarkStart w:id="543" w:name="_Hlk18943978"/>
      <w:r>
        <w:rPr>
          <w:rFonts w:cs="宋体"/>
          <w:szCs w:val="24"/>
        </w:rPr>
        <w:t>[</w:t>
      </w:r>
      <w:r>
        <w:rPr>
          <w:rFonts w:hint="eastAsia" w:cs="宋体"/>
          <w:szCs w:val="24"/>
        </w:rPr>
        <w:t>操作和维修手册</w:t>
      </w:r>
      <w:r>
        <w:rPr>
          <w:rFonts w:cs="宋体"/>
          <w:szCs w:val="24"/>
        </w:rPr>
        <w:t>]</w:t>
      </w:r>
      <w:bookmarkEnd w:id="543"/>
      <w:r>
        <w:rPr>
          <w:rFonts w:hint="eastAsia" w:cs="宋体"/>
          <w:szCs w:val="24"/>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bookmarkEnd w:id="542"/>
    </w:p>
    <w:p>
      <w:pPr>
        <w:pStyle w:val="66"/>
        <w:spacing w:afterLines="0"/>
        <w:ind w:left="0" w:firstLine="480" w:firstLineChars="200"/>
        <w:rPr>
          <w:rFonts w:cs="宋体"/>
          <w:szCs w:val="24"/>
        </w:rPr>
      </w:pPr>
      <w:r>
        <w:rPr>
          <w:rFonts w:cs="宋体"/>
          <w:szCs w:val="24"/>
        </w:rPr>
        <w:t xml:space="preserve">12.1.5 </w:t>
      </w:r>
      <w:r>
        <w:rPr>
          <w:rFonts w:hint="eastAsia" w:cs="宋体"/>
          <w:szCs w:val="24"/>
        </w:rPr>
        <w:t>竣工后试验的结果应由双方进行整理和评价，并应适当考虑发包人对工程或其任何部分的使用，对工程或区段工程的性能、特性和试验结果产生的影响。</w:t>
      </w:r>
    </w:p>
    <w:p>
      <w:pPr>
        <w:pStyle w:val="65"/>
        <w:widowControl/>
        <w:spacing w:afterLines="0"/>
        <w:ind w:left="0" w:firstLine="482" w:firstLineChars="200"/>
        <w:rPr>
          <w:rFonts w:ascii="宋体" w:hAnsi="宋体" w:eastAsia="宋体" w:cs="宋体"/>
        </w:rPr>
      </w:pPr>
      <w:bookmarkStart w:id="544" w:name="_Toc54862279"/>
      <w:bookmarkStart w:id="545" w:name="_Ref531954781"/>
      <w:bookmarkStart w:id="546" w:name="_Ref531954785"/>
      <w:r>
        <w:rPr>
          <w:rFonts w:ascii="宋体" w:hAnsi="宋体" w:eastAsia="宋体" w:cs="宋体"/>
        </w:rPr>
        <w:t xml:space="preserve">12.2 </w:t>
      </w:r>
      <w:r>
        <w:rPr>
          <w:rFonts w:hint="eastAsia" w:ascii="宋体" w:hAnsi="宋体" w:eastAsia="宋体" w:cs="宋体"/>
        </w:rPr>
        <w:t>延误的试验</w:t>
      </w:r>
      <w:bookmarkEnd w:id="544"/>
      <w:bookmarkEnd w:id="545"/>
      <w:bookmarkEnd w:id="546"/>
      <w:r>
        <w:rPr>
          <w:rFonts w:ascii="宋体" w:hAnsi="宋体" w:eastAsia="宋体" w:cs="宋体"/>
        </w:rPr>
        <w:t xml:space="preserve"> </w:t>
      </w:r>
    </w:p>
    <w:p>
      <w:pPr>
        <w:pStyle w:val="66"/>
        <w:spacing w:afterLines="0"/>
        <w:ind w:left="0" w:firstLine="480" w:firstLineChars="200"/>
        <w:rPr>
          <w:rFonts w:cs="宋体"/>
          <w:szCs w:val="24"/>
        </w:rPr>
      </w:pPr>
      <w:r>
        <w:rPr>
          <w:rFonts w:cs="宋体"/>
          <w:szCs w:val="24"/>
        </w:rPr>
        <w:t xml:space="preserve">12.2.1 </w:t>
      </w:r>
      <w:r>
        <w:rPr>
          <w:rFonts w:hint="eastAsia" w:cs="宋体"/>
          <w:szCs w:val="24"/>
        </w:rPr>
        <w:t>如果竣工后试验因发包人原因被延误的，发包人应承担承包人由此增加的费用并支付承包人合理利润。</w:t>
      </w:r>
    </w:p>
    <w:p>
      <w:pPr>
        <w:pStyle w:val="66"/>
        <w:spacing w:afterLines="0"/>
        <w:ind w:left="0" w:firstLine="480" w:firstLineChars="200"/>
        <w:rPr>
          <w:rFonts w:cs="宋体"/>
          <w:szCs w:val="24"/>
        </w:rPr>
      </w:pPr>
      <w:r>
        <w:rPr>
          <w:rFonts w:cs="宋体"/>
          <w:szCs w:val="24"/>
        </w:rPr>
        <w:t xml:space="preserve">12.2.2 </w:t>
      </w:r>
      <w:r>
        <w:rPr>
          <w:rFonts w:hint="eastAsia" w:cs="宋体"/>
          <w:szCs w:val="24"/>
        </w:rPr>
        <w:t>如果因承包人以外的原因，导致竣工后试验未能在缺陷责任期或双方另行同意的其他期限内完成，则相关工程或区段工程应视为已通过该竣工后试验。</w:t>
      </w:r>
    </w:p>
    <w:p>
      <w:pPr>
        <w:pStyle w:val="65"/>
        <w:widowControl/>
        <w:spacing w:afterLines="0"/>
        <w:ind w:left="0" w:firstLine="482" w:firstLineChars="200"/>
        <w:rPr>
          <w:rFonts w:ascii="宋体" w:hAnsi="宋体" w:eastAsia="宋体" w:cs="宋体"/>
        </w:rPr>
      </w:pPr>
      <w:bookmarkStart w:id="547" w:name="_Toc54862280"/>
      <w:r>
        <w:rPr>
          <w:rFonts w:ascii="宋体" w:hAnsi="宋体" w:eastAsia="宋体" w:cs="宋体"/>
        </w:rPr>
        <w:t xml:space="preserve">12.3 </w:t>
      </w:r>
      <w:r>
        <w:rPr>
          <w:rFonts w:hint="eastAsia" w:ascii="宋体" w:hAnsi="宋体" w:eastAsia="宋体" w:cs="宋体"/>
        </w:rPr>
        <w:t>重新试验</w:t>
      </w:r>
      <w:bookmarkEnd w:id="547"/>
    </w:p>
    <w:p>
      <w:pPr>
        <w:spacing w:line="360" w:lineRule="auto"/>
        <w:ind w:firstLine="480" w:firstLineChars="200"/>
        <w:rPr>
          <w:sz w:val="24"/>
          <w:szCs w:val="24"/>
        </w:rPr>
      </w:pPr>
      <w:r>
        <w:rPr>
          <w:rFonts w:hint="eastAsia"/>
          <w:sz w:val="24"/>
          <w:szCs w:val="24"/>
        </w:rPr>
        <w:t>如工程或区段工程未能通过竣工后试验，则承包人应根据第</w:t>
      </w:r>
      <w:r>
        <w:rPr>
          <w:sz w:val="24"/>
          <w:szCs w:val="24"/>
        </w:rPr>
        <w:t>11.3</w:t>
      </w:r>
      <w:r>
        <w:rPr>
          <w:rFonts w:hint="eastAsia"/>
          <w:sz w:val="24"/>
          <w:szCs w:val="24"/>
        </w:rPr>
        <w:t>款</w:t>
      </w:r>
      <w:r>
        <w:rPr>
          <w:sz w:val="24"/>
          <w:szCs w:val="24"/>
        </w:rPr>
        <w:t>[</w:t>
      </w:r>
      <w:r>
        <w:rPr>
          <w:rFonts w:hint="eastAsia"/>
          <w:sz w:val="24"/>
          <w:szCs w:val="24"/>
        </w:rPr>
        <w:t>缺陷调查</w:t>
      </w:r>
      <w:r>
        <w:rPr>
          <w:sz w:val="24"/>
          <w:szCs w:val="24"/>
        </w:rPr>
        <w:t>]</w:t>
      </w:r>
      <w:r>
        <w:rPr>
          <w:rFonts w:hint="eastAsia"/>
          <w:sz w:val="24"/>
          <w:szCs w:val="24"/>
        </w:rPr>
        <w:t>的规定修补缺陷，以达到合同约定的要求；并按照第</w:t>
      </w:r>
      <w:r>
        <w:rPr>
          <w:sz w:val="24"/>
          <w:szCs w:val="24"/>
        </w:rPr>
        <w:t>11.4</w:t>
      </w:r>
      <w:r>
        <w:rPr>
          <w:rFonts w:hint="eastAsia"/>
          <w:sz w:val="24"/>
          <w:szCs w:val="24"/>
        </w:rPr>
        <w:t>款</w:t>
      </w:r>
      <w:r>
        <w:rPr>
          <w:sz w:val="24"/>
          <w:szCs w:val="24"/>
        </w:rPr>
        <w:t>[</w:t>
      </w:r>
      <w:r>
        <w:rPr>
          <w:rFonts w:hint="eastAsia"/>
          <w:sz w:val="24"/>
          <w:szCs w:val="24"/>
        </w:rPr>
        <w:t>缺陷修复后的进一步试验</w:t>
      </w:r>
      <w:r>
        <w:rPr>
          <w:sz w:val="24"/>
          <w:szCs w:val="24"/>
        </w:rPr>
        <w:t>]</w:t>
      </w:r>
      <w:r>
        <w:rPr>
          <w:rFonts w:hint="eastAsia"/>
          <w:sz w:val="24"/>
          <w:szCs w:val="24"/>
        </w:rPr>
        <w:t>重新进行竣工后试验以及承担风险和费用。如未通过试验和重新试验是承包人原因造成的，则承包人还应承担发包人因此增加的费用。</w:t>
      </w:r>
    </w:p>
    <w:bookmarkEnd w:id="539"/>
    <w:p>
      <w:pPr>
        <w:pStyle w:val="65"/>
        <w:widowControl/>
        <w:spacing w:afterLines="0"/>
        <w:ind w:left="0" w:firstLine="482" w:firstLineChars="200"/>
        <w:rPr>
          <w:rFonts w:ascii="宋体" w:hAnsi="宋体" w:eastAsia="宋体" w:cs="宋体"/>
        </w:rPr>
      </w:pPr>
      <w:bookmarkStart w:id="548" w:name="_Ref531954811"/>
      <w:bookmarkStart w:id="549" w:name="_Toc54862281"/>
      <w:bookmarkStart w:id="550" w:name="_Ref531954819"/>
      <w:r>
        <w:rPr>
          <w:rFonts w:ascii="宋体" w:hAnsi="宋体" w:eastAsia="宋体" w:cs="宋体"/>
        </w:rPr>
        <w:t xml:space="preserve">12.4 </w:t>
      </w:r>
      <w:r>
        <w:rPr>
          <w:rFonts w:hint="eastAsia" w:ascii="宋体" w:hAnsi="宋体" w:eastAsia="宋体" w:cs="宋体"/>
        </w:rPr>
        <w:t>未能通过竣工后试验</w:t>
      </w:r>
      <w:bookmarkEnd w:id="548"/>
      <w:bookmarkEnd w:id="549"/>
      <w:bookmarkEnd w:id="550"/>
    </w:p>
    <w:p>
      <w:pPr>
        <w:pStyle w:val="66"/>
        <w:spacing w:afterLines="0"/>
        <w:ind w:left="0" w:firstLine="480" w:firstLineChars="200"/>
        <w:rPr>
          <w:rFonts w:cs="宋体"/>
          <w:szCs w:val="24"/>
        </w:rPr>
      </w:pPr>
      <w:bookmarkStart w:id="551" w:name="_Ref531954829"/>
      <w:r>
        <w:rPr>
          <w:rFonts w:cs="宋体"/>
          <w:szCs w:val="24"/>
        </w:rPr>
        <w:t xml:space="preserve">12.4.1 </w:t>
      </w:r>
      <w:r>
        <w:rPr>
          <w:rFonts w:hint="eastAsia" w:cs="宋体"/>
          <w:szCs w:val="24"/>
        </w:rPr>
        <w:t>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bookmarkEnd w:id="551"/>
    </w:p>
    <w:p>
      <w:pPr>
        <w:pStyle w:val="66"/>
        <w:spacing w:afterLines="0"/>
        <w:ind w:left="0" w:firstLine="480" w:firstLineChars="200"/>
        <w:rPr>
          <w:rFonts w:cs="宋体"/>
          <w:szCs w:val="24"/>
        </w:rPr>
      </w:pPr>
      <w:r>
        <w:rPr>
          <w:rFonts w:cs="宋体"/>
          <w:szCs w:val="24"/>
        </w:rPr>
        <w:t xml:space="preserve">12.4.2 </w:t>
      </w:r>
      <w:r>
        <w:rPr>
          <w:rFonts w:hint="eastAsia" w:cs="宋体"/>
          <w:szCs w:val="24"/>
        </w:rPr>
        <w:t>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pPr>
        <w:pStyle w:val="66"/>
        <w:spacing w:afterLines="0"/>
        <w:ind w:left="0" w:firstLine="480" w:firstLineChars="200"/>
        <w:rPr>
          <w:rFonts w:cs="宋体"/>
          <w:szCs w:val="24"/>
        </w:rPr>
      </w:pPr>
      <w:r>
        <w:rPr>
          <w:rFonts w:cs="宋体"/>
          <w:szCs w:val="24"/>
        </w:rPr>
        <w:t xml:space="preserve">12.4.3 </w:t>
      </w:r>
      <w:r>
        <w:rPr>
          <w:rFonts w:hint="eastAsia" w:cs="宋体"/>
          <w:szCs w:val="24"/>
        </w:rPr>
        <w:t>发包人无故拖延给予承包人进行调查、调整或修补所需的进入工程或区段工程的许可，并造成承包人费用增加的，应承担由此增加的费用并支付承包人合理利润。</w:t>
      </w:r>
    </w:p>
    <w:p>
      <w:pPr>
        <w:pStyle w:val="64"/>
        <w:numPr>
          <w:ilvl w:val="0"/>
          <w:numId w:val="0"/>
        </w:numPr>
        <w:spacing w:before="0"/>
        <w:ind w:firstLine="480" w:firstLineChars="200"/>
        <w:rPr>
          <w:rFonts w:ascii="宋体"/>
          <w:bCs/>
          <w:sz w:val="24"/>
          <w:szCs w:val="24"/>
        </w:rPr>
      </w:pPr>
      <w:bookmarkStart w:id="552" w:name="_Toc54862282"/>
      <w:bookmarkStart w:id="553" w:name="_Ref4415801"/>
      <w:r>
        <w:rPr>
          <w:rFonts w:hint="eastAsia" w:ascii="宋体" w:hAnsi="宋体"/>
          <w:bCs/>
          <w:sz w:val="24"/>
          <w:szCs w:val="24"/>
        </w:rPr>
        <w:t>第</w:t>
      </w:r>
      <w:r>
        <w:rPr>
          <w:rFonts w:ascii="宋体" w:hAnsi="宋体"/>
          <w:bCs/>
          <w:sz w:val="24"/>
          <w:szCs w:val="24"/>
        </w:rPr>
        <w:t>13</w:t>
      </w:r>
      <w:r>
        <w:rPr>
          <w:rFonts w:hint="eastAsia" w:ascii="宋体" w:hAnsi="宋体"/>
          <w:bCs/>
          <w:sz w:val="24"/>
          <w:szCs w:val="24"/>
        </w:rPr>
        <w:t>条</w:t>
      </w:r>
      <w:r>
        <w:rPr>
          <w:rFonts w:ascii="宋体" w:hAnsi="宋体"/>
          <w:bCs/>
          <w:sz w:val="24"/>
          <w:szCs w:val="24"/>
        </w:rPr>
        <w:t xml:space="preserve"> </w:t>
      </w:r>
      <w:r>
        <w:rPr>
          <w:rFonts w:hint="eastAsia" w:ascii="宋体" w:hAnsi="宋体"/>
          <w:bCs/>
          <w:sz w:val="24"/>
          <w:szCs w:val="24"/>
        </w:rPr>
        <w:t>变更与调整</w:t>
      </w:r>
      <w:bookmarkEnd w:id="552"/>
      <w:bookmarkEnd w:id="553"/>
    </w:p>
    <w:p>
      <w:pPr>
        <w:pStyle w:val="65"/>
        <w:widowControl/>
        <w:spacing w:afterLines="0"/>
        <w:ind w:left="0" w:firstLine="480" w:firstLineChars="200"/>
        <w:rPr>
          <w:rFonts w:ascii="宋体" w:hAnsi="宋体" w:eastAsia="宋体" w:cs="宋体"/>
          <w:b w:val="0"/>
          <w:bCs/>
        </w:rPr>
      </w:pPr>
      <w:bookmarkStart w:id="554" w:name="_Ref532677087"/>
      <w:bookmarkStart w:id="555" w:name="_Ref532668573"/>
      <w:bookmarkStart w:id="556" w:name="_Ref532668569"/>
      <w:bookmarkStart w:id="557" w:name="_Ref532677084"/>
      <w:bookmarkStart w:id="558" w:name="_Toc54862283"/>
      <w:bookmarkStart w:id="559" w:name="_Ref532670393"/>
      <w:bookmarkStart w:id="560" w:name="_Ref532670395"/>
      <w:r>
        <w:rPr>
          <w:rFonts w:ascii="宋体" w:hAnsi="宋体" w:eastAsia="宋体" w:cs="宋体"/>
          <w:b w:val="0"/>
          <w:bCs/>
        </w:rPr>
        <w:t xml:space="preserve">13.1 </w:t>
      </w:r>
      <w:r>
        <w:rPr>
          <w:rFonts w:hint="eastAsia" w:ascii="宋体" w:hAnsi="宋体" w:eastAsia="宋体" w:cs="宋体"/>
          <w:b w:val="0"/>
          <w:bCs/>
        </w:rPr>
        <w:t>发包人变更权</w:t>
      </w:r>
      <w:bookmarkEnd w:id="554"/>
      <w:bookmarkEnd w:id="555"/>
      <w:bookmarkEnd w:id="556"/>
      <w:bookmarkEnd w:id="557"/>
      <w:bookmarkEnd w:id="558"/>
      <w:bookmarkEnd w:id="559"/>
      <w:bookmarkEnd w:id="560"/>
      <w:r>
        <w:rPr>
          <w:rFonts w:ascii="宋体" w:hAnsi="宋体" w:eastAsia="宋体" w:cs="宋体"/>
          <w:b w:val="0"/>
          <w:bCs/>
        </w:rPr>
        <w:t xml:space="preserve"> </w:t>
      </w:r>
    </w:p>
    <w:p>
      <w:pPr>
        <w:pStyle w:val="66"/>
        <w:spacing w:afterLines="0"/>
        <w:ind w:left="0" w:firstLine="480" w:firstLineChars="200"/>
        <w:rPr>
          <w:rFonts w:cs="宋体"/>
          <w:szCs w:val="24"/>
        </w:rPr>
      </w:pPr>
      <w:bookmarkStart w:id="561" w:name="_Ref4534979"/>
      <w:r>
        <w:rPr>
          <w:rFonts w:cs="宋体"/>
          <w:szCs w:val="24"/>
        </w:rPr>
        <w:t xml:space="preserve">13.1.1 </w:t>
      </w:r>
      <w:r>
        <w:rPr>
          <w:rFonts w:hint="eastAsia" w:cs="宋体"/>
          <w:szCs w:val="24"/>
        </w:rPr>
        <w:t>变更指示应经发包人同意，并由工程师发出经发包人签认的变更指示。除第</w:t>
      </w:r>
      <w:r>
        <w:rPr>
          <w:rFonts w:cs="宋体"/>
          <w:szCs w:val="24"/>
        </w:rPr>
        <w:t>11.3.6</w:t>
      </w:r>
      <w:r>
        <w:rPr>
          <w:rFonts w:hint="eastAsia" w:cs="宋体"/>
          <w:szCs w:val="24"/>
        </w:rPr>
        <w:t>项</w:t>
      </w:r>
      <w:r>
        <w:rPr>
          <w:rFonts w:cs="宋体"/>
          <w:szCs w:val="24"/>
        </w:rPr>
        <w:t>[</w:t>
      </w:r>
      <w:r>
        <w:rPr>
          <w:rFonts w:hint="eastAsia" w:cs="宋体"/>
          <w:szCs w:val="24"/>
        </w:rPr>
        <w:t>未能修复</w:t>
      </w:r>
      <w:r>
        <w:rPr>
          <w:rFonts w:cs="宋体"/>
          <w:szCs w:val="24"/>
        </w:rPr>
        <w:t>]</w:t>
      </w:r>
      <w:r>
        <w:rPr>
          <w:rFonts w:hint="eastAsia" w:cs="宋体"/>
          <w:szCs w:val="24"/>
        </w:rPr>
        <w:t>约定的情况外，变更不应包括准备将任何工作删减并交由他人或发包人自行实施的情况。承包人收到变更指示后，方可实施变更。未经许可，承包人不得擅自对工程的任何部分进行变更。</w:t>
      </w:r>
      <w:bookmarkEnd w:id="561"/>
      <w:r>
        <w:rPr>
          <w:rFonts w:hint="eastAsia" w:cs="宋体"/>
          <w:szCs w:val="24"/>
        </w:rPr>
        <w:t>发包人与承包人对某项指示或批准是否构成变更产生争议的，按第</w:t>
      </w:r>
      <w:r>
        <w:rPr>
          <w:rFonts w:cs="宋体"/>
          <w:szCs w:val="24"/>
        </w:rPr>
        <w:t>20</w:t>
      </w:r>
      <w:r>
        <w:rPr>
          <w:rFonts w:hint="eastAsia" w:cs="宋体"/>
          <w:szCs w:val="24"/>
        </w:rPr>
        <w:t>条</w:t>
      </w:r>
      <w:r>
        <w:rPr>
          <w:rFonts w:cs="宋体"/>
          <w:szCs w:val="24"/>
        </w:rPr>
        <w:t>[</w:t>
      </w:r>
      <w:r>
        <w:rPr>
          <w:rFonts w:hint="eastAsia" w:cs="宋体"/>
          <w:szCs w:val="24"/>
        </w:rPr>
        <w:t>争议解决</w:t>
      </w:r>
      <w:r>
        <w:rPr>
          <w:rFonts w:cs="宋体"/>
          <w:szCs w:val="24"/>
        </w:rPr>
        <w:t>]</w:t>
      </w:r>
      <w:r>
        <w:rPr>
          <w:rFonts w:hint="eastAsia" w:cs="宋体"/>
          <w:szCs w:val="24"/>
        </w:rPr>
        <w:t>处理。</w:t>
      </w:r>
    </w:p>
    <w:p>
      <w:pPr>
        <w:pStyle w:val="66"/>
        <w:spacing w:afterLines="0"/>
        <w:ind w:left="0" w:firstLine="480" w:firstLineChars="200"/>
        <w:rPr>
          <w:rFonts w:cs="宋体"/>
          <w:szCs w:val="24"/>
        </w:rPr>
      </w:pPr>
      <w:r>
        <w:rPr>
          <w:rFonts w:cs="宋体"/>
          <w:szCs w:val="24"/>
        </w:rPr>
        <w:t xml:space="preserve">13.1.2 </w:t>
      </w:r>
      <w:r>
        <w:rPr>
          <w:rFonts w:hint="eastAsia" w:cs="宋体"/>
          <w:szCs w:val="24"/>
        </w:rPr>
        <w:t>承包人应按照变更指示执行，除非承包人及时向工程师发出通知，说明该项变更指示将降低工程的安全性、稳定性或适用性；涉及的工作内容和范围不可预见；所涉设备难以采购；导致承包人无法执行第</w:t>
      </w:r>
      <w:r>
        <w:rPr>
          <w:rFonts w:cs="宋体"/>
          <w:szCs w:val="24"/>
        </w:rPr>
        <w:t>7.5</w:t>
      </w:r>
      <w:r>
        <w:rPr>
          <w:rFonts w:hint="eastAsia" w:cs="宋体"/>
          <w:szCs w:val="24"/>
        </w:rPr>
        <w:t>款</w:t>
      </w:r>
      <w:r>
        <w:rPr>
          <w:rFonts w:cs="宋体"/>
          <w:szCs w:val="24"/>
        </w:rPr>
        <w:t>[</w:t>
      </w:r>
      <w:r>
        <w:rPr>
          <w:rFonts w:hint="eastAsia" w:cs="宋体"/>
          <w:szCs w:val="24"/>
        </w:rPr>
        <w:t>现场劳动用工</w:t>
      </w:r>
      <w:r>
        <w:rPr>
          <w:rFonts w:cs="宋体"/>
          <w:szCs w:val="24"/>
        </w:rPr>
        <w:t>]</w:t>
      </w:r>
      <w:r>
        <w:rPr>
          <w:rFonts w:hint="eastAsia" w:cs="宋体"/>
          <w:szCs w:val="24"/>
        </w:rPr>
        <w:t>、第</w:t>
      </w:r>
      <w:r>
        <w:rPr>
          <w:rFonts w:cs="宋体"/>
          <w:szCs w:val="24"/>
        </w:rPr>
        <w:t>7.6</w:t>
      </w:r>
      <w:r>
        <w:rPr>
          <w:rFonts w:hint="eastAsia" w:cs="宋体"/>
          <w:szCs w:val="24"/>
        </w:rPr>
        <w:t>款</w:t>
      </w:r>
      <w:r>
        <w:rPr>
          <w:rFonts w:cs="宋体"/>
          <w:szCs w:val="24"/>
        </w:rPr>
        <w:t>[</w:t>
      </w:r>
      <w:r>
        <w:rPr>
          <w:rFonts w:hint="eastAsia" w:cs="宋体"/>
          <w:szCs w:val="24"/>
        </w:rPr>
        <w:t>安全文明施工</w:t>
      </w:r>
      <w:r>
        <w:rPr>
          <w:rFonts w:cs="宋体"/>
          <w:szCs w:val="24"/>
        </w:rPr>
        <w:t>]</w:t>
      </w:r>
      <w:r>
        <w:rPr>
          <w:rFonts w:hint="eastAsia" w:cs="宋体"/>
          <w:szCs w:val="24"/>
        </w:rPr>
        <w:t>、第</w:t>
      </w:r>
      <w:r>
        <w:rPr>
          <w:rFonts w:cs="宋体"/>
          <w:szCs w:val="24"/>
        </w:rPr>
        <w:t>7.7</w:t>
      </w:r>
      <w:r>
        <w:rPr>
          <w:rFonts w:hint="eastAsia" w:cs="宋体"/>
          <w:szCs w:val="24"/>
        </w:rPr>
        <w:t>款</w:t>
      </w:r>
      <w:r>
        <w:rPr>
          <w:rFonts w:cs="宋体"/>
          <w:szCs w:val="24"/>
        </w:rPr>
        <w:t>[</w:t>
      </w:r>
      <w:r>
        <w:rPr>
          <w:rFonts w:hint="eastAsia" w:cs="宋体"/>
          <w:szCs w:val="24"/>
        </w:rPr>
        <w:t>职业健康</w:t>
      </w:r>
      <w:r>
        <w:rPr>
          <w:rFonts w:cs="宋体"/>
          <w:szCs w:val="24"/>
        </w:rPr>
        <w:t>]</w:t>
      </w:r>
      <w:r>
        <w:rPr>
          <w:rFonts w:hint="eastAsia" w:cs="宋体"/>
          <w:szCs w:val="24"/>
        </w:rPr>
        <w:t>或第</w:t>
      </w:r>
      <w:r>
        <w:rPr>
          <w:rFonts w:cs="宋体"/>
          <w:szCs w:val="24"/>
        </w:rPr>
        <w:t>7.8</w:t>
      </w:r>
      <w:r>
        <w:rPr>
          <w:rFonts w:hint="eastAsia" w:cs="宋体"/>
          <w:szCs w:val="24"/>
        </w:rPr>
        <w:t>款</w:t>
      </w:r>
      <w:r>
        <w:rPr>
          <w:rFonts w:cs="宋体"/>
          <w:szCs w:val="24"/>
        </w:rPr>
        <w:t>[</w:t>
      </w:r>
      <w:r>
        <w:rPr>
          <w:rFonts w:hint="eastAsia" w:cs="宋体"/>
          <w:szCs w:val="24"/>
        </w:rPr>
        <w:t>环境保护</w:t>
      </w:r>
      <w:r>
        <w:rPr>
          <w:rFonts w:cs="宋体"/>
          <w:szCs w:val="24"/>
        </w:rPr>
        <w:t>]</w:t>
      </w:r>
      <w:r>
        <w:rPr>
          <w:rFonts w:hint="eastAsia" w:cs="宋体"/>
          <w:szCs w:val="24"/>
        </w:rPr>
        <w:t>内容；将造成工期延误；与第</w:t>
      </w:r>
      <w:r>
        <w:rPr>
          <w:rFonts w:cs="宋体"/>
          <w:szCs w:val="24"/>
        </w:rPr>
        <w:t>4.1</w:t>
      </w:r>
      <w:r>
        <w:rPr>
          <w:rFonts w:hint="eastAsia" w:cs="宋体"/>
          <w:szCs w:val="24"/>
        </w:rPr>
        <w:t>款</w:t>
      </w:r>
      <w:r>
        <w:rPr>
          <w:rFonts w:cs="宋体"/>
          <w:szCs w:val="24"/>
        </w:rPr>
        <w:t>[</w:t>
      </w:r>
      <w:r>
        <w:rPr>
          <w:rFonts w:hint="eastAsia" w:cs="宋体"/>
          <w:szCs w:val="24"/>
        </w:rPr>
        <w:t>承包人的一般义务</w:t>
      </w:r>
      <w:r>
        <w:rPr>
          <w:rFonts w:cs="宋体"/>
          <w:szCs w:val="24"/>
        </w:rPr>
        <w:t>]</w:t>
      </w:r>
      <w:r>
        <w:rPr>
          <w:rFonts w:hint="eastAsia" w:cs="宋体"/>
          <w:szCs w:val="24"/>
        </w:rPr>
        <w:t>相冲突等无法执行的理由。工程师接到承包人的通知后，应作出经发包人签认的取消、确认或改变原指示的书面回复。</w:t>
      </w:r>
    </w:p>
    <w:p>
      <w:pPr>
        <w:pStyle w:val="65"/>
        <w:widowControl/>
        <w:spacing w:afterLines="0"/>
        <w:ind w:left="0" w:firstLine="482" w:firstLineChars="200"/>
        <w:rPr>
          <w:rFonts w:ascii="宋体" w:hAnsi="宋体" w:eastAsia="宋体" w:cs="宋体"/>
          <w:b w:val="0"/>
          <w:bCs/>
        </w:rPr>
      </w:pPr>
      <w:bookmarkStart w:id="562" w:name="_Ref531955587"/>
      <w:bookmarkStart w:id="563" w:name="_Ref531955590"/>
      <w:bookmarkStart w:id="564" w:name="_Toc54862284"/>
      <w:bookmarkStart w:id="565" w:name="_Ref4623207"/>
      <w:r>
        <w:rPr>
          <w:rFonts w:ascii="宋体" w:hAnsi="宋体" w:eastAsia="宋体" w:cs="宋体"/>
        </w:rPr>
        <w:t xml:space="preserve">13.2 </w:t>
      </w:r>
      <w:r>
        <w:rPr>
          <w:rFonts w:hint="eastAsia" w:ascii="宋体" w:hAnsi="宋体" w:eastAsia="宋体" w:cs="宋体"/>
        </w:rPr>
        <w:t>承</w:t>
      </w:r>
      <w:bookmarkEnd w:id="562"/>
      <w:bookmarkEnd w:id="563"/>
      <w:r>
        <w:rPr>
          <w:rFonts w:hint="eastAsia" w:ascii="宋体" w:hAnsi="宋体" w:eastAsia="宋体" w:cs="宋体"/>
        </w:rPr>
        <w:t>包人的合理化建议</w:t>
      </w:r>
      <w:bookmarkEnd w:id="564"/>
      <w:bookmarkEnd w:id="565"/>
    </w:p>
    <w:p>
      <w:pPr>
        <w:pStyle w:val="66"/>
        <w:spacing w:afterLines="0"/>
        <w:ind w:left="0" w:firstLine="480" w:firstLineChars="200"/>
        <w:rPr>
          <w:rFonts w:cs="宋体"/>
          <w:szCs w:val="24"/>
        </w:rPr>
      </w:pPr>
      <w:r>
        <w:rPr>
          <w:rFonts w:cs="宋体"/>
          <w:szCs w:val="24"/>
        </w:rPr>
        <w:t xml:space="preserve">13.2.1 </w:t>
      </w:r>
      <w:r>
        <w:rPr>
          <w:rFonts w:hint="eastAsia" w:cs="宋体"/>
          <w:szCs w:val="24"/>
        </w:rPr>
        <w:t>承包人提出合理化建议的，应向工程师提交合理化建议说明，说明建议的内容、理由以及实施该建议对合同价格和工期的影响。</w:t>
      </w:r>
    </w:p>
    <w:p>
      <w:pPr>
        <w:pStyle w:val="66"/>
        <w:spacing w:afterLines="0"/>
        <w:ind w:left="0" w:firstLine="480" w:firstLineChars="200"/>
        <w:rPr>
          <w:rFonts w:cs="宋体"/>
          <w:szCs w:val="24"/>
        </w:rPr>
      </w:pPr>
      <w:bookmarkStart w:id="566" w:name="_Ref4681686"/>
      <w:r>
        <w:rPr>
          <w:rFonts w:cs="宋体"/>
          <w:szCs w:val="24"/>
        </w:rPr>
        <w:t xml:space="preserve">13.2.2 </w:t>
      </w:r>
      <w:r>
        <w:rPr>
          <w:rFonts w:hint="eastAsia" w:cs="宋体"/>
          <w:szCs w:val="24"/>
        </w:rPr>
        <w:t>除专用合同条件另有约定外，</w:t>
      </w:r>
      <w:bookmarkStart w:id="567" w:name="_Hlk4682273"/>
      <w:r>
        <w:rPr>
          <w:rFonts w:hint="eastAsia" w:cs="宋体"/>
          <w:szCs w:val="24"/>
        </w:rPr>
        <w:t>工程师应在收到承包人提交的合理化建议后</w:t>
      </w:r>
      <w:r>
        <w:rPr>
          <w:rFonts w:cs="宋体"/>
          <w:szCs w:val="24"/>
        </w:rPr>
        <w:t>7</w:t>
      </w:r>
      <w:r>
        <w:rPr>
          <w:rFonts w:hint="eastAsia" w:cs="宋体"/>
          <w:szCs w:val="24"/>
        </w:rPr>
        <w:t>天内审查完毕并报送发包人，发现其中存在技术上的缺陷，应通知承包人修改。发包人应在收到工程师报送的合理化建议后</w:t>
      </w:r>
      <w:r>
        <w:rPr>
          <w:rFonts w:cs="宋体"/>
          <w:szCs w:val="24"/>
        </w:rPr>
        <w:t>7</w:t>
      </w:r>
      <w:r>
        <w:rPr>
          <w:rFonts w:hint="eastAsia" w:cs="宋体"/>
          <w:szCs w:val="24"/>
        </w:rPr>
        <w:t>天内审批完毕。合理化建议经发包人批准的，工程师应及时发出变更指示，由此引起的合同价格调整按照第</w:t>
      </w:r>
      <w:r>
        <w:rPr>
          <w:rFonts w:cs="宋体"/>
          <w:szCs w:val="24"/>
        </w:rPr>
        <w:t>13.3.3</w:t>
      </w:r>
      <w:r>
        <w:rPr>
          <w:rFonts w:hint="eastAsia" w:cs="宋体"/>
          <w:szCs w:val="24"/>
        </w:rPr>
        <w:t>项</w:t>
      </w:r>
      <w:r>
        <w:rPr>
          <w:rFonts w:cs="宋体"/>
          <w:szCs w:val="24"/>
        </w:rPr>
        <w:t>[</w:t>
      </w:r>
      <w:r>
        <w:rPr>
          <w:rFonts w:hint="eastAsia" w:cs="宋体"/>
          <w:szCs w:val="24"/>
        </w:rPr>
        <w:t>变更估价</w:t>
      </w:r>
      <w:r>
        <w:rPr>
          <w:rFonts w:cs="宋体"/>
          <w:szCs w:val="24"/>
        </w:rPr>
        <w:t>]</w:t>
      </w:r>
      <w:r>
        <w:rPr>
          <w:rFonts w:hint="eastAsia" w:cs="宋体"/>
          <w:szCs w:val="24"/>
        </w:rPr>
        <w:t>约定执行。发包人不同意变更的，工程师应书面通知承包人</w:t>
      </w:r>
      <w:bookmarkEnd w:id="566"/>
      <w:r>
        <w:rPr>
          <w:rFonts w:hint="eastAsia" w:cs="宋体"/>
          <w:szCs w:val="24"/>
        </w:rPr>
        <w:t>。</w:t>
      </w:r>
    </w:p>
    <w:p>
      <w:pPr>
        <w:pStyle w:val="66"/>
        <w:spacing w:afterLines="0"/>
        <w:ind w:left="0" w:firstLine="480" w:firstLineChars="200"/>
        <w:rPr>
          <w:rFonts w:cs="宋体"/>
          <w:szCs w:val="24"/>
        </w:rPr>
      </w:pPr>
      <w:r>
        <w:rPr>
          <w:rFonts w:cs="宋体"/>
          <w:szCs w:val="24"/>
        </w:rPr>
        <w:t xml:space="preserve">13.2.3 </w:t>
      </w:r>
      <w:r>
        <w:rPr>
          <w:rFonts w:hint="eastAsia" w:cs="宋体"/>
          <w:szCs w:val="24"/>
        </w:rPr>
        <w:t>合理化建议降低了合同价格、缩短了工期或者提高了工程经济效益的，双方可以按照专用合同条件的约定进行利益分享。</w:t>
      </w:r>
    </w:p>
    <w:bookmarkEnd w:id="567"/>
    <w:p>
      <w:pPr>
        <w:pStyle w:val="65"/>
        <w:widowControl/>
        <w:spacing w:afterLines="0"/>
        <w:ind w:left="0" w:firstLine="482" w:firstLineChars="200"/>
        <w:rPr>
          <w:rFonts w:ascii="宋体" w:hAnsi="宋体" w:eastAsia="宋体" w:cs="宋体"/>
        </w:rPr>
      </w:pPr>
      <w:bookmarkStart w:id="568" w:name="_Ref532669305"/>
      <w:bookmarkStart w:id="569" w:name="_Ref532673538"/>
      <w:bookmarkStart w:id="570" w:name="_Ref532671484"/>
      <w:bookmarkStart w:id="571" w:name="_Ref532669302"/>
      <w:bookmarkStart w:id="572" w:name="_Ref532673541"/>
      <w:bookmarkStart w:id="573" w:name="_Ref532671480"/>
      <w:bookmarkStart w:id="574" w:name="_Toc54862285"/>
      <w:r>
        <w:rPr>
          <w:rFonts w:ascii="宋体" w:hAnsi="宋体" w:eastAsia="宋体" w:cs="宋体"/>
        </w:rPr>
        <w:t xml:space="preserve">13.3 </w:t>
      </w:r>
      <w:r>
        <w:rPr>
          <w:rFonts w:hint="eastAsia" w:ascii="宋体" w:hAnsi="宋体" w:eastAsia="宋体" w:cs="宋体"/>
        </w:rPr>
        <w:t>变更程序</w:t>
      </w:r>
      <w:bookmarkEnd w:id="568"/>
      <w:bookmarkEnd w:id="569"/>
      <w:bookmarkEnd w:id="570"/>
      <w:bookmarkEnd w:id="571"/>
      <w:bookmarkEnd w:id="572"/>
      <w:bookmarkEnd w:id="573"/>
      <w:bookmarkEnd w:id="574"/>
    </w:p>
    <w:p>
      <w:pPr>
        <w:pStyle w:val="66"/>
        <w:spacing w:afterLines="0"/>
        <w:ind w:left="0" w:firstLine="480" w:firstLineChars="200"/>
        <w:rPr>
          <w:rFonts w:cs="宋体"/>
          <w:szCs w:val="24"/>
        </w:rPr>
      </w:pPr>
      <w:bookmarkStart w:id="575" w:name="_Ref4534600"/>
      <w:r>
        <w:rPr>
          <w:rFonts w:cs="宋体"/>
          <w:szCs w:val="24"/>
        </w:rPr>
        <w:t xml:space="preserve">13.3.1 </w:t>
      </w:r>
      <w:r>
        <w:rPr>
          <w:rFonts w:hint="eastAsia" w:cs="宋体"/>
          <w:szCs w:val="24"/>
        </w:rPr>
        <w:t>发包人提出变更</w:t>
      </w:r>
      <w:bookmarkEnd w:id="575"/>
    </w:p>
    <w:p>
      <w:pPr>
        <w:spacing w:line="360" w:lineRule="auto"/>
        <w:ind w:firstLine="480" w:firstLineChars="200"/>
        <w:rPr>
          <w:sz w:val="24"/>
          <w:szCs w:val="24"/>
        </w:rPr>
      </w:pPr>
      <w:r>
        <w:rPr>
          <w:rFonts w:hint="eastAsia"/>
          <w:sz w:val="24"/>
          <w:szCs w:val="24"/>
        </w:rPr>
        <w:t>发包人提出变更的，应通过工程师向承包人发出书面形式的变更指示，变更指示应说明计划变更的工程范围和变更的内容。</w:t>
      </w:r>
    </w:p>
    <w:p>
      <w:pPr>
        <w:pStyle w:val="66"/>
        <w:spacing w:afterLines="0"/>
        <w:ind w:left="0" w:firstLine="480" w:firstLineChars="200"/>
        <w:rPr>
          <w:rFonts w:cs="宋体"/>
          <w:szCs w:val="24"/>
        </w:rPr>
      </w:pPr>
      <w:bookmarkStart w:id="576" w:name="_Ref4534617"/>
      <w:r>
        <w:rPr>
          <w:rFonts w:cs="宋体"/>
          <w:szCs w:val="24"/>
        </w:rPr>
        <w:t xml:space="preserve">13.3.2 </w:t>
      </w:r>
      <w:r>
        <w:rPr>
          <w:rFonts w:hint="eastAsia" w:cs="宋体"/>
          <w:szCs w:val="24"/>
        </w:rPr>
        <w:t>变更执行</w:t>
      </w:r>
      <w:bookmarkEnd w:id="576"/>
    </w:p>
    <w:p>
      <w:pPr>
        <w:spacing w:line="360" w:lineRule="auto"/>
        <w:ind w:firstLine="480" w:firstLineChars="200"/>
        <w:rPr>
          <w:sz w:val="24"/>
          <w:szCs w:val="24"/>
        </w:rPr>
      </w:pPr>
      <w:r>
        <w:rPr>
          <w:rFonts w:hint="eastAsia"/>
          <w:sz w:val="24"/>
          <w:szCs w:val="24"/>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w:t>
      </w:r>
      <w:r>
        <w:rPr>
          <w:sz w:val="24"/>
          <w:szCs w:val="24"/>
        </w:rPr>
        <w:t>13.3.3</w:t>
      </w:r>
      <w:r>
        <w:rPr>
          <w:rFonts w:hint="eastAsia"/>
          <w:sz w:val="24"/>
          <w:szCs w:val="24"/>
        </w:rPr>
        <w:t>项</w:t>
      </w:r>
      <w:r>
        <w:rPr>
          <w:sz w:val="24"/>
          <w:szCs w:val="24"/>
        </w:rPr>
        <w:t>[</w:t>
      </w:r>
      <w:r>
        <w:rPr>
          <w:rFonts w:hint="eastAsia"/>
          <w:sz w:val="24"/>
          <w:szCs w:val="24"/>
        </w:rPr>
        <w:t>变更估价</w:t>
      </w:r>
      <w:r>
        <w:rPr>
          <w:sz w:val="24"/>
          <w:szCs w:val="24"/>
        </w:rPr>
        <w:t>]</w:t>
      </w:r>
      <w:r>
        <w:rPr>
          <w:rFonts w:hint="eastAsia"/>
          <w:sz w:val="24"/>
          <w:szCs w:val="24"/>
        </w:rPr>
        <w:t>约定确定变更估价。</w:t>
      </w:r>
    </w:p>
    <w:p>
      <w:pPr>
        <w:pStyle w:val="66"/>
        <w:spacing w:afterLines="0"/>
        <w:ind w:left="0" w:firstLine="480" w:firstLineChars="200"/>
        <w:rPr>
          <w:rFonts w:cs="宋体"/>
          <w:szCs w:val="24"/>
        </w:rPr>
      </w:pPr>
      <w:bookmarkStart w:id="577" w:name="_Ref3835481"/>
      <w:r>
        <w:rPr>
          <w:rFonts w:cs="宋体"/>
          <w:szCs w:val="24"/>
        </w:rPr>
        <w:t xml:space="preserve">13.3.3 </w:t>
      </w:r>
      <w:r>
        <w:rPr>
          <w:rFonts w:hint="eastAsia" w:cs="宋体"/>
          <w:szCs w:val="24"/>
        </w:rPr>
        <w:t>变更估价</w:t>
      </w:r>
      <w:bookmarkEnd w:id="577"/>
    </w:p>
    <w:p>
      <w:pPr>
        <w:pStyle w:val="67"/>
        <w:widowControl/>
        <w:spacing w:afterLines="0"/>
        <w:ind w:left="0" w:firstLine="480" w:firstLineChars="200"/>
        <w:rPr>
          <w:rFonts w:cs="宋体"/>
          <w:szCs w:val="24"/>
        </w:rPr>
      </w:pPr>
      <w:r>
        <w:rPr>
          <w:rFonts w:cs="宋体"/>
          <w:szCs w:val="24"/>
        </w:rPr>
        <w:t xml:space="preserve">13.3.3.1 </w:t>
      </w:r>
      <w:r>
        <w:rPr>
          <w:rFonts w:hint="eastAsia" w:cs="宋体"/>
          <w:szCs w:val="24"/>
        </w:rPr>
        <w:t>变更估价原则</w:t>
      </w:r>
    </w:p>
    <w:p>
      <w:pPr>
        <w:spacing w:line="360" w:lineRule="auto"/>
        <w:ind w:firstLine="480" w:firstLineChars="200"/>
        <w:rPr>
          <w:sz w:val="24"/>
          <w:szCs w:val="24"/>
        </w:rPr>
      </w:pPr>
      <w:r>
        <w:rPr>
          <w:rFonts w:hint="eastAsia"/>
          <w:sz w:val="24"/>
          <w:szCs w:val="24"/>
        </w:rPr>
        <w:t>除专用合同条件另有约定外，变更估价按照本款约定处理：</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合同中未包含价格清单，合同价格应按照所执行的变更工程的成本加利润调整；</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合同中包含价格清单，合同价格按照如下规则调整：</w:t>
      </w:r>
    </w:p>
    <w:p>
      <w:pPr>
        <w:spacing w:line="360" w:lineRule="auto"/>
        <w:ind w:firstLine="480" w:firstLineChars="200"/>
        <w:rPr>
          <w:sz w:val="24"/>
          <w:szCs w:val="24"/>
        </w:rPr>
      </w:pPr>
      <w:r>
        <w:rPr>
          <w:rFonts w:hint="eastAsia"/>
          <w:sz w:val="24"/>
          <w:szCs w:val="24"/>
        </w:rPr>
        <w:t>（</w:t>
      </w:r>
      <w:r>
        <w:rPr>
          <w:sz w:val="24"/>
          <w:szCs w:val="24"/>
          <w:lang w:val="en-US"/>
        </w:rPr>
        <w:t>3</w:t>
      </w:r>
      <w:r>
        <w:rPr>
          <w:rFonts w:hint="eastAsia"/>
          <w:sz w:val="24"/>
          <w:szCs w:val="24"/>
        </w:rPr>
        <w:t>）</w:t>
      </w:r>
      <w:r>
        <w:rPr>
          <w:sz w:val="24"/>
          <w:szCs w:val="24"/>
        </w:rPr>
        <w:t xml:space="preserve"> </w:t>
      </w:r>
      <w:r>
        <w:rPr>
          <w:rFonts w:hint="eastAsia"/>
          <w:sz w:val="24"/>
          <w:szCs w:val="24"/>
        </w:rPr>
        <w:t>价格清单中有适用于变更工程项目的，应采用该项目的费率和价格；</w:t>
      </w:r>
    </w:p>
    <w:p>
      <w:pPr>
        <w:spacing w:line="360" w:lineRule="auto"/>
        <w:ind w:firstLine="480" w:firstLineChars="200"/>
        <w:rPr>
          <w:sz w:val="24"/>
          <w:szCs w:val="24"/>
        </w:rPr>
      </w:pPr>
      <w:r>
        <w:rPr>
          <w:sz w:val="24"/>
          <w:szCs w:val="24"/>
          <w:lang w:val="en-US"/>
        </w:rPr>
        <w:t>(4</w:t>
      </w:r>
      <w:r>
        <w:rPr>
          <w:rFonts w:hint="eastAsia"/>
          <w:sz w:val="24"/>
          <w:szCs w:val="24"/>
        </w:rPr>
        <w:t>）价格清单中没有适用但有类似于变更工程项目的，可在合理范围内参照类似项目的费率或价格；</w:t>
      </w:r>
    </w:p>
    <w:p>
      <w:pPr>
        <w:spacing w:line="360" w:lineRule="auto"/>
        <w:ind w:firstLine="480" w:firstLineChars="200"/>
        <w:rPr>
          <w:sz w:val="24"/>
          <w:szCs w:val="24"/>
        </w:rPr>
      </w:pPr>
      <w:r>
        <w:rPr>
          <w:sz w:val="24"/>
          <w:szCs w:val="24"/>
          <w:lang w:val="en-US"/>
        </w:rPr>
        <w:t>(5</w:t>
      </w:r>
      <w:r>
        <w:rPr>
          <w:rFonts w:hint="eastAsia"/>
          <w:sz w:val="24"/>
          <w:szCs w:val="24"/>
        </w:rPr>
        <w:t>）</w:t>
      </w:r>
      <w:r>
        <w:rPr>
          <w:sz w:val="24"/>
          <w:szCs w:val="24"/>
        </w:rPr>
        <w:t xml:space="preserve"> </w:t>
      </w:r>
      <w:r>
        <w:rPr>
          <w:rFonts w:hint="eastAsia"/>
          <w:sz w:val="24"/>
          <w:szCs w:val="24"/>
        </w:rPr>
        <w:t>价格清单中没有适用也没有类似于变更工程项目的，该工程项目应按成本加利润原则调整适用新的费率或价格。</w:t>
      </w:r>
    </w:p>
    <w:p>
      <w:pPr>
        <w:pStyle w:val="67"/>
        <w:widowControl/>
        <w:spacing w:afterLines="0"/>
        <w:ind w:left="0" w:firstLine="480" w:firstLineChars="200"/>
        <w:rPr>
          <w:rFonts w:cs="宋体"/>
          <w:szCs w:val="24"/>
        </w:rPr>
      </w:pPr>
      <w:r>
        <w:rPr>
          <w:rFonts w:cs="宋体"/>
          <w:szCs w:val="24"/>
        </w:rPr>
        <w:t xml:space="preserve">13.3.3.2 </w:t>
      </w:r>
      <w:r>
        <w:rPr>
          <w:rFonts w:hint="eastAsia" w:cs="宋体"/>
          <w:szCs w:val="24"/>
        </w:rPr>
        <w:t>变更估价程序</w:t>
      </w:r>
    </w:p>
    <w:p>
      <w:pPr>
        <w:spacing w:line="360" w:lineRule="auto"/>
        <w:ind w:firstLine="480" w:firstLineChars="200"/>
        <w:rPr>
          <w:sz w:val="24"/>
          <w:szCs w:val="24"/>
        </w:rPr>
      </w:pPr>
      <w:bookmarkStart w:id="578" w:name="_Ref531955607"/>
      <w:bookmarkStart w:id="579" w:name="_Ref531955605"/>
      <w:bookmarkStart w:id="580" w:name="_Toc296346651"/>
      <w:bookmarkStart w:id="581" w:name="_Toc337558844"/>
      <w:bookmarkStart w:id="582" w:name="_Toc296503150"/>
      <w:r>
        <w:rPr>
          <w:rFonts w:hint="eastAsia"/>
          <w:sz w:val="24"/>
          <w:szCs w:val="24"/>
        </w:rPr>
        <w:t>承包人应在收到变更指示后</w:t>
      </w:r>
      <w:r>
        <w:rPr>
          <w:sz w:val="24"/>
          <w:szCs w:val="24"/>
        </w:rPr>
        <w:t>14</w:t>
      </w:r>
      <w:r>
        <w:rPr>
          <w:rFonts w:hint="eastAsia"/>
          <w:sz w:val="24"/>
          <w:szCs w:val="24"/>
        </w:rPr>
        <w:t>天内，向工程师提交变更估价申请。工程师应在收到承包人提交的变更估价申请后</w:t>
      </w:r>
      <w:r>
        <w:rPr>
          <w:sz w:val="24"/>
          <w:szCs w:val="24"/>
        </w:rPr>
        <w:t>7</w:t>
      </w:r>
      <w:r>
        <w:rPr>
          <w:rFonts w:hint="eastAsia"/>
          <w:sz w:val="24"/>
          <w:szCs w:val="24"/>
        </w:rPr>
        <w:t>天内审查完毕并报送发包人，工程师对变更估价申请有异议，通知承包人修改后重新提交。发包人应在承包人提交变更估价申请后</w:t>
      </w:r>
      <w:r>
        <w:rPr>
          <w:sz w:val="24"/>
          <w:szCs w:val="24"/>
        </w:rPr>
        <w:t>14</w:t>
      </w:r>
      <w:r>
        <w:rPr>
          <w:rFonts w:hint="eastAsia"/>
          <w:sz w:val="24"/>
          <w:szCs w:val="24"/>
        </w:rPr>
        <w:t>天内审批完毕。发包人逾期未完成审批或未提出异议的，视为认可承包人提交的变更估价申请。</w:t>
      </w:r>
    </w:p>
    <w:p>
      <w:pPr>
        <w:spacing w:line="360" w:lineRule="auto"/>
        <w:ind w:firstLine="480" w:firstLineChars="200"/>
        <w:rPr>
          <w:sz w:val="24"/>
          <w:szCs w:val="24"/>
        </w:rPr>
      </w:pPr>
      <w:r>
        <w:rPr>
          <w:rFonts w:hint="eastAsia"/>
          <w:sz w:val="24"/>
          <w:szCs w:val="24"/>
        </w:rPr>
        <w:t>因变更引起的价格调整应计入最近一期的进度款中支付。</w:t>
      </w:r>
    </w:p>
    <w:p>
      <w:pPr>
        <w:pStyle w:val="66"/>
        <w:spacing w:afterLines="0"/>
        <w:ind w:left="0" w:firstLine="480" w:firstLineChars="200"/>
        <w:rPr>
          <w:rFonts w:cs="宋体"/>
          <w:szCs w:val="24"/>
        </w:rPr>
      </w:pPr>
      <w:r>
        <w:rPr>
          <w:rFonts w:cs="宋体"/>
          <w:szCs w:val="24"/>
        </w:rPr>
        <w:t xml:space="preserve">13.3.4 </w:t>
      </w:r>
      <w:r>
        <w:rPr>
          <w:rFonts w:hint="eastAsia" w:cs="宋体"/>
          <w:szCs w:val="24"/>
        </w:rPr>
        <w:t>变更引起的工期调整</w:t>
      </w:r>
    </w:p>
    <w:p>
      <w:pPr>
        <w:spacing w:line="360" w:lineRule="auto"/>
        <w:ind w:firstLine="480" w:firstLineChars="200"/>
        <w:rPr>
          <w:sz w:val="24"/>
          <w:szCs w:val="24"/>
        </w:rPr>
      </w:pPr>
      <w:r>
        <w:rPr>
          <w:rFonts w:hint="eastAsia"/>
          <w:sz w:val="24"/>
          <w:szCs w:val="24"/>
        </w:rPr>
        <w:t>因变更引起工期变化的，合同当事人均可要求调整合同工期，由合同当事人按照第</w:t>
      </w:r>
      <w:r>
        <w:rPr>
          <w:sz w:val="24"/>
          <w:szCs w:val="24"/>
        </w:rPr>
        <w:t>3.6</w:t>
      </w:r>
      <w:r>
        <w:rPr>
          <w:rFonts w:hint="eastAsia"/>
          <w:sz w:val="24"/>
          <w:szCs w:val="24"/>
        </w:rPr>
        <w:t>款</w:t>
      </w:r>
      <w:r>
        <w:rPr>
          <w:sz w:val="24"/>
          <w:szCs w:val="24"/>
        </w:rPr>
        <w:t>[</w:t>
      </w:r>
      <w:r>
        <w:rPr>
          <w:rFonts w:hint="eastAsia"/>
          <w:sz w:val="24"/>
          <w:szCs w:val="24"/>
        </w:rPr>
        <w:t>商定或确定</w:t>
      </w:r>
      <w:r>
        <w:rPr>
          <w:sz w:val="24"/>
          <w:szCs w:val="24"/>
        </w:rPr>
        <w:t>]</w:t>
      </w:r>
      <w:r>
        <w:rPr>
          <w:rFonts w:hint="eastAsia"/>
          <w:sz w:val="24"/>
          <w:szCs w:val="24"/>
        </w:rPr>
        <w:t>并参考工程所在地的工期定额标准确定增减工期天数。</w:t>
      </w:r>
    </w:p>
    <w:p>
      <w:pPr>
        <w:pStyle w:val="65"/>
        <w:widowControl/>
        <w:spacing w:afterLines="0"/>
        <w:ind w:left="0" w:firstLine="482" w:firstLineChars="200"/>
        <w:rPr>
          <w:rFonts w:ascii="宋体" w:hAnsi="宋体" w:eastAsia="宋体" w:cs="宋体"/>
        </w:rPr>
      </w:pPr>
      <w:bookmarkStart w:id="583" w:name="_Toc54862286"/>
      <w:bookmarkStart w:id="584" w:name="_Ref4431237"/>
      <w:r>
        <w:rPr>
          <w:rFonts w:ascii="宋体" w:hAnsi="宋体" w:eastAsia="宋体" w:cs="宋体"/>
        </w:rPr>
        <w:t xml:space="preserve">13.4 </w:t>
      </w:r>
      <w:r>
        <w:rPr>
          <w:rFonts w:hint="eastAsia" w:ascii="宋体" w:hAnsi="宋体" w:eastAsia="宋体" w:cs="宋体"/>
        </w:rPr>
        <w:t>暂估价</w:t>
      </w:r>
      <w:bookmarkEnd w:id="583"/>
      <w:bookmarkEnd w:id="584"/>
    </w:p>
    <w:p>
      <w:pPr>
        <w:pStyle w:val="66"/>
        <w:spacing w:afterLines="0"/>
        <w:ind w:left="0" w:firstLine="480" w:firstLineChars="200"/>
        <w:rPr>
          <w:rFonts w:cs="宋体"/>
          <w:szCs w:val="24"/>
        </w:rPr>
      </w:pPr>
      <w:bookmarkStart w:id="585" w:name="_Ref4616729"/>
      <w:r>
        <w:rPr>
          <w:rFonts w:cs="宋体"/>
          <w:szCs w:val="24"/>
        </w:rPr>
        <w:t xml:space="preserve">13.4.1 </w:t>
      </w:r>
      <w:r>
        <w:rPr>
          <w:rFonts w:hint="eastAsia" w:cs="宋体"/>
          <w:szCs w:val="24"/>
        </w:rPr>
        <w:t>依法必须招标的暂估价项目</w:t>
      </w:r>
      <w:bookmarkEnd w:id="585"/>
    </w:p>
    <w:p>
      <w:pPr>
        <w:spacing w:line="360" w:lineRule="auto"/>
        <w:ind w:firstLine="480" w:firstLineChars="200"/>
        <w:rPr>
          <w:sz w:val="24"/>
          <w:szCs w:val="24"/>
        </w:rPr>
      </w:pPr>
      <w:r>
        <w:rPr>
          <w:rFonts w:hint="eastAsia"/>
          <w:sz w:val="24"/>
          <w:szCs w:val="24"/>
        </w:rPr>
        <w:t>对于依法必须招标的暂估价项目，专用合同条件约定由承包人作为招标人的，招标文件、评标方案、评标结果应报送发包人批准。与组织招标工作有关的费用应当被认为已经包括在承包人的签约合同价中。</w:t>
      </w:r>
    </w:p>
    <w:p>
      <w:pPr>
        <w:pStyle w:val="68"/>
        <w:spacing w:line="360" w:lineRule="auto"/>
        <w:ind w:left="0" w:firstLine="480" w:firstLineChars="200"/>
        <w:rPr>
          <w:sz w:val="24"/>
          <w:szCs w:val="24"/>
        </w:rPr>
      </w:pPr>
      <w:r>
        <w:rPr>
          <w:rFonts w:hint="eastAsia"/>
          <w:sz w:val="24"/>
          <w:szCs w:val="24"/>
        </w:rPr>
        <w:t>专用合同条件约定由发包人和承包人共同作为招标人的，与组织招标工作有关的费用在专用合同条件中约定。</w:t>
      </w:r>
    </w:p>
    <w:p>
      <w:pPr>
        <w:spacing w:line="360" w:lineRule="auto"/>
        <w:ind w:firstLine="480" w:firstLineChars="200"/>
        <w:rPr>
          <w:sz w:val="24"/>
          <w:szCs w:val="24"/>
        </w:rPr>
      </w:pPr>
      <w:r>
        <w:rPr>
          <w:rFonts w:hint="eastAsia"/>
          <w:sz w:val="24"/>
          <w:szCs w:val="24"/>
        </w:rPr>
        <w:t>具体的招标程序以及发包人和承包人权利义务关系可在专用合同条件中约定。暂估价项目的中标金额与价格清单中所列暂估价的金额差以及相应的税金等其他费用应列入合同价格。</w:t>
      </w:r>
    </w:p>
    <w:p>
      <w:pPr>
        <w:pStyle w:val="66"/>
        <w:spacing w:afterLines="0"/>
        <w:ind w:left="0" w:firstLine="480" w:firstLineChars="200"/>
        <w:rPr>
          <w:rFonts w:cs="宋体"/>
          <w:szCs w:val="24"/>
        </w:rPr>
      </w:pPr>
      <w:bookmarkStart w:id="586" w:name="_Ref4682312"/>
      <w:r>
        <w:rPr>
          <w:rFonts w:cs="宋体"/>
          <w:szCs w:val="24"/>
        </w:rPr>
        <w:t xml:space="preserve">13.4.2 </w:t>
      </w:r>
      <w:r>
        <w:rPr>
          <w:rFonts w:hint="eastAsia" w:cs="宋体"/>
          <w:szCs w:val="24"/>
        </w:rPr>
        <w:t>不属于依法必须招标的暂估价项目</w:t>
      </w:r>
      <w:bookmarkEnd w:id="586"/>
    </w:p>
    <w:p>
      <w:pPr>
        <w:spacing w:line="360" w:lineRule="auto"/>
        <w:ind w:firstLine="480" w:firstLineChars="200"/>
        <w:rPr>
          <w:sz w:val="24"/>
          <w:szCs w:val="24"/>
        </w:rPr>
      </w:pPr>
      <w:r>
        <w:rPr>
          <w:rFonts w:hint="eastAsia"/>
          <w:sz w:val="24"/>
          <w:szCs w:val="24"/>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pPr>
        <w:spacing w:line="360" w:lineRule="auto"/>
        <w:ind w:firstLine="480" w:firstLineChars="200"/>
        <w:rPr>
          <w:sz w:val="24"/>
          <w:szCs w:val="24"/>
        </w:rPr>
      </w:pPr>
      <w:r>
        <w:rPr>
          <w:rFonts w:hint="eastAsia"/>
          <w:sz w:val="24"/>
          <w:szCs w:val="24"/>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5"/>
        <w:widowControl/>
        <w:spacing w:afterLines="0"/>
        <w:ind w:left="0" w:firstLine="482" w:firstLineChars="200"/>
        <w:rPr>
          <w:rFonts w:ascii="宋体" w:hAnsi="宋体" w:eastAsia="宋体" w:cs="宋体"/>
        </w:rPr>
      </w:pPr>
      <w:bookmarkStart w:id="587" w:name="_Ref4431250"/>
      <w:bookmarkStart w:id="588" w:name="_Toc54862287"/>
      <w:r>
        <w:rPr>
          <w:rFonts w:ascii="宋体" w:hAnsi="宋体" w:eastAsia="宋体" w:cs="宋体"/>
        </w:rPr>
        <w:t xml:space="preserve">13.5 </w:t>
      </w:r>
      <w:r>
        <w:rPr>
          <w:rFonts w:hint="eastAsia" w:ascii="宋体" w:hAnsi="宋体" w:eastAsia="宋体" w:cs="宋体"/>
        </w:rPr>
        <w:t>暂列金额</w:t>
      </w:r>
      <w:bookmarkEnd w:id="587"/>
      <w:bookmarkEnd w:id="588"/>
      <w:r>
        <w:rPr>
          <w:rFonts w:ascii="宋体" w:hAnsi="宋体" w:eastAsia="宋体" w:cs="宋体"/>
        </w:rPr>
        <w:t xml:space="preserve"> </w:t>
      </w:r>
      <w:bookmarkEnd w:id="578"/>
      <w:bookmarkEnd w:id="579"/>
    </w:p>
    <w:bookmarkEnd w:id="580"/>
    <w:bookmarkEnd w:id="581"/>
    <w:bookmarkEnd w:id="582"/>
    <w:p>
      <w:pPr>
        <w:spacing w:line="360" w:lineRule="auto"/>
        <w:ind w:firstLine="480" w:firstLineChars="200"/>
        <w:rPr>
          <w:sz w:val="24"/>
          <w:szCs w:val="24"/>
        </w:rPr>
      </w:pPr>
      <w:r>
        <w:rPr>
          <w:rFonts w:hint="eastAsia"/>
          <w:sz w:val="24"/>
          <w:szCs w:val="24"/>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pPr>
        <w:spacing w:line="360" w:lineRule="auto"/>
        <w:ind w:firstLine="480" w:firstLineChars="200"/>
        <w:rPr>
          <w:sz w:val="24"/>
          <w:szCs w:val="24"/>
        </w:rPr>
      </w:pPr>
      <w:r>
        <w:rPr>
          <w:rFonts w:hint="eastAsia"/>
          <w:sz w:val="24"/>
          <w:szCs w:val="24"/>
        </w:rPr>
        <w:t>对于每笔暂列金额，发包人可以指示用于下列支付：</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发包人根据第</w:t>
      </w:r>
      <w:r>
        <w:rPr>
          <w:sz w:val="24"/>
          <w:szCs w:val="24"/>
        </w:rPr>
        <w:t>13.1</w:t>
      </w:r>
      <w:r>
        <w:rPr>
          <w:rFonts w:hint="eastAsia"/>
          <w:sz w:val="24"/>
          <w:szCs w:val="24"/>
        </w:rPr>
        <w:t>款</w:t>
      </w:r>
      <w:r>
        <w:rPr>
          <w:sz w:val="24"/>
          <w:szCs w:val="24"/>
        </w:rPr>
        <w:t>[</w:t>
      </w:r>
      <w:r>
        <w:rPr>
          <w:rFonts w:hint="eastAsia"/>
          <w:sz w:val="24"/>
          <w:szCs w:val="24"/>
        </w:rPr>
        <w:t>发包人变更权</w:t>
      </w:r>
      <w:r>
        <w:rPr>
          <w:sz w:val="24"/>
          <w:szCs w:val="24"/>
        </w:rPr>
        <w:t>]</w:t>
      </w:r>
      <w:r>
        <w:rPr>
          <w:rFonts w:hint="eastAsia"/>
          <w:sz w:val="24"/>
          <w:szCs w:val="24"/>
        </w:rPr>
        <w:t>指示变更，决定对合同价格和付</w:t>
      </w:r>
      <w:r>
        <w:rPr>
          <w:rFonts w:hint="eastAsia"/>
          <w:sz w:val="28"/>
          <w:szCs w:val="28"/>
        </w:rPr>
        <w:t>款计划表</w:t>
      </w:r>
      <w:r>
        <w:rPr>
          <w:rFonts w:hint="eastAsia"/>
          <w:sz w:val="24"/>
          <w:szCs w:val="24"/>
        </w:rPr>
        <w:t>（如有）进行调整的、由承包人实施的工作（包括要提供的工程设备、材料和服务）；</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承包人购买的工程设备、材料、工作或服务，应支付包括承包人已付（或应付）的实际金额以及相应的管理费等费用和利润（管理费和利润应以实际金额为基数根据合同约定的费率（如有）或百分比计算）。</w:t>
      </w:r>
    </w:p>
    <w:p>
      <w:pPr>
        <w:spacing w:line="360" w:lineRule="auto"/>
        <w:ind w:firstLine="480" w:firstLineChars="200"/>
        <w:rPr>
          <w:sz w:val="24"/>
          <w:szCs w:val="24"/>
        </w:rPr>
      </w:pPr>
      <w:r>
        <w:rPr>
          <w:rFonts w:hint="eastAsia"/>
          <w:sz w:val="24"/>
          <w:szCs w:val="24"/>
        </w:rPr>
        <w:t>发包人根据上述</w:t>
      </w:r>
      <w:r>
        <w:rPr>
          <w:sz w:val="24"/>
          <w:szCs w:val="24"/>
        </w:rPr>
        <w:t>(1)</w:t>
      </w:r>
      <w:r>
        <w:rPr>
          <w:rFonts w:hint="eastAsia"/>
          <w:sz w:val="24"/>
          <w:szCs w:val="24"/>
        </w:rPr>
        <w:t>和（或）</w:t>
      </w:r>
      <w:r>
        <w:rPr>
          <w:sz w:val="24"/>
          <w:szCs w:val="24"/>
        </w:rPr>
        <w:t>(2)</w:t>
      </w:r>
      <w:r>
        <w:rPr>
          <w:rFonts w:hint="eastAsia"/>
          <w:sz w:val="24"/>
          <w:szCs w:val="24"/>
        </w:rPr>
        <w:t>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w:t>
      </w:r>
      <w:r>
        <w:rPr>
          <w:sz w:val="24"/>
          <w:szCs w:val="24"/>
        </w:rPr>
        <w:t>7</w:t>
      </w:r>
      <w:r>
        <w:rPr>
          <w:rFonts w:hint="eastAsia"/>
          <w:sz w:val="24"/>
          <w:szCs w:val="24"/>
        </w:rPr>
        <w:t>天内未作回应的，承包人应有权自行接受其中任何一个报价。</w:t>
      </w:r>
    </w:p>
    <w:p>
      <w:pPr>
        <w:spacing w:line="360" w:lineRule="auto"/>
        <w:ind w:firstLine="480" w:firstLineChars="200"/>
        <w:rPr>
          <w:sz w:val="24"/>
          <w:szCs w:val="24"/>
        </w:rPr>
      </w:pPr>
      <w:r>
        <w:rPr>
          <w:rFonts w:hint="eastAsia"/>
          <w:sz w:val="24"/>
          <w:szCs w:val="24"/>
        </w:rPr>
        <w:t>每份包含暂列金额的文件还应包括用以证明暂列金额的所有有效的发票、凭证和账户或收据。</w:t>
      </w:r>
    </w:p>
    <w:p>
      <w:pPr>
        <w:pStyle w:val="65"/>
        <w:widowControl/>
        <w:spacing w:afterLines="0"/>
        <w:ind w:left="0" w:firstLine="482" w:firstLineChars="200"/>
        <w:rPr>
          <w:rFonts w:ascii="宋体" w:hAnsi="宋体" w:eastAsia="宋体" w:cs="宋体"/>
        </w:rPr>
      </w:pPr>
      <w:bookmarkStart w:id="589" w:name="_Ref4431438"/>
      <w:bookmarkStart w:id="590" w:name="_Toc337558845"/>
      <w:bookmarkStart w:id="591" w:name="_Toc296346653"/>
      <w:bookmarkStart w:id="592" w:name="_Toc54862288"/>
      <w:bookmarkStart w:id="593" w:name="_Toc296503152"/>
      <w:r>
        <w:rPr>
          <w:rFonts w:ascii="宋体" w:hAnsi="宋体" w:eastAsia="宋体" w:cs="宋体"/>
        </w:rPr>
        <w:t xml:space="preserve">13.6 </w:t>
      </w:r>
      <w:r>
        <w:rPr>
          <w:rFonts w:hint="eastAsia" w:ascii="宋体" w:hAnsi="宋体" w:eastAsia="宋体" w:cs="宋体"/>
        </w:rPr>
        <w:t>计日工</w:t>
      </w:r>
      <w:bookmarkEnd w:id="589"/>
      <w:bookmarkEnd w:id="590"/>
      <w:bookmarkEnd w:id="591"/>
      <w:bookmarkEnd w:id="592"/>
      <w:bookmarkEnd w:id="593"/>
    </w:p>
    <w:p>
      <w:pPr>
        <w:pStyle w:val="66"/>
        <w:spacing w:afterLines="0"/>
        <w:ind w:left="0" w:firstLine="480" w:firstLineChars="200"/>
        <w:rPr>
          <w:rFonts w:cs="宋体"/>
          <w:szCs w:val="24"/>
        </w:rPr>
      </w:pPr>
      <w:r>
        <w:rPr>
          <w:rFonts w:cs="宋体"/>
          <w:szCs w:val="24"/>
        </w:rPr>
        <w:t xml:space="preserve">13.6.1 </w:t>
      </w:r>
      <w:r>
        <w:rPr>
          <w:rFonts w:hint="eastAsia" w:cs="宋体"/>
          <w:szCs w:val="24"/>
        </w:rPr>
        <w:t>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w:t>
      </w:r>
      <w:r>
        <w:rPr>
          <w:rFonts w:cs="宋体"/>
          <w:szCs w:val="24"/>
        </w:rPr>
        <w:t>3.6</w:t>
      </w:r>
      <w:r>
        <w:rPr>
          <w:rFonts w:hint="eastAsia" w:cs="宋体"/>
          <w:szCs w:val="24"/>
        </w:rPr>
        <w:t>款</w:t>
      </w:r>
      <w:r>
        <w:rPr>
          <w:rFonts w:cs="宋体"/>
          <w:szCs w:val="24"/>
        </w:rPr>
        <w:t>[</w:t>
      </w:r>
      <w:r>
        <w:rPr>
          <w:rFonts w:hint="eastAsia" w:cs="宋体"/>
          <w:szCs w:val="24"/>
        </w:rPr>
        <w:t>商定或确定</w:t>
      </w:r>
      <w:r>
        <w:rPr>
          <w:rFonts w:cs="宋体"/>
          <w:szCs w:val="24"/>
        </w:rPr>
        <w:t>]</w:t>
      </w:r>
      <w:r>
        <w:rPr>
          <w:rFonts w:hint="eastAsia" w:cs="宋体"/>
          <w:szCs w:val="24"/>
        </w:rPr>
        <w:t>确定计日工的单价。</w:t>
      </w:r>
    </w:p>
    <w:p>
      <w:pPr>
        <w:pStyle w:val="66"/>
        <w:spacing w:afterLines="0"/>
        <w:ind w:left="0" w:firstLine="480" w:firstLineChars="200"/>
        <w:rPr>
          <w:rFonts w:cs="宋体"/>
          <w:szCs w:val="24"/>
        </w:rPr>
      </w:pPr>
      <w:r>
        <w:rPr>
          <w:rFonts w:cs="宋体"/>
          <w:szCs w:val="24"/>
        </w:rPr>
        <w:t xml:space="preserve">13.6.2 </w:t>
      </w:r>
      <w:r>
        <w:rPr>
          <w:rFonts w:hint="eastAsia" w:cs="宋体"/>
          <w:szCs w:val="24"/>
        </w:rPr>
        <w:t>采用计日工计价的任何一项工作，承包人应在该项工作实施过程中，每天提交以下报表和有关凭证报送工程师审查：</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工作名称、内容和数量；</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投入该工作的所有人员的姓名、专业、工种、级别和耗用工时；</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投入该工作的材料类别和数量；</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投入该工作的施工设备型号、台数和耗用台时；</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其他有关资料和凭证。</w:t>
      </w:r>
    </w:p>
    <w:p>
      <w:pPr>
        <w:spacing w:line="360" w:lineRule="auto"/>
        <w:ind w:firstLine="480" w:firstLineChars="200"/>
        <w:rPr>
          <w:sz w:val="24"/>
          <w:szCs w:val="24"/>
        </w:rPr>
      </w:pPr>
      <w:r>
        <w:rPr>
          <w:rFonts w:hint="eastAsia"/>
          <w:sz w:val="24"/>
          <w:szCs w:val="24"/>
        </w:rPr>
        <w:t>计日工由承包人汇总后，列入最近一期进度付款申请单，由工程师审查并经发包人批准后列入进度付款。</w:t>
      </w:r>
    </w:p>
    <w:p>
      <w:pPr>
        <w:pStyle w:val="65"/>
        <w:widowControl/>
        <w:spacing w:afterLines="0"/>
        <w:ind w:left="0" w:firstLine="482" w:firstLineChars="200"/>
        <w:rPr>
          <w:rFonts w:ascii="宋体" w:hAnsi="宋体" w:eastAsia="宋体" w:cs="宋体"/>
        </w:rPr>
      </w:pPr>
      <w:bookmarkStart w:id="594" w:name="_Ref4617331"/>
      <w:bookmarkStart w:id="595" w:name="_Ref4617318"/>
      <w:bookmarkStart w:id="596" w:name="_Toc54862289"/>
      <w:r>
        <w:rPr>
          <w:rFonts w:ascii="宋体" w:hAnsi="宋体" w:eastAsia="宋体" w:cs="宋体"/>
        </w:rPr>
        <w:t xml:space="preserve">13.7 </w:t>
      </w:r>
      <w:r>
        <w:rPr>
          <w:rFonts w:hint="eastAsia" w:ascii="宋体" w:hAnsi="宋体" w:eastAsia="宋体" w:cs="宋体"/>
        </w:rPr>
        <w:t>法律变化引起的调整</w:t>
      </w:r>
      <w:bookmarkEnd w:id="594"/>
      <w:bookmarkEnd w:id="595"/>
      <w:bookmarkEnd w:id="596"/>
    </w:p>
    <w:p>
      <w:pPr>
        <w:pStyle w:val="66"/>
        <w:spacing w:afterLines="0"/>
        <w:ind w:left="0" w:firstLine="480" w:firstLineChars="200"/>
        <w:rPr>
          <w:rFonts w:cs="宋体"/>
          <w:szCs w:val="24"/>
        </w:rPr>
      </w:pPr>
      <w:r>
        <w:rPr>
          <w:rFonts w:cs="宋体"/>
          <w:szCs w:val="24"/>
        </w:rPr>
        <w:t xml:space="preserve">13.7.1 </w:t>
      </w:r>
      <w:r>
        <w:rPr>
          <w:rFonts w:hint="eastAsia" w:cs="宋体"/>
          <w:szCs w:val="24"/>
        </w:rPr>
        <w:t>基准日期后，法律变化导致承包人在合同履行过程中所需要的费用发生除第</w:t>
      </w:r>
      <w:r>
        <w:rPr>
          <w:rFonts w:cs="宋体"/>
          <w:szCs w:val="24"/>
        </w:rPr>
        <w:t>13.8</w:t>
      </w:r>
      <w:r>
        <w:rPr>
          <w:rFonts w:hint="eastAsia" w:cs="宋体"/>
          <w:szCs w:val="24"/>
        </w:rPr>
        <w:t>款</w:t>
      </w:r>
      <w:r>
        <w:rPr>
          <w:rFonts w:cs="宋体"/>
          <w:szCs w:val="24"/>
        </w:rPr>
        <w:t>[</w:t>
      </w:r>
      <w:r>
        <w:rPr>
          <w:rFonts w:hint="eastAsia" w:cs="宋体"/>
          <w:szCs w:val="24"/>
        </w:rPr>
        <w:t>市场价格波动引起的调整</w:t>
      </w:r>
      <w:r>
        <w:rPr>
          <w:rFonts w:cs="宋体"/>
          <w:szCs w:val="24"/>
        </w:rPr>
        <w:t>]</w:t>
      </w:r>
      <w:r>
        <w:rPr>
          <w:rFonts w:hint="eastAsia" w:cs="宋体"/>
          <w:szCs w:val="24"/>
        </w:rPr>
        <w:t>约定以外的增加时，由发包人承担由此增加的费用；减少时，应从合同价格中予以扣减。基准日期后，因法律变化造成工期延误时，工期应予以顺延。</w:t>
      </w:r>
    </w:p>
    <w:p>
      <w:pPr>
        <w:pStyle w:val="66"/>
        <w:spacing w:afterLines="0"/>
        <w:ind w:left="0" w:firstLine="480" w:firstLineChars="200"/>
        <w:rPr>
          <w:rFonts w:cs="宋体"/>
          <w:szCs w:val="24"/>
        </w:rPr>
      </w:pPr>
      <w:r>
        <w:rPr>
          <w:rFonts w:cs="宋体"/>
          <w:szCs w:val="24"/>
        </w:rPr>
        <w:t xml:space="preserve">13.7.2 </w:t>
      </w:r>
      <w:r>
        <w:rPr>
          <w:rFonts w:hint="eastAsia" w:cs="宋体"/>
          <w:szCs w:val="24"/>
        </w:rPr>
        <w:t>因法律变化引起的合同价格和工期调整，合同当事人无法达成一致的，由工程师按第</w:t>
      </w:r>
      <w:r>
        <w:rPr>
          <w:rFonts w:cs="宋体"/>
          <w:szCs w:val="24"/>
        </w:rPr>
        <w:t>3.6</w:t>
      </w:r>
      <w:r>
        <w:rPr>
          <w:rFonts w:hint="eastAsia" w:cs="宋体"/>
          <w:szCs w:val="24"/>
        </w:rPr>
        <w:t>款</w:t>
      </w:r>
      <w:r>
        <w:rPr>
          <w:rFonts w:cs="宋体"/>
          <w:szCs w:val="24"/>
        </w:rPr>
        <w:t>[</w:t>
      </w:r>
      <w:r>
        <w:rPr>
          <w:rFonts w:hint="eastAsia" w:cs="宋体"/>
          <w:szCs w:val="24"/>
        </w:rPr>
        <w:t>商定或确定</w:t>
      </w:r>
      <w:r>
        <w:rPr>
          <w:rFonts w:cs="宋体"/>
          <w:szCs w:val="24"/>
        </w:rPr>
        <w:t>]</w:t>
      </w:r>
      <w:r>
        <w:rPr>
          <w:rFonts w:hint="eastAsia" w:cs="宋体"/>
          <w:szCs w:val="24"/>
        </w:rPr>
        <w:t>的约定处理。</w:t>
      </w:r>
    </w:p>
    <w:p>
      <w:pPr>
        <w:pStyle w:val="66"/>
        <w:spacing w:afterLines="0"/>
        <w:ind w:left="0" w:firstLine="480" w:firstLineChars="200"/>
        <w:rPr>
          <w:rFonts w:cs="宋体"/>
          <w:szCs w:val="24"/>
        </w:rPr>
      </w:pPr>
      <w:r>
        <w:rPr>
          <w:rFonts w:cs="宋体"/>
          <w:szCs w:val="24"/>
        </w:rPr>
        <w:t xml:space="preserve">13.7.3 </w:t>
      </w:r>
      <w:r>
        <w:rPr>
          <w:rFonts w:hint="eastAsia" w:cs="宋体"/>
          <w:szCs w:val="24"/>
        </w:rPr>
        <w:t>因承包人原因造成工期延误，在工期延误期间出现法律变化的，由此增加的费用和（或）延误的工期由承包人承担。</w:t>
      </w:r>
    </w:p>
    <w:p>
      <w:pPr>
        <w:pStyle w:val="66"/>
        <w:spacing w:afterLines="0"/>
        <w:ind w:left="0" w:firstLine="480" w:firstLineChars="200"/>
        <w:rPr>
          <w:rFonts w:cs="宋体"/>
          <w:szCs w:val="24"/>
        </w:rPr>
      </w:pPr>
      <w:r>
        <w:rPr>
          <w:rFonts w:cs="宋体"/>
          <w:szCs w:val="24"/>
        </w:rPr>
        <w:t xml:space="preserve">13.7.4 </w:t>
      </w:r>
      <w:r>
        <w:rPr>
          <w:rFonts w:hint="eastAsia" w:cs="宋体"/>
          <w:szCs w:val="24"/>
        </w:rPr>
        <w:t>因法律变化而需要对工程的实施进行任何调整的，承包人应迅速通知发包人，或者发包人应迅速通知承包人，并附上详细的辅助资料。发包人接到通知后，应根据第</w:t>
      </w:r>
      <w:r>
        <w:rPr>
          <w:rFonts w:cs="宋体"/>
          <w:szCs w:val="24"/>
        </w:rPr>
        <w:t>13.3</w:t>
      </w:r>
      <w:r>
        <w:rPr>
          <w:rFonts w:hint="eastAsia" w:cs="宋体"/>
          <w:szCs w:val="24"/>
        </w:rPr>
        <w:t>款</w:t>
      </w:r>
      <w:r>
        <w:rPr>
          <w:rFonts w:cs="宋体"/>
          <w:szCs w:val="24"/>
        </w:rPr>
        <w:t>[</w:t>
      </w:r>
      <w:r>
        <w:rPr>
          <w:rFonts w:hint="eastAsia" w:cs="宋体"/>
          <w:szCs w:val="24"/>
        </w:rPr>
        <w:t>变更程序</w:t>
      </w:r>
      <w:r>
        <w:rPr>
          <w:rFonts w:cs="宋体"/>
          <w:szCs w:val="24"/>
        </w:rPr>
        <w:t>]</w:t>
      </w:r>
      <w:r>
        <w:rPr>
          <w:rFonts w:hint="eastAsia" w:cs="宋体"/>
          <w:szCs w:val="24"/>
        </w:rPr>
        <w:t>发出变更指示。</w:t>
      </w:r>
    </w:p>
    <w:p>
      <w:pPr>
        <w:pStyle w:val="65"/>
        <w:widowControl/>
        <w:spacing w:afterLines="0"/>
        <w:ind w:left="0" w:firstLine="482" w:firstLineChars="200"/>
        <w:rPr>
          <w:rFonts w:ascii="宋体" w:hAnsi="宋体" w:eastAsia="宋体" w:cs="宋体"/>
        </w:rPr>
      </w:pPr>
      <w:bookmarkStart w:id="597" w:name="_Ref18977613"/>
      <w:bookmarkStart w:id="598" w:name="_Toc54862290"/>
      <w:bookmarkStart w:id="599" w:name="_Ref531955627"/>
      <w:bookmarkStart w:id="600" w:name="_Ref531955630"/>
      <w:r>
        <w:rPr>
          <w:rFonts w:ascii="宋体" w:hAnsi="宋体" w:eastAsia="宋体" w:cs="宋体"/>
        </w:rPr>
        <w:t xml:space="preserve">13.8 </w:t>
      </w:r>
      <w:r>
        <w:rPr>
          <w:rFonts w:hint="eastAsia" w:ascii="宋体" w:hAnsi="宋体" w:eastAsia="宋体" w:cs="宋体"/>
        </w:rPr>
        <w:t>市场价格波动引起的调整</w:t>
      </w:r>
      <w:bookmarkEnd w:id="597"/>
      <w:bookmarkEnd w:id="598"/>
      <w:bookmarkEnd w:id="599"/>
      <w:bookmarkEnd w:id="600"/>
    </w:p>
    <w:p>
      <w:pPr>
        <w:pStyle w:val="66"/>
        <w:spacing w:afterLines="0"/>
        <w:ind w:left="0" w:firstLine="480" w:firstLineChars="200"/>
        <w:rPr>
          <w:rFonts w:cs="宋体"/>
          <w:szCs w:val="24"/>
        </w:rPr>
      </w:pPr>
      <w:bookmarkStart w:id="601" w:name="_Ref4709841"/>
      <w:r>
        <w:rPr>
          <w:rFonts w:cs="宋体"/>
          <w:szCs w:val="24"/>
        </w:rPr>
        <w:t xml:space="preserve">13.8.1 </w:t>
      </w:r>
      <w:r>
        <w:rPr>
          <w:rFonts w:hint="eastAsia" w:cs="宋体"/>
          <w:szCs w:val="24"/>
        </w:rPr>
        <w:t>主要工程材料、设备、人工价格与招标时基期价相比，波动幅度超过合同约定幅度的，双方按照合同约定的价格调整方式调整。</w:t>
      </w:r>
    </w:p>
    <w:p>
      <w:pPr>
        <w:pStyle w:val="66"/>
        <w:spacing w:afterLines="0"/>
        <w:ind w:left="0" w:firstLine="480" w:firstLineChars="200"/>
        <w:rPr>
          <w:rFonts w:cs="宋体"/>
          <w:szCs w:val="24"/>
        </w:rPr>
      </w:pPr>
      <w:r>
        <w:rPr>
          <w:rFonts w:cs="宋体"/>
          <w:szCs w:val="24"/>
        </w:rPr>
        <w:t xml:space="preserve">13.8.2 </w:t>
      </w:r>
      <w:r>
        <w:rPr>
          <w:rFonts w:hint="eastAsia" w:cs="宋体"/>
          <w:szCs w:val="24"/>
        </w:rPr>
        <w:t>发包人与承包人在专用合同条件中约定采用《价格指数权重表》的，适用本项约定。</w:t>
      </w:r>
    </w:p>
    <w:p>
      <w:pPr>
        <w:pStyle w:val="67"/>
        <w:spacing w:afterLines="0"/>
        <w:ind w:left="0" w:firstLine="480" w:firstLineChars="200"/>
        <w:rPr>
          <w:rFonts w:cs="宋体"/>
          <w:szCs w:val="24"/>
        </w:rPr>
      </w:pPr>
      <w:r>
        <w:rPr>
          <w:rFonts w:cs="宋体"/>
          <w:szCs w:val="24"/>
        </w:rPr>
        <w:t xml:space="preserve">13.8.2.1 </w:t>
      </w:r>
      <w:r>
        <w:rPr>
          <w:rFonts w:hint="eastAsia" w:cs="宋体"/>
          <w:szCs w:val="24"/>
        </w:rPr>
        <w:t>双方当事人可以将部分主要工程材料、工程设备、人工价格及其他双方认为应当根据市场价格调整的费用列入附件</w:t>
      </w:r>
      <w:r>
        <w:rPr>
          <w:rFonts w:cs="宋体"/>
          <w:szCs w:val="24"/>
        </w:rPr>
        <w:t>6[</w:t>
      </w:r>
      <w:r>
        <w:rPr>
          <w:rFonts w:hint="eastAsia" w:cs="宋体"/>
          <w:szCs w:val="24"/>
        </w:rPr>
        <w:t>价格指数权重表</w:t>
      </w:r>
      <w:r>
        <w:rPr>
          <w:rFonts w:cs="宋体"/>
          <w:szCs w:val="24"/>
        </w:rPr>
        <w:t>]</w:t>
      </w:r>
      <w:r>
        <w:rPr>
          <w:rFonts w:hint="eastAsia" w:cs="宋体"/>
          <w:szCs w:val="24"/>
        </w:rPr>
        <w:t>，并根据以下公式计算差额并调整合同价格：</w:t>
      </w:r>
    </w:p>
    <w:bookmarkEnd w:id="601"/>
    <w:p>
      <w:pPr>
        <w:spacing w:line="360" w:lineRule="auto"/>
        <w:ind w:firstLine="600"/>
        <w:rPr>
          <w:sz w:val="24"/>
          <w:szCs w:val="24"/>
        </w:rPr>
      </w:pPr>
      <w:bookmarkStart w:id="602" w:name="_Ref4616996"/>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价格调整公式</w:t>
      </w:r>
      <w:bookmarkEnd w:id="602"/>
    </w:p>
    <w:p>
      <w:pPr>
        <w:spacing w:line="360" w:lineRule="auto"/>
        <w:rPr>
          <w:sz w:val="24"/>
          <w:szCs w:val="24"/>
        </w:rPr>
      </w:pPr>
      <w:r>
        <w:rPr>
          <w:sz w:val="24"/>
          <w:szCs w:val="24"/>
          <w:lang w:val="en-US"/>
        </w:rPr>
        <w:pict>
          <v:shape id="_x0000_i1025" o:spt="75" type="#_x0000_t75" style="height:54pt;width:372pt;" filled="f" o:preferrelative="t" stroked="f" coordsize="21600,21600">
            <v:path/>
            <v:fill on="f" focussize="0,0"/>
            <v:stroke on="f" joinstyle="miter"/>
            <v:imagedata r:id="rId34" o:title=""/>
            <o:lock v:ext="edit" aspectratio="t"/>
            <w10:wrap type="none"/>
            <w10:anchorlock/>
          </v:shape>
        </w:pict>
      </w:r>
    </w:p>
    <w:p>
      <w:pPr>
        <w:spacing w:line="360" w:lineRule="auto"/>
        <w:ind w:firstLine="600"/>
        <w:rPr>
          <w:sz w:val="24"/>
          <w:szCs w:val="24"/>
        </w:rPr>
      </w:pPr>
      <w:r>
        <w:rPr>
          <w:rFonts w:hint="eastAsia"/>
          <w:sz w:val="24"/>
          <w:szCs w:val="24"/>
        </w:rPr>
        <w:t>公式中：△</w:t>
      </w:r>
      <w:r>
        <w:rPr>
          <w:sz w:val="24"/>
          <w:szCs w:val="24"/>
        </w:rPr>
        <w:t>P---</w:t>
      </w:r>
      <w:r>
        <w:rPr>
          <w:rFonts w:hint="eastAsia"/>
          <w:sz w:val="24"/>
          <w:szCs w:val="24"/>
        </w:rPr>
        <w:t>需调整的价格差额；</w:t>
      </w:r>
    </w:p>
    <w:p>
      <w:pPr>
        <w:spacing w:line="360" w:lineRule="auto"/>
        <w:ind w:firstLine="600"/>
        <w:rPr>
          <w:sz w:val="24"/>
          <w:szCs w:val="24"/>
        </w:rPr>
      </w:pPr>
      <w:r>
        <w:rPr>
          <w:sz w:val="24"/>
          <w:szCs w:val="24"/>
        </w:rPr>
        <w:t>P</w:t>
      </w:r>
      <w:r>
        <w:rPr>
          <w:sz w:val="24"/>
          <w:szCs w:val="24"/>
          <w:vertAlign w:val="subscript"/>
        </w:rPr>
        <w:t>O</w:t>
      </w:r>
      <w:r>
        <w:rPr>
          <w:sz w:val="24"/>
          <w:szCs w:val="24"/>
        </w:rPr>
        <w:t>---</w:t>
      </w:r>
      <w:r>
        <w:rPr>
          <w:rFonts w:hint="eastAsia"/>
          <w:sz w:val="24"/>
          <w:szCs w:val="24"/>
        </w:rPr>
        <w:t>付款证书中承包人应得到的已完成工作量的金额。此项金额应不包括价格调整、不计质量保证金的预留和支付、预付款的支付和扣回。第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约定的变更及其他金额已按当期价格计价的，也不计在内；</w:t>
      </w:r>
    </w:p>
    <w:p>
      <w:pPr>
        <w:spacing w:line="360" w:lineRule="auto"/>
        <w:ind w:firstLine="600"/>
        <w:rPr>
          <w:sz w:val="24"/>
          <w:szCs w:val="24"/>
        </w:rPr>
      </w:pPr>
      <w:r>
        <w:rPr>
          <w:sz w:val="24"/>
          <w:szCs w:val="24"/>
        </w:rPr>
        <w:t>A ---</w:t>
      </w:r>
      <w:r>
        <w:rPr>
          <w:rFonts w:hint="eastAsia"/>
          <w:sz w:val="24"/>
          <w:szCs w:val="24"/>
        </w:rPr>
        <w:t>定值权重（即不调部分的权重）；</w:t>
      </w:r>
      <w:r>
        <w:rPr>
          <w:sz w:val="24"/>
          <w:szCs w:val="24"/>
        </w:rPr>
        <w:t xml:space="preserve"> </w:t>
      </w:r>
    </w:p>
    <w:p>
      <w:pPr>
        <w:spacing w:line="360" w:lineRule="auto"/>
        <w:ind w:firstLine="600"/>
        <w:rPr>
          <w:sz w:val="24"/>
          <w:szCs w:val="24"/>
        </w:rPr>
      </w:pPr>
      <w:bookmarkStart w:id="603" w:name="_Hlk24103184"/>
      <w:r>
        <w:rPr>
          <w:sz w:val="24"/>
          <w:szCs w:val="24"/>
        </w:rPr>
        <w:t>B</w:t>
      </w:r>
      <w:r>
        <w:rPr>
          <w:sz w:val="24"/>
          <w:szCs w:val="24"/>
          <w:vertAlign w:val="subscript"/>
        </w:rPr>
        <w:t>1</w:t>
      </w:r>
      <w:bookmarkEnd w:id="603"/>
      <w:r>
        <w:rPr>
          <w:rFonts w:hint="eastAsia"/>
          <w:sz w:val="24"/>
          <w:szCs w:val="24"/>
        </w:rPr>
        <w:t>；</w:t>
      </w:r>
      <w:bookmarkStart w:id="604" w:name="_Hlk24103205"/>
      <w:r>
        <w:rPr>
          <w:sz w:val="24"/>
          <w:szCs w:val="24"/>
        </w:rPr>
        <w:t>B</w:t>
      </w:r>
      <w:r>
        <w:rPr>
          <w:sz w:val="24"/>
          <w:szCs w:val="24"/>
          <w:vertAlign w:val="subscript"/>
        </w:rPr>
        <w:t>2</w:t>
      </w:r>
      <w:bookmarkEnd w:id="604"/>
      <w:r>
        <w:rPr>
          <w:rFonts w:hint="eastAsia"/>
          <w:sz w:val="24"/>
          <w:szCs w:val="24"/>
        </w:rPr>
        <w:t>；</w:t>
      </w:r>
      <w:bookmarkStart w:id="605" w:name="_Hlk24103220"/>
      <w:r>
        <w:rPr>
          <w:sz w:val="24"/>
          <w:szCs w:val="24"/>
        </w:rPr>
        <w:t>B</w:t>
      </w:r>
      <w:r>
        <w:rPr>
          <w:sz w:val="24"/>
          <w:szCs w:val="24"/>
          <w:vertAlign w:val="subscript"/>
        </w:rPr>
        <w:t>3</w:t>
      </w:r>
      <w:bookmarkEnd w:id="605"/>
      <w:r>
        <w:rPr>
          <w:rFonts w:hint="eastAsia"/>
          <w:sz w:val="24"/>
          <w:szCs w:val="24"/>
        </w:rPr>
        <w:t>；……</w:t>
      </w:r>
      <w:bookmarkStart w:id="606" w:name="_Hlk24103245"/>
      <w:r>
        <w:rPr>
          <w:sz w:val="24"/>
          <w:szCs w:val="24"/>
        </w:rPr>
        <w:t>B</w:t>
      </w:r>
      <w:r>
        <w:rPr>
          <w:sz w:val="24"/>
          <w:szCs w:val="24"/>
          <w:vertAlign w:val="subscript"/>
        </w:rPr>
        <w:t>n</w:t>
      </w:r>
      <w:bookmarkEnd w:id="606"/>
      <w:r>
        <w:rPr>
          <w:sz w:val="24"/>
          <w:szCs w:val="24"/>
        </w:rPr>
        <w:t>---</w:t>
      </w:r>
      <w:r>
        <w:rPr>
          <w:rFonts w:hint="eastAsia"/>
          <w:sz w:val="24"/>
          <w:szCs w:val="24"/>
        </w:rPr>
        <w:t>各可调因子的变值权重（即可调部分的权重）为各可调因子在投标函投标总报价中所占的比例，且</w:t>
      </w:r>
      <w:r>
        <w:rPr>
          <w:sz w:val="24"/>
          <w:szCs w:val="24"/>
        </w:rPr>
        <w:t>A+B</w:t>
      </w:r>
      <w:r>
        <w:rPr>
          <w:sz w:val="24"/>
          <w:szCs w:val="24"/>
          <w:vertAlign w:val="subscript"/>
        </w:rPr>
        <w:t>1</w:t>
      </w:r>
      <w:r>
        <w:rPr>
          <w:sz w:val="24"/>
          <w:szCs w:val="24"/>
        </w:rPr>
        <w:t>+B</w:t>
      </w:r>
      <w:r>
        <w:rPr>
          <w:sz w:val="24"/>
          <w:szCs w:val="24"/>
          <w:vertAlign w:val="subscript"/>
        </w:rPr>
        <w:t>2</w:t>
      </w:r>
      <w:r>
        <w:rPr>
          <w:sz w:val="24"/>
          <w:szCs w:val="24"/>
        </w:rPr>
        <w:t>+B</w:t>
      </w:r>
      <w:r>
        <w:rPr>
          <w:sz w:val="24"/>
          <w:szCs w:val="24"/>
          <w:vertAlign w:val="subscript"/>
        </w:rPr>
        <w:t>3</w:t>
      </w:r>
      <w:r>
        <w:rPr>
          <w:sz w:val="24"/>
          <w:szCs w:val="24"/>
        </w:rPr>
        <w:t>+</w:t>
      </w:r>
      <w:r>
        <w:rPr>
          <w:rFonts w:hint="eastAsia"/>
          <w:sz w:val="24"/>
          <w:szCs w:val="24"/>
        </w:rPr>
        <w:t>……</w:t>
      </w:r>
      <w:r>
        <w:rPr>
          <w:sz w:val="24"/>
          <w:szCs w:val="24"/>
        </w:rPr>
        <w:t>+B</w:t>
      </w:r>
      <w:r>
        <w:rPr>
          <w:sz w:val="24"/>
          <w:szCs w:val="24"/>
          <w:vertAlign w:val="subscript"/>
        </w:rPr>
        <w:t>n</w:t>
      </w:r>
      <w:r>
        <w:rPr>
          <w:sz w:val="24"/>
          <w:szCs w:val="24"/>
        </w:rPr>
        <w:t>=1</w:t>
      </w:r>
      <w:r>
        <w:rPr>
          <w:rFonts w:hint="eastAsia"/>
          <w:sz w:val="24"/>
          <w:szCs w:val="24"/>
        </w:rPr>
        <w:t>；</w:t>
      </w:r>
    </w:p>
    <w:p>
      <w:pPr>
        <w:spacing w:line="360" w:lineRule="auto"/>
        <w:ind w:firstLine="600"/>
        <w:rPr>
          <w:sz w:val="24"/>
          <w:szCs w:val="24"/>
        </w:rPr>
      </w:pPr>
      <w:r>
        <w:rPr>
          <w:sz w:val="24"/>
          <w:szCs w:val="24"/>
        </w:rPr>
        <w:t>F</w:t>
      </w:r>
      <w:r>
        <w:rPr>
          <w:sz w:val="24"/>
          <w:szCs w:val="24"/>
          <w:vertAlign w:val="subscript"/>
        </w:rPr>
        <w:t>t1</w:t>
      </w:r>
      <w:r>
        <w:rPr>
          <w:rFonts w:hint="eastAsia"/>
          <w:sz w:val="24"/>
          <w:szCs w:val="24"/>
        </w:rPr>
        <w:t>；</w:t>
      </w:r>
      <w:r>
        <w:rPr>
          <w:sz w:val="24"/>
          <w:szCs w:val="24"/>
        </w:rPr>
        <w:t>F</w:t>
      </w:r>
      <w:r>
        <w:rPr>
          <w:sz w:val="24"/>
          <w:szCs w:val="24"/>
          <w:vertAlign w:val="subscript"/>
        </w:rPr>
        <w:t>t2</w:t>
      </w:r>
      <w:r>
        <w:rPr>
          <w:rFonts w:hint="eastAsia"/>
          <w:sz w:val="24"/>
          <w:szCs w:val="24"/>
        </w:rPr>
        <w:t>；</w:t>
      </w:r>
      <w:r>
        <w:rPr>
          <w:sz w:val="24"/>
          <w:szCs w:val="24"/>
        </w:rPr>
        <w:t>F</w:t>
      </w:r>
      <w:r>
        <w:rPr>
          <w:sz w:val="24"/>
          <w:szCs w:val="24"/>
          <w:vertAlign w:val="subscript"/>
        </w:rPr>
        <w:t>t3</w:t>
      </w:r>
      <w:r>
        <w:rPr>
          <w:rFonts w:hint="eastAsia"/>
          <w:sz w:val="24"/>
          <w:szCs w:val="24"/>
        </w:rPr>
        <w:t>；……</w:t>
      </w:r>
      <w:r>
        <w:rPr>
          <w:sz w:val="24"/>
          <w:szCs w:val="24"/>
        </w:rPr>
        <w:t>F</w:t>
      </w:r>
      <w:r>
        <w:rPr>
          <w:sz w:val="24"/>
          <w:szCs w:val="24"/>
          <w:vertAlign w:val="subscript"/>
        </w:rPr>
        <w:t>tn</w:t>
      </w:r>
      <w:r>
        <w:rPr>
          <w:sz w:val="24"/>
          <w:szCs w:val="24"/>
        </w:rPr>
        <w:t>---</w:t>
      </w:r>
      <w:r>
        <w:rPr>
          <w:rFonts w:hint="eastAsia"/>
          <w:sz w:val="24"/>
          <w:szCs w:val="24"/>
        </w:rPr>
        <w:t>各可调因子的当期价格指数，指付款证书相关周期最后一天的前</w:t>
      </w:r>
      <w:r>
        <w:rPr>
          <w:sz w:val="24"/>
          <w:szCs w:val="24"/>
        </w:rPr>
        <w:t>42</w:t>
      </w:r>
      <w:r>
        <w:rPr>
          <w:rFonts w:hint="eastAsia"/>
          <w:sz w:val="24"/>
          <w:szCs w:val="24"/>
        </w:rPr>
        <w:t>天的各可调因子的价格指数；</w:t>
      </w:r>
    </w:p>
    <w:p>
      <w:pPr>
        <w:spacing w:line="360" w:lineRule="auto"/>
        <w:ind w:firstLine="600"/>
        <w:rPr>
          <w:sz w:val="24"/>
          <w:szCs w:val="24"/>
        </w:rPr>
      </w:pPr>
      <w:r>
        <w:rPr>
          <w:sz w:val="24"/>
          <w:szCs w:val="24"/>
        </w:rPr>
        <w:t>F</w:t>
      </w:r>
      <w:r>
        <w:rPr>
          <w:sz w:val="24"/>
          <w:szCs w:val="24"/>
          <w:vertAlign w:val="subscript"/>
        </w:rPr>
        <w:t>01</w:t>
      </w:r>
      <w:r>
        <w:rPr>
          <w:rFonts w:hint="eastAsia"/>
          <w:sz w:val="24"/>
          <w:szCs w:val="24"/>
        </w:rPr>
        <w:t>；</w:t>
      </w:r>
      <w:r>
        <w:rPr>
          <w:sz w:val="24"/>
          <w:szCs w:val="24"/>
        </w:rPr>
        <w:t>F</w:t>
      </w:r>
      <w:r>
        <w:rPr>
          <w:sz w:val="24"/>
          <w:szCs w:val="24"/>
          <w:vertAlign w:val="subscript"/>
        </w:rPr>
        <w:t>02</w:t>
      </w:r>
      <w:r>
        <w:rPr>
          <w:rFonts w:hint="eastAsia"/>
          <w:sz w:val="24"/>
          <w:szCs w:val="24"/>
        </w:rPr>
        <w:t>；</w:t>
      </w:r>
      <w:r>
        <w:rPr>
          <w:sz w:val="24"/>
          <w:szCs w:val="24"/>
        </w:rPr>
        <w:t>F</w:t>
      </w:r>
      <w:r>
        <w:rPr>
          <w:sz w:val="24"/>
          <w:szCs w:val="24"/>
          <w:vertAlign w:val="subscript"/>
        </w:rPr>
        <w:t>03</w:t>
      </w:r>
      <w:r>
        <w:rPr>
          <w:rFonts w:hint="eastAsia"/>
          <w:sz w:val="24"/>
          <w:szCs w:val="24"/>
        </w:rPr>
        <w:t>；……</w:t>
      </w:r>
      <w:r>
        <w:rPr>
          <w:sz w:val="24"/>
          <w:szCs w:val="24"/>
        </w:rPr>
        <w:t>F</w:t>
      </w:r>
      <w:r>
        <w:rPr>
          <w:sz w:val="24"/>
          <w:szCs w:val="24"/>
          <w:vertAlign w:val="subscript"/>
        </w:rPr>
        <w:t>0n</w:t>
      </w:r>
      <w:r>
        <w:rPr>
          <w:sz w:val="24"/>
          <w:szCs w:val="24"/>
        </w:rPr>
        <w:t>---</w:t>
      </w:r>
      <w:r>
        <w:rPr>
          <w:rFonts w:hint="eastAsia"/>
          <w:sz w:val="24"/>
          <w:szCs w:val="24"/>
        </w:rPr>
        <w:t>各可调因子的基本价格指数，指基准日期的各可调因子的价格指数。</w:t>
      </w:r>
    </w:p>
    <w:p>
      <w:pPr>
        <w:spacing w:line="360" w:lineRule="auto"/>
        <w:ind w:firstLine="600"/>
        <w:rPr>
          <w:sz w:val="24"/>
          <w:szCs w:val="24"/>
        </w:rPr>
      </w:pPr>
      <w:r>
        <w:rPr>
          <w:rFonts w:hint="eastAsia"/>
          <w:sz w:val="24"/>
          <w:szCs w:val="24"/>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暂时确定调整差额</w:t>
      </w:r>
    </w:p>
    <w:p>
      <w:pPr>
        <w:spacing w:line="360" w:lineRule="auto"/>
        <w:ind w:firstLine="600"/>
        <w:rPr>
          <w:sz w:val="24"/>
          <w:szCs w:val="24"/>
        </w:rPr>
      </w:pPr>
      <w:r>
        <w:rPr>
          <w:rFonts w:hint="eastAsia"/>
          <w:sz w:val="24"/>
          <w:szCs w:val="24"/>
        </w:rPr>
        <w:t>在计算调整差额时得不到当期价格指数的，可暂用上一次价格指数计算，并在以后的付款中再按实际价格指数进行调整。</w:t>
      </w:r>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权重的调整</w:t>
      </w:r>
    </w:p>
    <w:p>
      <w:pPr>
        <w:spacing w:line="360" w:lineRule="auto"/>
        <w:ind w:firstLine="600"/>
        <w:rPr>
          <w:sz w:val="24"/>
          <w:szCs w:val="24"/>
        </w:rPr>
      </w:pPr>
      <w:r>
        <w:rPr>
          <w:rFonts w:hint="eastAsia"/>
          <w:sz w:val="24"/>
          <w:szCs w:val="24"/>
        </w:rPr>
        <w:t>按第</w:t>
      </w:r>
      <w:r>
        <w:rPr>
          <w:sz w:val="24"/>
          <w:szCs w:val="24"/>
        </w:rPr>
        <w:t>13.1</w:t>
      </w:r>
      <w:r>
        <w:rPr>
          <w:rFonts w:hint="eastAsia"/>
          <w:sz w:val="24"/>
          <w:szCs w:val="24"/>
        </w:rPr>
        <w:t>款</w:t>
      </w:r>
      <w:r>
        <w:rPr>
          <w:sz w:val="24"/>
          <w:szCs w:val="24"/>
        </w:rPr>
        <w:t>[</w:t>
      </w:r>
      <w:r>
        <w:rPr>
          <w:rFonts w:hint="eastAsia"/>
          <w:sz w:val="24"/>
          <w:szCs w:val="24"/>
        </w:rPr>
        <w:t>发包人变更权</w:t>
      </w:r>
      <w:r>
        <w:rPr>
          <w:sz w:val="24"/>
          <w:szCs w:val="24"/>
        </w:rPr>
        <w:t>]</w:t>
      </w:r>
      <w:r>
        <w:rPr>
          <w:rFonts w:hint="eastAsia"/>
          <w:sz w:val="24"/>
          <w:szCs w:val="24"/>
        </w:rPr>
        <w:t>约定的变更导致原定合同中的权重不合理的，由工程师与承包人和发包人协商后进行调整。</w:t>
      </w:r>
    </w:p>
    <w:p>
      <w:pPr>
        <w:spacing w:line="360" w:lineRule="auto"/>
        <w:ind w:firstLine="6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承包人原因工期延误后的价格调整</w:t>
      </w:r>
    </w:p>
    <w:p>
      <w:pPr>
        <w:spacing w:line="360" w:lineRule="auto"/>
        <w:ind w:firstLine="600"/>
        <w:rPr>
          <w:sz w:val="24"/>
          <w:szCs w:val="24"/>
        </w:rPr>
      </w:pPr>
      <w:r>
        <w:rPr>
          <w:rFonts w:hint="eastAsia"/>
          <w:sz w:val="24"/>
          <w:szCs w:val="24"/>
        </w:rPr>
        <w:t>因承包人原因未在约定的工期内竣工的，则对原约定竣工日期后继续施工的工程，在使用本款第</w:t>
      </w:r>
      <w:r>
        <w:rPr>
          <w:sz w:val="24"/>
          <w:szCs w:val="24"/>
        </w:rPr>
        <w:t>(1)</w:t>
      </w:r>
      <w:r>
        <w:rPr>
          <w:rFonts w:hint="eastAsia"/>
          <w:sz w:val="24"/>
          <w:szCs w:val="24"/>
        </w:rPr>
        <w:t>项价格调整公式时，应采用原约定竣工日期与实际竣工日期的两个价格指数中较低的一个作为当期价格指数。</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发包人引起的工期延误后的价格调整</w:t>
      </w:r>
    </w:p>
    <w:p>
      <w:pPr>
        <w:spacing w:line="360" w:lineRule="auto"/>
        <w:ind w:firstLine="600"/>
        <w:rPr>
          <w:sz w:val="24"/>
          <w:szCs w:val="24"/>
        </w:rPr>
      </w:pPr>
      <w:r>
        <w:rPr>
          <w:rFonts w:hint="eastAsia"/>
          <w:sz w:val="24"/>
          <w:szCs w:val="24"/>
        </w:rPr>
        <w:t>由于发包人原因未在约定的工期内竣工的，则对原约定竣工日期后继续施工的工程，在使用本款第（</w:t>
      </w:r>
      <w:r>
        <w:rPr>
          <w:sz w:val="24"/>
          <w:szCs w:val="24"/>
        </w:rPr>
        <w:t>1</w:t>
      </w:r>
      <w:r>
        <w:rPr>
          <w:rFonts w:hint="eastAsia"/>
          <w:sz w:val="24"/>
          <w:szCs w:val="24"/>
        </w:rPr>
        <w:t>）目价格调整公式时，应采用原约定竣工日期与实际竣工日期的两个价格指数中较高的一个作为当期价格指数。</w:t>
      </w:r>
    </w:p>
    <w:p>
      <w:pPr>
        <w:pStyle w:val="67"/>
        <w:spacing w:afterLines="0"/>
        <w:ind w:left="0"/>
        <w:rPr>
          <w:rFonts w:cs="宋体"/>
          <w:szCs w:val="24"/>
        </w:rPr>
      </w:pPr>
      <w:r>
        <w:rPr>
          <w:rFonts w:cs="宋体"/>
          <w:szCs w:val="24"/>
        </w:rPr>
        <w:t xml:space="preserve">13.8.2.2 </w:t>
      </w:r>
      <w:r>
        <w:rPr>
          <w:rFonts w:hint="eastAsia" w:cs="宋体"/>
          <w:szCs w:val="24"/>
        </w:rPr>
        <w:t>未列入</w:t>
      </w:r>
      <w:bookmarkStart w:id="607" w:name="_Hlk24494865"/>
      <w:r>
        <w:rPr>
          <w:rFonts w:hint="eastAsia" w:cs="宋体"/>
          <w:szCs w:val="24"/>
        </w:rPr>
        <w:t>《价格指数权重表》</w:t>
      </w:r>
      <w:bookmarkEnd w:id="607"/>
      <w:r>
        <w:rPr>
          <w:rFonts w:hint="eastAsia" w:cs="宋体"/>
          <w:szCs w:val="24"/>
        </w:rPr>
        <w:t>的费用不因市场变化而调整。</w:t>
      </w:r>
    </w:p>
    <w:p>
      <w:pPr>
        <w:pStyle w:val="66"/>
        <w:spacing w:afterLines="0"/>
        <w:ind w:left="0"/>
        <w:rPr>
          <w:rFonts w:cs="宋体"/>
          <w:szCs w:val="24"/>
        </w:rPr>
      </w:pPr>
      <w:r>
        <w:rPr>
          <w:rFonts w:cs="宋体"/>
          <w:szCs w:val="24"/>
        </w:rPr>
        <w:t xml:space="preserve">13.8.3 </w:t>
      </w:r>
      <w:r>
        <w:rPr>
          <w:rFonts w:hint="eastAsia" w:cs="宋体"/>
          <w:szCs w:val="24"/>
        </w:rPr>
        <w:t>双方约定采用其他方式调整合同价款的，以专用合同条件约定为准。</w:t>
      </w:r>
    </w:p>
    <w:p>
      <w:pPr>
        <w:pStyle w:val="64"/>
        <w:numPr>
          <w:ilvl w:val="0"/>
          <w:numId w:val="0"/>
        </w:numPr>
        <w:spacing w:before="0"/>
        <w:rPr>
          <w:rFonts w:ascii="宋体"/>
          <w:b/>
          <w:sz w:val="24"/>
          <w:szCs w:val="24"/>
        </w:rPr>
      </w:pPr>
      <w:bookmarkStart w:id="608" w:name="_Ref531955885"/>
      <w:bookmarkStart w:id="609" w:name="_Ref531955880"/>
      <w:bookmarkStart w:id="610" w:name="_Toc54862291"/>
      <w:r>
        <w:rPr>
          <w:rFonts w:hint="eastAsia" w:ascii="宋体" w:hAnsi="宋体"/>
          <w:b/>
          <w:sz w:val="24"/>
          <w:szCs w:val="24"/>
        </w:rPr>
        <w:t>第</w:t>
      </w:r>
      <w:r>
        <w:rPr>
          <w:rFonts w:ascii="宋体" w:hAnsi="宋体"/>
          <w:b/>
          <w:sz w:val="24"/>
          <w:szCs w:val="24"/>
        </w:rPr>
        <w:t>14</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合同价格与支付</w:t>
      </w:r>
      <w:bookmarkEnd w:id="608"/>
      <w:bookmarkEnd w:id="609"/>
      <w:bookmarkEnd w:id="610"/>
    </w:p>
    <w:p>
      <w:pPr>
        <w:pStyle w:val="65"/>
        <w:widowControl/>
        <w:spacing w:afterLines="0"/>
        <w:ind w:left="0"/>
        <w:rPr>
          <w:rFonts w:ascii="宋体" w:hAnsi="宋体" w:eastAsia="宋体" w:cs="宋体"/>
        </w:rPr>
      </w:pPr>
      <w:bookmarkStart w:id="611" w:name="_Ref4431531"/>
      <w:bookmarkStart w:id="612" w:name="_Toc54862292"/>
      <w:bookmarkStart w:id="613" w:name="_Ref4431521"/>
      <w:r>
        <w:rPr>
          <w:rFonts w:ascii="宋体" w:hAnsi="宋体" w:eastAsia="宋体" w:cs="宋体"/>
        </w:rPr>
        <w:t xml:space="preserve">14.1 </w:t>
      </w:r>
      <w:r>
        <w:rPr>
          <w:rFonts w:hint="eastAsia" w:ascii="宋体" w:hAnsi="宋体" w:eastAsia="宋体" w:cs="宋体"/>
        </w:rPr>
        <w:t>合同价格形式</w:t>
      </w:r>
      <w:bookmarkEnd w:id="611"/>
      <w:bookmarkEnd w:id="612"/>
      <w:bookmarkEnd w:id="613"/>
    </w:p>
    <w:p>
      <w:pPr>
        <w:pStyle w:val="66"/>
        <w:spacing w:afterLines="0"/>
        <w:ind w:left="0"/>
        <w:rPr>
          <w:rFonts w:cs="宋体"/>
          <w:szCs w:val="24"/>
        </w:rPr>
      </w:pPr>
      <w:r>
        <w:rPr>
          <w:rFonts w:cs="宋体"/>
          <w:szCs w:val="24"/>
        </w:rPr>
        <w:t xml:space="preserve">14.1.1 </w:t>
      </w:r>
      <w:r>
        <w:rPr>
          <w:rFonts w:hint="eastAsia" w:cs="宋体"/>
          <w:szCs w:val="24"/>
        </w:rPr>
        <w:t>除专用合同条件中另有约定外，本合同为总价合同，除根据第</w:t>
      </w:r>
      <w:r>
        <w:rPr>
          <w:rFonts w:cs="宋体"/>
          <w:szCs w:val="24"/>
        </w:rPr>
        <w:t>13</w:t>
      </w:r>
      <w:r>
        <w:rPr>
          <w:rFonts w:hint="eastAsia" w:cs="宋体"/>
          <w:szCs w:val="24"/>
        </w:rPr>
        <w:t>条</w:t>
      </w:r>
      <w:r>
        <w:rPr>
          <w:rFonts w:cs="宋体"/>
          <w:szCs w:val="24"/>
        </w:rPr>
        <w:t>[</w:t>
      </w:r>
      <w:r>
        <w:rPr>
          <w:rFonts w:hint="eastAsia" w:cs="宋体"/>
          <w:szCs w:val="24"/>
        </w:rPr>
        <w:t>变更与调整</w:t>
      </w:r>
      <w:r>
        <w:rPr>
          <w:rFonts w:cs="宋体"/>
          <w:szCs w:val="24"/>
        </w:rPr>
        <w:t>]</w:t>
      </w:r>
      <w:r>
        <w:rPr>
          <w:rFonts w:hint="eastAsia" w:cs="宋体"/>
          <w:szCs w:val="24"/>
        </w:rPr>
        <w:t>，以及合同中其它相关增减金额的约定进行调整外，合同价格不做调整。</w:t>
      </w:r>
    </w:p>
    <w:p>
      <w:pPr>
        <w:pStyle w:val="66"/>
        <w:spacing w:afterLines="0"/>
        <w:ind w:left="0"/>
        <w:rPr>
          <w:rFonts w:cs="宋体"/>
          <w:szCs w:val="24"/>
        </w:rPr>
      </w:pPr>
      <w:r>
        <w:rPr>
          <w:rFonts w:cs="宋体"/>
          <w:szCs w:val="24"/>
        </w:rPr>
        <w:t xml:space="preserve">14.1.2 </w:t>
      </w:r>
      <w:r>
        <w:rPr>
          <w:rFonts w:hint="eastAsia" w:cs="宋体"/>
          <w:szCs w:val="24"/>
        </w:rPr>
        <w:t>除专用合同条件另有约定外：</w:t>
      </w:r>
    </w:p>
    <w:p>
      <w:pPr>
        <w:spacing w:line="360" w:lineRule="auto"/>
        <w:ind w:firstLine="6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工程款的支付应以合同协议书约定的签约合同价格为基础，按照合同约定进行调整；</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承包人应支付根据法律规定或合同约定应由其支付的各项税费，除第</w:t>
      </w:r>
      <w:r>
        <w:rPr>
          <w:sz w:val="24"/>
          <w:szCs w:val="24"/>
        </w:rPr>
        <w:t>13.7</w:t>
      </w:r>
      <w:r>
        <w:rPr>
          <w:rFonts w:hint="eastAsia"/>
          <w:sz w:val="24"/>
          <w:szCs w:val="24"/>
        </w:rPr>
        <w:t>款</w:t>
      </w:r>
      <w:r>
        <w:rPr>
          <w:sz w:val="24"/>
          <w:szCs w:val="24"/>
        </w:rPr>
        <w:t>[</w:t>
      </w:r>
      <w:r>
        <w:rPr>
          <w:rFonts w:hint="eastAsia"/>
          <w:sz w:val="24"/>
          <w:szCs w:val="24"/>
        </w:rPr>
        <w:t>法律变化引起的调整</w:t>
      </w:r>
      <w:r>
        <w:rPr>
          <w:sz w:val="24"/>
          <w:szCs w:val="24"/>
        </w:rPr>
        <w:t>]</w:t>
      </w:r>
      <w:r>
        <w:rPr>
          <w:rFonts w:hint="eastAsia"/>
          <w:sz w:val="24"/>
          <w:szCs w:val="24"/>
        </w:rPr>
        <w:t>约定外，合同价格不应因任何这些税费进行调整；</w:t>
      </w:r>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pStyle w:val="66"/>
        <w:spacing w:afterLines="0"/>
        <w:ind w:left="0"/>
        <w:rPr>
          <w:rFonts w:cs="宋体"/>
          <w:szCs w:val="24"/>
        </w:rPr>
      </w:pPr>
      <w:r>
        <w:rPr>
          <w:rFonts w:cs="宋体"/>
          <w:szCs w:val="24"/>
        </w:rPr>
        <w:t xml:space="preserve">14.1.3 </w:t>
      </w:r>
      <w:r>
        <w:rPr>
          <w:rFonts w:hint="eastAsia" w:cs="宋体"/>
          <w:szCs w:val="24"/>
        </w:rPr>
        <w:t>合同约定工程的某部分按照实际完成的工程量进行支付的，应按照专用合同条件的约定进行计量和估价，并据此调整合同价格。</w:t>
      </w:r>
    </w:p>
    <w:p>
      <w:pPr>
        <w:pStyle w:val="65"/>
        <w:widowControl/>
        <w:spacing w:afterLines="0"/>
        <w:ind w:left="0"/>
        <w:rPr>
          <w:rFonts w:ascii="宋体" w:hAnsi="宋体" w:eastAsia="宋体" w:cs="宋体"/>
        </w:rPr>
      </w:pPr>
      <w:bookmarkStart w:id="614" w:name="_Ref531956881"/>
      <w:bookmarkStart w:id="615" w:name="_Toc54862293"/>
      <w:bookmarkStart w:id="616" w:name="_Ref531956884"/>
      <w:r>
        <w:rPr>
          <w:rFonts w:ascii="宋体" w:hAnsi="宋体" w:eastAsia="宋体" w:cs="宋体"/>
        </w:rPr>
        <w:t xml:space="preserve">14.2 </w:t>
      </w:r>
      <w:r>
        <w:rPr>
          <w:rFonts w:hint="eastAsia" w:ascii="宋体" w:hAnsi="宋体" w:eastAsia="宋体" w:cs="宋体"/>
        </w:rPr>
        <w:t>预付款</w:t>
      </w:r>
      <w:bookmarkEnd w:id="614"/>
      <w:bookmarkEnd w:id="615"/>
      <w:bookmarkEnd w:id="616"/>
    </w:p>
    <w:p>
      <w:pPr>
        <w:pStyle w:val="66"/>
        <w:spacing w:afterLines="0"/>
        <w:ind w:left="0"/>
        <w:rPr>
          <w:rFonts w:cs="宋体"/>
          <w:szCs w:val="24"/>
        </w:rPr>
      </w:pPr>
      <w:r>
        <w:rPr>
          <w:rFonts w:cs="宋体"/>
          <w:szCs w:val="24"/>
        </w:rPr>
        <w:t xml:space="preserve">14.2.1 </w:t>
      </w:r>
      <w:r>
        <w:rPr>
          <w:rFonts w:hint="eastAsia" w:cs="宋体"/>
          <w:szCs w:val="24"/>
        </w:rPr>
        <w:t>预付款支付</w:t>
      </w:r>
    </w:p>
    <w:p>
      <w:pPr>
        <w:spacing w:line="360" w:lineRule="auto"/>
        <w:ind w:firstLine="600"/>
        <w:rPr>
          <w:sz w:val="24"/>
          <w:szCs w:val="24"/>
        </w:rPr>
      </w:pPr>
      <w:r>
        <w:rPr>
          <w:rFonts w:hint="eastAsia"/>
          <w:sz w:val="24"/>
          <w:szCs w:val="24"/>
        </w:rPr>
        <w:t>预付款的额度和支付按照专用合同条件约定执行。预付款应当专用于承包人为合同工程的设计和工程实施购置材料、工程设备、施工设备、修建临时设施以及组织施工队伍进场等合同工作。</w:t>
      </w:r>
    </w:p>
    <w:p>
      <w:pPr>
        <w:spacing w:line="360" w:lineRule="auto"/>
        <w:ind w:firstLine="600"/>
        <w:rPr>
          <w:sz w:val="24"/>
          <w:szCs w:val="24"/>
        </w:rPr>
      </w:pPr>
      <w:r>
        <w:rPr>
          <w:rFonts w:hint="eastAsia"/>
          <w:sz w:val="24"/>
          <w:szCs w:val="24"/>
        </w:rPr>
        <w:t>除专用合同条件另有约定外，预付款在进度付款中同比例扣回。在颁发工程接收证书前，提前解除合同的，尚未扣完的预付款应与合同价款一并结算。</w:t>
      </w:r>
    </w:p>
    <w:p>
      <w:pPr>
        <w:spacing w:line="360" w:lineRule="auto"/>
        <w:ind w:firstLine="600"/>
        <w:rPr>
          <w:sz w:val="24"/>
          <w:szCs w:val="24"/>
        </w:rPr>
      </w:pPr>
      <w:r>
        <w:rPr>
          <w:rFonts w:hint="eastAsia"/>
          <w:sz w:val="24"/>
          <w:szCs w:val="24"/>
        </w:rPr>
        <w:t>发包人逾期支付预付款超过</w:t>
      </w:r>
      <w:r>
        <w:rPr>
          <w:sz w:val="24"/>
          <w:szCs w:val="24"/>
        </w:rPr>
        <w:t>7</w:t>
      </w:r>
      <w:r>
        <w:rPr>
          <w:rFonts w:hint="eastAsia"/>
          <w:sz w:val="24"/>
          <w:szCs w:val="24"/>
        </w:rPr>
        <w:t>天的，承包人有权向发包人发出要求预付的催告通知，发包人收到通知后</w:t>
      </w:r>
      <w:r>
        <w:rPr>
          <w:sz w:val="24"/>
          <w:szCs w:val="24"/>
        </w:rPr>
        <w:t>7</w:t>
      </w:r>
      <w:r>
        <w:rPr>
          <w:rFonts w:hint="eastAsia"/>
          <w:sz w:val="24"/>
          <w:szCs w:val="24"/>
        </w:rPr>
        <w:t>天内仍未支付的，承包人有权暂停施工，并按第</w:t>
      </w:r>
      <w:r>
        <w:rPr>
          <w:sz w:val="24"/>
          <w:szCs w:val="24"/>
        </w:rPr>
        <w:t>15.1.1</w:t>
      </w:r>
      <w:r>
        <w:rPr>
          <w:rFonts w:hint="eastAsia"/>
          <w:sz w:val="24"/>
          <w:szCs w:val="24"/>
        </w:rPr>
        <w:t>项</w:t>
      </w:r>
      <w:r>
        <w:rPr>
          <w:sz w:val="24"/>
          <w:szCs w:val="24"/>
        </w:rPr>
        <w:t>[</w:t>
      </w:r>
      <w:r>
        <w:rPr>
          <w:rFonts w:hint="eastAsia"/>
          <w:sz w:val="24"/>
          <w:szCs w:val="24"/>
        </w:rPr>
        <w:t>发包人违约的情形</w:t>
      </w:r>
      <w:r>
        <w:rPr>
          <w:sz w:val="24"/>
          <w:szCs w:val="24"/>
        </w:rPr>
        <w:t>]</w:t>
      </w:r>
      <w:r>
        <w:rPr>
          <w:rFonts w:hint="eastAsia"/>
          <w:sz w:val="24"/>
          <w:szCs w:val="24"/>
        </w:rPr>
        <w:t>执行。</w:t>
      </w:r>
    </w:p>
    <w:p>
      <w:pPr>
        <w:pStyle w:val="66"/>
        <w:spacing w:afterLines="0"/>
        <w:ind w:left="0"/>
        <w:rPr>
          <w:rFonts w:cs="宋体"/>
          <w:szCs w:val="24"/>
        </w:rPr>
      </w:pPr>
      <w:bookmarkStart w:id="617" w:name="_Ref531956907"/>
      <w:bookmarkStart w:id="618" w:name="_Ref4797624"/>
      <w:bookmarkStart w:id="619" w:name="_Hlk54429963"/>
      <w:r>
        <w:rPr>
          <w:rFonts w:cs="宋体"/>
          <w:szCs w:val="24"/>
        </w:rPr>
        <w:t xml:space="preserve">14.2.2 </w:t>
      </w:r>
      <w:r>
        <w:rPr>
          <w:rFonts w:hint="eastAsia" w:cs="宋体"/>
          <w:szCs w:val="24"/>
        </w:rPr>
        <w:t>预付款</w:t>
      </w:r>
      <w:bookmarkEnd w:id="617"/>
      <w:r>
        <w:rPr>
          <w:rFonts w:hint="eastAsia" w:cs="宋体"/>
          <w:szCs w:val="24"/>
        </w:rPr>
        <w:t>担保</w:t>
      </w:r>
      <w:bookmarkEnd w:id="618"/>
    </w:p>
    <w:bookmarkEnd w:id="619"/>
    <w:p>
      <w:pPr>
        <w:spacing w:line="360" w:lineRule="auto"/>
        <w:ind w:firstLine="600"/>
        <w:rPr>
          <w:sz w:val="24"/>
          <w:szCs w:val="24"/>
        </w:rPr>
      </w:pPr>
      <w:r>
        <w:rPr>
          <w:rFonts w:hint="eastAsia"/>
          <w:sz w:val="24"/>
          <w:szCs w:val="24"/>
        </w:rPr>
        <w:t>发包人指示承包人提供预付款担保的，承包人应在发包人支付预付款</w:t>
      </w:r>
      <w:r>
        <w:rPr>
          <w:sz w:val="24"/>
          <w:szCs w:val="24"/>
        </w:rPr>
        <w:t>7</w:t>
      </w:r>
      <w:r>
        <w:rPr>
          <w:rFonts w:hint="eastAsia"/>
          <w:sz w:val="24"/>
          <w:szCs w:val="24"/>
        </w:rPr>
        <w:t>天前提供预付款担保，专用合同条件另有约定除外。预付款担保可采用银行保函、担保公司担保等形式，具体由合同当事人在专用合同条件中约定。在预付款完全扣回之前，承包人应保证预付款担保持续有效。</w:t>
      </w:r>
    </w:p>
    <w:p>
      <w:pPr>
        <w:spacing w:line="360" w:lineRule="auto"/>
        <w:ind w:firstLine="600"/>
        <w:rPr>
          <w:sz w:val="24"/>
          <w:szCs w:val="24"/>
        </w:rPr>
      </w:pPr>
      <w:r>
        <w:rPr>
          <w:rFonts w:hint="eastAsia"/>
          <w:sz w:val="24"/>
          <w:szCs w:val="24"/>
        </w:rPr>
        <w:t>发包人在工程款中逐期扣回预付款后，预付款担保额度应相应减少，但剩余的预付款担保金额不得低于未被扣回的预付款金额。</w:t>
      </w:r>
    </w:p>
    <w:p>
      <w:pPr>
        <w:pStyle w:val="65"/>
        <w:widowControl/>
        <w:spacing w:afterLines="0"/>
        <w:ind w:left="0"/>
        <w:rPr>
          <w:rFonts w:ascii="宋体" w:hAnsi="宋体" w:eastAsia="宋体" w:cs="宋体"/>
        </w:rPr>
      </w:pPr>
      <w:bookmarkStart w:id="620" w:name="_Toc4784193"/>
      <w:bookmarkEnd w:id="620"/>
      <w:bookmarkStart w:id="621" w:name="_Toc4784194"/>
      <w:bookmarkEnd w:id="621"/>
      <w:bookmarkStart w:id="622" w:name="_Toc4784195"/>
      <w:bookmarkEnd w:id="622"/>
      <w:bookmarkStart w:id="623" w:name="_Ref4623398"/>
      <w:bookmarkStart w:id="624" w:name="_Ref531956963"/>
      <w:bookmarkStart w:id="625" w:name="_Toc54862294"/>
      <w:bookmarkStart w:id="626" w:name="_Ref531956967"/>
      <w:r>
        <w:rPr>
          <w:rFonts w:ascii="宋体" w:hAnsi="宋体" w:eastAsia="宋体" w:cs="宋体"/>
        </w:rPr>
        <w:t xml:space="preserve">14.3 </w:t>
      </w:r>
      <w:r>
        <w:rPr>
          <w:rFonts w:hint="eastAsia" w:ascii="宋体" w:hAnsi="宋体" w:eastAsia="宋体" w:cs="宋体"/>
        </w:rPr>
        <w:t>工程进度款</w:t>
      </w:r>
      <w:bookmarkEnd w:id="623"/>
      <w:bookmarkEnd w:id="624"/>
      <w:bookmarkEnd w:id="625"/>
      <w:bookmarkEnd w:id="626"/>
    </w:p>
    <w:p>
      <w:pPr>
        <w:pStyle w:val="66"/>
        <w:spacing w:afterLines="0"/>
        <w:ind w:left="0"/>
        <w:rPr>
          <w:rFonts w:cs="宋体"/>
          <w:szCs w:val="24"/>
        </w:rPr>
      </w:pPr>
      <w:bookmarkStart w:id="627" w:name="_Ref532679934"/>
      <w:bookmarkStart w:id="628" w:name="_Ref531956987"/>
      <w:r>
        <w:rPr>
          <w:rFonts w:cs="宋体"/>
          <w:szCs w:val="24"/>
        </w:rPr>
        <w:t xml:space="preserve">14.3.1 </w:t>
      </w:r>
      <w:r>
        <w:rPr>
          <w:rFonts w:hint="eastAsia" w:cs="宋体"/>
          <w:szCs w:val="24"/>
        </w:rPr>
        <w:t>工程进度付款申请</w:t>
      </w:r>
      <w:bookmarkEnd w:id="627"/>
      <w:bookmarkEnd w:id="628"/>
    </w:p>
    <w:p>
      <w:pPr>
        <w:spacing w:line="360" w:lineRule="auto"/>
        <w:ind w:firstLine="600"/>
        <w:rPr>
          <w:sz w:val="24"/>
          <w:szCs w:val="24"/>
        </w:rPr>
      </w:pPr>
      <w:r>
        <w:rPr>
          <w:rFonts w:hint="eastAsia"/>
          <w:sz w:val="24"/>
          <w:szCs w:val="24"/>
        </w:rPr>
        <w:t>（</w:t>
      </w:r>
      <w:r>
        <w:rPr>
          <w:sz w:val="24"/>
          <w:szCs w:val="24"/>
        </w:rPr>
        <w:t>1</w:t>
      </w:r>
      <w:r>
        <w:rPr>
          <w:rFonts w:hint="eastAsia"/>
          <w:sz w:val="24"/>
          <w:szCs w:val="24"/>
        </w:rPr>
        <w:t>）人工费的申请</w:t>
      </w:r>
    </w:p>
    <w:p>
      <w:pPr>
        <w:spacing w:line="360" w:lineRule="auto"/>
        <w:ind w:firstLine="600"/>
        <w:rPr>
          <w:sz w:val="24"/>
          <w:szCs w:val="24"/>
        </w:rPr>
      </w:pPr>
      <w:r>
        <w:rPr>
          <w:rFonts w:hint="eastAsia"/>
          <w:sz w:val="24"/>
          <w:szCs w:val="24"/>
        </w:rPr>
        <w:t>人工费应按月支付，工程师应在收到承包人人工费付款申请单以及相关资料后</w:t>
      </w:r>
      <w:r>
        <w:rPr>
          <w:sz w:val="24"/>
          <w:szCs w:val="24"/>
        </w:rPr>
        <w:t>7</w:t>
      </w:r>
      <w:r>
        <w:rPr>
          <w:rFonts w:hint="eastAsia"/>
          <w:sz w:val="24"/>
          <w:szCs w:val="24"/>
        </w:rPr>
        <w:t>天内完成审查并报送发包人，发包人应在收到后</w:t>
      </w:r>
      <w:r>
        <w:rPr>
          <w:sz w:val="24"/>
          <w:szCs w:val="24"/>
        </w:rPr>
        <w:t>7</w:t>
      </w:r>
      <w:r>
        <w:rPr>
          <w:rFonts w:hint="eastAsia"/>
          <w:sz w:val="24"/>
          <w:szCs w:val="24"/>
        </w:rPr>
        <w:t>天内完成审批并向承包人签发人工费支付证书，发包人应在人工费支付证书签发后</w:t>
      </w:r>
      <w:r>
        <w:rPr>
          <w:sz w:val="24"/>
          <w:szCs w:val="24"/>
        </w:rPr>
        <w:t>7</w:t>
      </w:r>
      <w:r>
        <w:rPr>
          <w:rFonts w:hint="eastAsia"/>
          <w:sz w:val="24"/>
          <w:szCs w:val="24"/>
        </w:rPr>
        <w:t>天内完成支付。已支付的人工费部分，发包人支付进度款时予以相应扣除。</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）除专用合同条件另有约定外，承包人应在每月月末向工程师提交进度付款申请单，该进度付款申请单应包括下列内容：</w:t>
      </w:r>
    </w:p>
    <w:p>
      <w:pPr>
        <w:spacing w:line="360" w:lineRule="auto"/>
        <w:ind w:firstLine="600"/>
        <w:rPr>
          <w:sz w:val="24"/>
          <w:szCs w:val="24"/>
        </w:rPr>
      </w:pPr>
      <w:bookmarkStart w:id="629" w:name="_Ref24496054"/>
      <w:r>
        <w:rPr>
          <w:rFonts w:hint="eastAsia"/>
          <w:sz w:val="24"/>
          <w:szCs w:val="24"/>
        </w:rPr>
        <w:t>（</w:t>
      </w:r>
      <w:r>
        <w:rPr>
          <w:sz w:val="24"/>
          <w:szCs w:val="24"/>
          <w:lang w:val="en-US"/>
        </w:rPr>
        <w:t>3</w:t>
      </w:r>
      <w:r>
        <w:rPr>
          <w:rFonts w:hint="eastAsia"/>
          <w:sz w:val="24"/>
          <w:szCs w:val="24"/>
        </w:rPr>
        <w:t>）</w:t>
      </w:r>
      <w:r>
        <w:rPr>
          <w:sz w:val="24"/>
          <w:szCs w:val="24"/>
        </w:rPr>
        <w:t xml:space="preserve"> </w:t>
      </w:r>
      <w:r>
        <w:rPr>
          <w:rFonts w:hint="eastAsia"/>
          <w:sz w:val="24"/>
          <w:szCs w:val="24"/>
        </w:rPr>
        <w:t>截至本次付款周期内已完成工作对应的金额；</w:t>
      </w:r>
      <w:bookmarkEnd w:id="629"/>
    </w:p>
    <w:p>
      <w:pPr>
        <w:spacing w:line="360" w:lineRule="auto"/>
        <w:ind w:firstLine="600"/>
        <w:rPr>
          <w:sz w:val="24"/>
          <w:szCs w:val="24"/>
        </w:rPr>
      </w:pPr>
      <w:r>
        <w:rPr>
          <w:rFonts w:hint="eastAsia"/>
          <w:sz w:val="24"/>
          <w:szCs w:val="24"/>
        </w:rPr>
        <w:t>（</w:t>
      </w:r>
      <w:r>
        <w:rPr>
          <w:sz w:val="24"/>
          <w:szCs w:val="24"/>
          <w:lang w:val="en-US"/>
        </w:rPr>
        <w:t>4</w:t>
      </w:r>
      <w:r>
        <w:rPr>
          <w:rFonts w:hint="eastAsia"/>
          <w:sz w:val="24"/>
          <w:szCs w:val="24"/>
        </w:rPr>
        <w:t>）</w:t>
      </w:r>
      <w:r>
        <w:rPr>
          <w:sz w:val="24"/>
          <w:szCs w:val="24"/>
        </w:rPr>
        <w:t xml:space="preserve"> </w:t>
      </w:r>
      <w:r>
        <w:rPr>
          <w:rFonts w:hint="eastAsia"/>
          <w:sz w:val="24"/>
          <w:szCs w:val="24"/>
        </w:rPr>
        <w:t>扣除依据本款第（</w:t>
      </w:r>
      <w:r>
        <w:rPr>
          <w:sz w:val="24"/>
          <w:szCs w:val="24"/>
        </w:rPr>
        <w:t>1</w:t>
      </w:r>
      <w:r>
        <w:rPr>
          <w:rFonts w:hint="eastAsia"/>
          <w:sz w:val="24"/>
          <w:szCs w:val="24"/>
        </w:rPr>
        <w:t>）目约定中已扣除的人工费金额；</w:t>
      </w:r>
    </w:p>
    <w:p>
      <w:pPr>
        <w:spacing w:line="360" w:lineRule="auto"/>
        <w:ind w:firstLine="600"/>
        <w:rPr>
          <w:sz w:val="24"/>
          <w:szCs w:val="24"/>
        </w:rPr>
      </w:pPr>
      <w:r>
        <w:rPr>
          <w:rFonts w:hint="eastAsia"/>
          <w:sz w:val="24"/>
          <w:szCs w:val="24"/>
        </w:rPr>
        <w:t>（</w:t>
      </w:r>
      <w:r>
        <w:rPr>
          <w:sz w:val="24"/>
          <w:szCs w:val="24"/>
          <w:lang w:val="en-US"/>
        </w:rPr>
        <w:t>5</w:t>
      </w:r>
      <w:r>
        <w:rPr>
          <w:rFonts w:hint="eastAsia"/>
          <w:sz w:val="24"/>
          <w:szCs w:val="24"/>
        </w:rPr>
        <w:t>）</w:t>
      </w:r>
      <w:r>
        <w:rPr>
          <w:sz w:val="24"/>
          <w:szCs w:val="24"/>
        </w:rPr>
        <w:t xml:space="preserve"> </w:t>
      </w:r>
      <w:r>
        <w:rPr>
          <w:rFonts w:hint="eastAsia"/>
          <w:sz w:val="24"/>
          <w:szCs w:val="24"/>
        </w:rPr>
        <w:t>根据第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应增加和扣减的变更金额；</w:t>
      </w:r>
    </w:p>
    <w:p>
      <w:pPr>
        <w:spacing w:line="360" w:lineRule="auto"/>
        <w:ind w:firstLine="600"/>
        <w:rPr>
          <w:sz w:val="24"/>
          <w:szCs w:val="24"/>
        </w:rPr>
      </w:pPr>
      <w:r>
        <w:rPr>
          <w:rFonts w:hint="eastAsia"/>
          <w:sz w:val="24"/>
          <w:szCs w:val="24"/>
        </w:rPr>
        <w:t>（</w:t>
      </w:r>
      <w:r>
        <w:rPr>
          <w:sz w:val="24"/>
          <w:szCs w:val="24"/>
          <w:lang w:val="en-US"/>
        </w:rPr>
        <w:t>6</w:t>
      </w:r>
      <w:r>
        <w:rPr>
          <w:rFonts w:hint="eastAsia"/>
          <w:sz w:val="24"/>
          <w:szCs w:val="24"/>
        </w:rPr>
        <w:t>）</w:t>
      </w:r>
      <w:r>
        <w:rPr>
          <w:sz w:val="24"/>
          <w:szCs w:val="24"/>
        </w:rPr>
        <w:t xml:space="preserve"> </w:t>
      </w:r>
      <w:r>
        <w:rPr>
          <w:rFonts w:hint="eastAsia"/>
          <w:sz w:val="24"/>
          <w:szCs w:val="24"/>
        </w:rPr>
        <w:t>根据第</w:t>
      </w:r>
      <w:r>
        <w:rPr>
          <w:sz w:val="24"/>
          <w:szCs w:val="24"/>
        </w:rPr>
        <w:t>14.2</w:t>
      </w:r>
      <w:r>
        <w:rPr>
          <w:rFonts w:hint="eastAsia"/>
          <w:sz w:val="24"/>
          <w:szCs w:val="24"/>
        </w:rPr>
        <w:t>款</w:t>
      </w:r>
      <w:r>
        <w:rPr>
          <w:sz w:val="24"/>
          <w:szCs w:val="24"/>
        </w:rPr>
        <w:t>[</w:t>
      </w:r>
      <w:r>
        <w:rPr>
          <w:rFonts w:hint="eastAsia"/>
          <w:sz w:val="24"/>
          <w:szCs w:val="24"/>
        </w:rPr>
        <w:t>预付款</w:t>
      </w:r>
      <w:r>
        <w:rPr>
          <w:sz w:val="24"/>
          <w:szCs w:val="24"/>
        </w:rPr>
        <w:t>]</w:t>
      </w:r>
      <w:r>
        <w:rPr>
          <w:rFonts w:hint="eastAsia"/>
          <w:sz w:val="24"/>
          <w:szCs w:val="24"/>
        </w:rPr>
        <w:t>约定应支付的预付款和扣减的返还预付款；</w:t>
      </w:r>
    </w:p>
    <w:p>
      <w:pPr>
        <w:spacing w:line="360" w:lineRule="auto"/>
        <w:ind w:firstLine="600"/>
        <w:rPr>
          <w:sz w:val="24"/>
          <w:szCs w:val="24"/>
        </w:rPr>
      </w:pPr>
      <w:r>
        <w:rPr>
          <w:rFonts w:hint="eastAsia"/>
          <w:sz w:val="24"/>
          <w:szCs w:val="24"/>
        </w:rPr>
        <w:t>（</w:t>
      </w:r>
      <w:r>
        <w:rPr>
          <w:sz w:val="24"/>
          <w:szCs w:val="24"/>
          <w:lang w:val="en-US"/>
        </w:rPr>
        <w:t>7</w:t>
      </w:r>
      <w:r>
        <w:rPr>
          <w:rFonts w:hint="eastAsia"/>
          <w:sz w:val="24"/>
          <w:szCs w:val="24"/>
        </w:rPr>
        <w:t>）</w:t>
      </w:r>
      <w:r>
        <w:rPr>
          <w:sz w:val="24"/>
          <w:szCs w:val="24"/>
        </w:rPr>
        <w:t xml:space="preserve"> </w:t>
      </w:r>
      <w:r>
        <w:rPr>
          <w:rFonts w:hint="eastAsia"/>
          <w:sz w:val="24"/>
          <w:szCs w:val="24"/>
        </w:rPr>
        <w:t>根据第</w:t>
      </w:r>
      <w:r>
        <w:rPr>
          <w:sz w:val="24"/>
          <w:szCs w:val="24"/>
        </w:rPr>
        <w:t>14.6.2</w:t>
      </w:r>
      <w:r>
        <w:rPr>
          <w:rFonts w:hint="eastAsia"/>
          <w:sz w:val="24"/>
          <w:szCs w:val="24"/>
        </w:rPr>
        <w:t>项</w:t>
      </w:r>
      <w:r>
        <w:rPr>
          <w:sz w:val="24"/>
          <w:szCs w:val="24"/>
        </w:rPr>
        <w:t>[</w:t>
      </w:r>
      <w:r>
        <w:rPr>
          <w:rFonts w:hint="eastAsia"/>
          <w:sz w:val="24"/>
          <w:szCs w:val="24"/>
        </w:rPr>
        <w:t>质量保证金的预留</w:t>
      </w:r>
      <w:r>
        <w:rPr>
          <w:sz w:val="24"/>
          <w:szCs w:val="24"/>
        </w:rPr>
        <w:t>]</w:t>
      </w:r>
      <w:r>
        <w:rPr>
          <w:rFonts w:hint="eastAsia"/>
          <w:sz w:val="24"/>
          <w:szCs w:val="24"/>
        </w:rPr>
        <w:t>约定应预留的质量保证金金额；</w:t>
      </w:r>
    </w:p>
    <w:p>
      <w:pPr>
        <w:spacing w:line="360" w:lineRule="auto"/>
        <w:ind w:firstLine="600"/>
        <w:rPr>
          <w:sz w:val="24"/>
          <w:szCs w:val="24"/>
        </w:rPr>
      </w:pPr>
      <w:r>
        <w:rPr>
          <w:rFonts w:hint="eastAsia"/>
          <w:sz w:val="24"/>
          <w:szCs w:val="24"/>
          <w:lang w:val="en-US"/>
        </w:rPr>
        <w:t>（</w:t>
      </w:r>
      <w:r>
        <w:rPr>
          <w:sz w:val="24"/>
          <w:szCs w:val="24"/>
          <w:lang w:val="en-US"/>
        </w:rPr>
        <w:t>8</w:t>
      </w:r>
      <w:r>
        <w:rPr>
          <w:rFonts w:hint="eastAsia"/>
          <w:sz w:val="24"/>
          <w:szCs w:val="24"/>
        </w:rPr>
        <w:t>）</w:t>
      </w:r>
      <w:r>
        <w:rPr>
          <w:sz w:val="24"/>
          <w:szCs w:val="24"/>
        </w:rPr>
        <w:t xml:space="preserve"> </w:t>
      </w:r>
      <w:r>
        <w:rPr>
          <w:rFonts w:hint="eastAsia"/>
          <w:sz w:val="24"/>
          <w:szCs w:val="24"/>
        </w:rPr>
        <w:t>根据第</w:t>
      </w:r>
      <w:r>
        <w:rPr>
          <w:sz w:val="24"/>
          <w:szCs w:val="24"/>
        </w:rPr>
        <w:t>19</w:t>
      </w:r>
      <w:r>
        <w:rPr>
          <w:rFonts w:hint="eastAsia"/>
          <w:sz w:val="24"/>
          <w:szCs w:val="24"/>
        </w:rPr>
        <w:t>条</w:t>
      </w:r>
      <w:r>
        <w:rPr>
          <w:sz w:val="24"/>
          <w:szCs w:val="24"/>
        </w:rPr>
        <w:t>[</w:t>
      </w:r>
      <w:r>
        <w:rPr>
          <w:rFonts w:hint="eastAsia"/>
          <w:sz w:val="24"/>
          <w:szCs w:val="24"/>
        </w:rPr>
        <w:t>索赔</w:t>
      </w:r>
      <w:r>
        <w:rPr>
          <w:sz w:val="24"/>
          <w:szCs w:val="24"/>
        </w:rPr>
        <w:t>]</w:t>
      </w:r>
      <w:r>
        <w:rPr>
          <w:rFonts w:hint="eastAsia"/>
          <w:sz w:val="24"/>
          <w:szCs w:val="24"/>
        </w:rPr>
        <w:t>应增加和扣减的索赔金额；</w:t>
      </w:r>
    </w:p>
    <w:p>
      <w:pPr>
        <w:spacing w:line="360" w:lineRule="auto"/>
        <w:ind w:firstLine="600"/>
        <w:rPr>
          <w:sz w:val="24"/>
          <w:szCs w:val="24"/>
        </w:rPr>
      </w:pPr>
      <w:r>
        <w:rPr>
          <w:rFonts w:hint="eastAsia"/>
          <w:sz w:val="24"/>
          <w:szCs w:val="24"/>
        </w:rPr>
        <w:t>（</w:t>
      </w:r>
      <w:r>
        <w:rPr>
          <w:sz w:val="24"/>
          <w:szCs w:val="24"/>
          <w:lang w:val="en-US"/>
        </w:rPr>
        <w:t>9</w:t>
      </w:r>
      <w:r>
        <w:rPr>
          <w:rFonts w:hint="eastAsia"/>
          <w:sz w:val="24"/>
          <w:szCs w:val="24"/>
        </w:rPr>
        <w:t>）</w:t>
      </w:r>
      <w:r>
        <w:rPr>
          <w:sz w:val="24"/>
          <w:szCs w:val="24"/>
        </w:rPr>
        <w:t xml:space="preserve"> </w:t>
      </w:r>
      <w:r>
        <w:rPr>
          <w:rFonts w:hint="eastAsia"/>
          <w:sz w:val="24"/>
          <w:szCs w:val="24"/>
        </w:rPr>
        <w:t>对已签发的进度款支付证书中出现错误的修正，应在本次进度付款中支付或扣除的金额；</w:t>
      </w:r>
    </w:p>
    <w:p>
      <w:pPr>
        <w:spacing w:line="360" w:lineRule="auto"/>
        <w:ind w:firstLine="600"/>
        <w:rPr>
          <w:sz w:val="24"/>
          <w:szCs w:val="24"/>
        </w:rPr>
      </w:pPr>
      <w:r>
        <w:rPr>
          <w:rFonts w:hint="eastAsia"/>
          <w:sz w:val="24"/>
          <w:szCs w:val="24"/>
          <w:lang w:val="en-US"/>
        </w:rPr>
        <w:t>（</w:t>
      </w:r>
      <w:r>
        <w:rPr>
          <w:sz w:val="24"/>
          <w:szCs w:val="24"/>
          <w:lang w:val="en-US"/>
        </w:rPr>
        <w:t>10</w:t>
      </w:r>
      <w:r>
        <w:rPr>
          <w:rFonts w:hint="eastAsia"/>
          <w:sz w:val="24"/>
          <w:szCs w:val="24"/>
        </w:rPr>
        <w:t>）</w:t>
      </w:r>
      <w:r>
        <w:rPr>
          <w:sz w:val="24"/>
          <w:szCs w:val="24"/>
        </w:rPr>
        <w:t xml:space="preserve"> </w:t>
      </w:r>
      <w:r>
        <w:rPr>
          <w:rFonts w:hint="eastAsia"/>
          <w:sz w:val="24"/>
          <w:szCs w:val="24"/>
        </w:rPr>
        <w:t>根据合同约定应增加和扣减的其他金额。</w:t>
      </w:r>
    </w:p>
    <w:p>
      <w:pPr>
        <w:pStyle w:val="66"/>
        <w:spacing w:afterLines="0"/>
        <w:ind w:left="0"/>
        <w:rPr>
          <w:rFonts w:cs="宋体"/>
          <w:szCs w:val="24"/>
        </w:rPr>
      </w:pPr>
      <w:bookmarkStart w:id="630" w:name="_Ref531957608"/>
      <w:r>
        <w:rPr>
          <w:rFonts w:cs="宋体"/>
          <w:szCs w:val="24"/>
        </w:rPr>
        <w:t xml:space="preserve">14.3.2 </w:t>
      </w:r>
      <w:r>
        <w:rPr>
          <w:rFonts w:hint="eastAsia" w:cs="宋体"/>
          <w:szCs w:val="24"/>
        </w:rPr>
        <w:t>进度付款审核和支付</w:t>
      </w:r>
      <w:bookmarkEnd w:id="630"/>
    </w:p>
    <w:p>
      <w:pPr>
        <w:pStyle w:val="68"/>
        <w:spacing w:line="360" w:lineRule="auto"/>
        <w:ind w:left="0" w:firstLine="480" w:firstLineChars="200"/>
        <w:rPr>
          <w:sz w:val="24"/>
          <w:szCs w:val="24"/>
        </w:rPr>
      </w:pPr>
      <w:r>
        <w:rPr>
          <w:rFonts w:hint="eastAsia"/>
          <w:sz w:val="24"/>
          <w:szCs w:val="24"/>
        </w:rPr>
        <w:t>除专用合同条件另有约定外，工程师应在收到承包人进度付款申请单以及相关资料后</w:t>
      </w:r>
      <w:r>
        <w:rPr>
          <w:sz w:val="24"/>
          <w:szCs w:val="24"/>
        </w:rPr>
        <w:t>7</w:t>
      </w:r>
      <w:r>
        <w:rPr>
          <w:rFonts w:hint="eastAsia"/>
          <w:sz w:val="24"/>
          <w:szCs w:val="24"/>
        </w:rPr>
        <w:t>天内完成审查并报送发包人，发包人应在收到后</w:t>
      </w:r>
      <w:r>
        <w:rPr>
          <w:sz w:val="24"/>
          <w:szCs w:val="24"/>
        </w:rPr>
        <w:t>7</w:t>
      </w:r>
      <w:r>
        <w:rPr>
          <w:rFonts w:hint="eastAsia"/>
          <w:sz w:val="24"/>
          <w:szCs w:val="24"/>
        </w:rPr>
        <w:t>天内完成审批并向承包人签发进度款支付证书。发包人逾期（包括因工程师原因延误报送的时间）未完成审批且未提出异议的，视为已签发进度款支付证书。</w:t>
      </w:r>
    </w:p>
    <w:p>
      <w:pPr>
        <w:spacing w:line="360" w:lineRule="auto"/>
        <w:ind w:firstLine="600"/>
        <w:rPr>
          <w:sz w:val="24"/>
          <w:szCs w:val="24"/>
        </w:rPr>
      </w:pPr>
      <w:r>
        <w:rPr>
          <w:rFonts w:hint="eastAsia"/>
          <w:sz w:val="24"/>
          <w:szCs w:val="24"/>
        </w:rPr>
        <w:t>工程师对承包人的进度付款申请单有异议的，有权要求承包人修正和提供补充资料，承包人应提交修正后的进度付款申请单。工程师应在收到承包人修正后的进度付款申请单及相关资料后</w:t>
      </w:r>
      <w:r>
        <w:rPr>
          <w:sz w:val="24"/>
          <w:szCs w:val="24"/>
        </w:rPr>
        <w:t>7</w:t>
      </w:r>
      <w:r>
        <w:rPr>
          <w:rFonts w:hint="eastAsia"/>
          <w:sz w:val="24"/>
          <w:szCs w:val="24"/>
        </w:rPr>
        <w:t>天内完成审查并报送发包人，发包人应在收到工程师报送的进度付款申请单及相关资料后</w:t>
      </w:r>
      <w:r>
        <w:rPr>
          <w:sz w:val="24"/>
          <w:szCs w:val="24"/>
        </w:rPr>
        <w:t>7</w:t>
      </w:r>
      <w:r>
        <w:rPr>
          <w:rFonts w:hint="eastAsia"/>
          <w:sz w:val="24"/>
          <w:szCs w:val="24"/>
        </w:rPr>
        <w:t>天内，向承包人签发无异议部分的进度款支付证书。存在争议的部分，按照第</w:t>
      </w:r>
      <w:r>
        <w:rPr>
          <w:sz w:val="24"/>
          <w:szCs w:val="24"/>
        </w:rPr>
        <w:t>20</w:t>
      </w:r>
      <w:r>
        <w:rPr>
          <w:rFonts w:hint="eastAsia"/>
          <w:sz w:val="24"/>
          <w:szCs w:val="24"/>
        </w:rPr>
        <w:t>条</w:t>
      </w:r>
      <w:r>
        <w:rPr>
          <w:sz w:val="24"/>
          <w:szCs w:val="24"/>
        </w:rPr>
        <w:t>[</w:t>
      </w:r>
      <w:r>
        <w:rPr>
          <w:rFonts w:hint="eastAsia"/>
          <w:sz w:val="24"/>
          <w:szCs w:val="24"/>
        </w:rPr>
        <w:t>争议解决</w:t>
      </w:r>
      <w:r>
        <w:rPr>
          <w:sz w:val="24"/>
          <w:szCs w:val="24"/>
        </w:rPr>
        <w:t>]</w:t>
      </w:r>
      <w:r>
        <w:rPr>
          <w:rFonts w:hint="eastAsia"/>
          <w:sz w:val="24"/>
          <w:szCs w:val="24"/>
        </w:rPr>
        <w:t>的约定处理。</w:t>
      </w:r>
    </w:p>
    <w:p>
      <w:pPr>
        <w:pStyle w:val="68"/>
        <w:spacing w:line="360" w:lineRule="auto"/>
        <w:ind w:left="0" w:firstLine="480" w:firstLineChars="200"/>
        <w:rPr>
          <w:sz w:val="24"/>
          <w:szCs w:val="24"/>
        </w:rPr>
      </w:pPr>
      <w:r>
        <w:rPr>
          <w:rFonts w:hint="eastAsia"/>
          <w:sz w:val="24"/>
          <w:szCs w:val="24"/>
        </w:rPr>
        <w:t>除专用合同条件另有约定外，发包人应在进度款支付证书签发后</w:t>
      </w:r>
      <w:r>
        <w:rPr>
          <w:sz w:val="24"/>
          <w:szCs w:val="24"/>
        </w:rPr>
        <w:t>14</w:t>
      </w:r>
      <w:r>
        <w:rPr>
          <w:rFonts w:hint="eastAsia"/>
          <w:sz w:val="24"/>
          <w:szCs w:val="24"/>
        </w:rPr>
        <w:t>天内完成支付，发包人逾期支付进度款的，按照贷款市场报价利率（</w:t>
      </w:r>
      <w:r>
        <w:rPr>
          <w:sz w:val="24"/>
          <w:szCs w:val="24"/>
        </w:rPr>
        <w:t>LPR</w:t>
      </w:r>
      <w:r>
        <w:rPr>
          <w:rFonts w:hint="eastAsia"/>
          <w:sz w:val="24"/>
          <w:szCs w:val="24"/>
        </w:rPr>
        <w:t>）支付利息；逾期支付超过</w:t>
      </w:r>
      <w:r>
        <w:rPr>
          <w:sz w:val="24"/>
          <w:szCs w:val="24"/>
        </w:rPr>
        <w:t>56</w:t>
      </w:r>
      <w:r>
        <w:rPr>
          <w:rFonts w:hint="eastAsia"/>
          <w:sz w:val="24"/>
          <w:szCs w:val="24"/>
        </w:rPr>
        <w:t>天的，按照贷款市场报价利率（</w:t>
      </w:r>
      <w:r>
        <w:rPr>
          <w:sz w:val="24"/>
          <w:szCs w:val="24"/>
        </w:rPr>
        <w:t>LPR</w:t>
      </w:r>
      <w:r>
        <w:rPr>
          <w:rFonts w:hint="eastAsia"/>
          <w:sz w:val="24"/>
          <w:szCs w:val="24"/>
        </w:rPr>
        <w:t>）的两倍支付利息。</w:t>
      </w:r>
      <w:r>
        <w:rPr>
          <w:sz w:val="24"/>
          <w:szCs w:val="24"/>
        </w:rPr>
        <w:t xml:space="preserve"> </w:t>
      </w:r>
    </w:p>
    <w:p>
      <w:pPr>
        <w:pStyle w:val="68"/>
        <w:spacing w:line="360" w:lineRule="auto"/>
        <w:ind w:left="0" w:firstLine="480" w:firstLineChars="200"/>
        <w:rPr>
          <w:sz w:val="24"/>
          <w:szCs w:val="24"/>
        </w:rPr>
      </w:pPr>
      <w:r>
        <w:rPr>
          <w:rFonts w:hint="eastAsia"/>
          <w:sz w:val="24"/>
          <w:szCs w:val="24"/>
        </w:rPr>
        <w:t>发包人签发进度款支付证书，不表明发包人已同意、批准或接受了承包人完成的相应部分的工作。</w:t>
      </w:r>
    </w:p>
    <w:p>
      <w:pPr>
        <w:pStyle w:val="66"/>
        <w:spacing w:afterLines="0"/>
        <w:ind w:left="0"/>
        <w:rPr>
          <w:rFonts w:cs="宋体"/>
          <w:szCs w:val="24"/>
        </w:rPr>
      </w:pPr>
      <w:bookmarkStart w:id="631" w:name="_Ref531957023"/>
      <w:r>
        <w:rPr>
          <w:rFonts w:cs="宋体"/>
          <w:szCs w:val="24"/>
        </w:rPr>
        <w:t xml:space="preserve">14.3.3 </w:t>
      </w:r>
      <w:r>
        <w:rPr>
          <w:rFonts w:hint="eastAsia" w:cs="宋体"/>
          <w:szCs w:val="24"/>
        </w:rPr>
        <w:t>进度付款的修正</w:t>
      </w:r>
      <w:bookmarkEnd w:id="631"/>
    </w:p>
    <w:p>
      <w:pPr>
        <w:spacing w:line="360" w:lineRule="auto"/>
        <w:ind w:firstLine="600"/>
        <w:rPr>
          <w:sz w:val="24"/>
          <w:szCs w:val="24"/>
        </w:rPr>
      </w:pPr>
      <w:r>
        <w:rPr>
          <w:rFonts w:hint="eastAsia"/>
          <w:sz w:val="24"/>
          <w:szCs w:val="24"/>
        </w:rPr>
        <w:t>在对已签发的进度款支付证书进行阶段汇总和复核中发现错误、遗漏或重复的，发包人和承包人均有权提出修正申请。经发包人和承包人同意的修正，应在下期进度付款中支付或扣除。</w:t>
      </w:r>
    </w:p>
    <w:p>
      <w:pPr>
        <w:pStyle w:val="65"/>
        <w:widowControl/>
        <w:spacing w:afterLines="0"/>
        <w:ind w:left="0"/>
        <w:rPr>
          <w:rFonts w:ascii="宋体" w:hAnsi="宋体" w:eastAsia="宋体" w:cs="宋体"/>
        </w:rPr>
      </w:pPr>
      <w:bookmarkStart w:id="632" w:name="_Ref4538578"/>
      <w:bookmarkStart w:id="633" w:name="_Toc54862295"/>
      <w:bookmarkStart w:id="634" w:name="_Ref536647822"/>
      <w:bookmarkStart w:id="635" w:name="_Ref536647814"/>
      <w:r>
        <w:rPr>
          <w:rFonts w:ascii="宋体" w:hAnsi="宋体" w:eastAsia="宋体" w:cs="宋体"/>
        </w:rPr>
        <w:t xml:space="preserve">14.4 </w:t>
      </w:r>
      <w:r>
        <w:rPr>
          <w:rFonts w:hint="eastAsia" w:ascii="宋体" w:hAnsi="宋体" w:eastAsia="宋体" w:cs="宋体"/>
        </w:rPr>
        <w:t>付款计划表</w:t>
      </w:r>
      <w:bookmarkEnd w:id="632"/>
      <w:bookmarkEnd w:id="633"/>
    </w:p>
    <w:p>
      <w:pPr>
        <w:pStyle w:val="66"/>
        <w:spacing w:afterLines="0"/>
        <w:ind w:left="0"/>
        <w:rPr>
          <w:rFonts w:cs="宋体"/>
          <w:szCs w:val="24"/>
        </w:rPr>
      </w:pPr>
      <w:bookmarkStart w:id="636" w:name="_Ref4570974"/>
      <w:r>
        <w:rPr>
          <w:rFonts w:cs="宋体"/>
          <w:szCs w:val="24"/>
        </w:rPr>
        <w:t xml:space="preserve">14.4.1 </w:t>
      </w:r>
      <w:r>
        <w:rPr>
          <w:rFonts w:hint="eastAsia" w:cs="宋体"/>
          <w:szCs w:val="24"/>
        </w:rPr>
        <w:t>付款计划表的编制要求</w:t>
      </w:r>
      <w:bookmarkEnd w:id="636"/>
    </w:p>
    <w:p>
      <w:pPr>
        <w:spacing w:line="360" w:lineRule="auto"/>
        <w:ind w:firstLine="600"/>
        <w:rPr>
          <w:sz w:val="24"/>
          <w:szCs w:val="24"/>
        </w:rPr>
      </w:pPr>
      <w:r>
        <w:rPr>
          <w:rFonts w:hint="eastAsia"/>
          <w:sz w:val="24"/>
          <w:szCs w:val="24"/>
        </w:rPr>
        <w:t>除专用合同条件另有约定外，付款计划表按如下要求编制：</w:t>
      </w:r>
    </w:p>
    <w:p>
      <w:pPr>
        <w:spacing w:line="360" w:lineRule="auto"/>
        <w:ind w:firstLine="6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付款计划表中所列的每期付款金额，应为第</w:t>
      </w:r>
      <w:r>
        <w:rPr>
          <w:sz w:val="24"/>
          <w:szCs w:val="24"/>
        </w:rPr>
        <w:t>14.3.1</w:t>
      </w:r>
      <w:r>
        <w:rPr>
          <w:rFonts w:hint="eastAsia"/>
          <w:sz w:val="24"/>
          <w:szCs w:val="24"/>
        </w:rPr>
        <w:t>项</w:t>
      </w:r>
      <w:r>
        <w:rPr>
          <w:sz w:val="24"/>
          <w:szCs w:val="24"/>
        </w:rPr>
        <w:t>[</w:t>
      </w:r>
      <w:r>
        <w:rPr>
          <w:rFonts w:hint="eastAsia"/>
          <w:sz w:val="24"/>
          <w:szCs w:val="24"/>
        </w:rPr>
        <w:t>工程进度付款申请</w:t>
      </w:r>
      <w:r>
        <w:rPr>
          <w:sz w:val="24"/>
          <w:szCs w:val="24"/>
        </w:rPr>
        <w:t>]</w:t>
      </w:r>
      <w:r>
        <w:rPr>
          <w:rFonts w:hint="eastAsia"/>
          <w:sz w:val="24"/>
          <w:szCs w:val="24"/>
        </w:rPr>
        <w:t>每期进度款的估算金额；</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实际进度与项目进度计划不一致的，合同当事人可按照第</w:t>
      </w:r>
      <w:r>
        <w:rPr>
          <w:sz w:val="24"/>
          <w:szCs w:val="24"/>
        </w:rPr>
        <w:t>3.6</w:t>
      </w:r>
      <w:r>
        <w:rPr>
          <w:rFonts w:hint="eastAsia"/>
          <w:sz w:val="24"/>
          <w:szCs w:val="24"/>
        </w:rPr>
        <w:t>款</w:t>
      </w:r>
      <w:r>
        <w:rPr>
          <w:sz w:val="24"/>
          <w:szCs w:val="24"/>
        </w:rPr>
        <w:t>[</w:t>
      </w:r>
      <w:r>
        <w:rPr>
          <w:rFonts w:hint="eastAsia"/>
          <w:sz w:val="24"/>
          <w:szCs w:val="24"/>
        </w:rPr>
        <w:t>商定或确定</w:t>
      </w:r>
      <w:r>
        <w:rPr>
          <w:sz w:val="24"/>
          <w:szCs w:val="24"/>
        </w:rPr>
        <w:t>]</w:t>
      </w:r>
      <w:r>
        <w:rPr>
          <w:rFonts w:hint="eastAsia"/>
          <w:sz w:val="24"/>
          <w:szCs w:val="24"/>
        </w:rPr>
        <w:t>修改付款计划表；</w:t>
      </w:r>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不采用付款计划表的，承包人应向工程师提交按季度编制的支付估算付款计划表，用于支付参考。</w:t>
      </w:r>
    </w:p>
    <w:p>
      <w:pPr>
        <w:pStyle w:val="66"/>
        <w:spacing w:afterLines="0"/>
        <w:ind w:left="0"/>
        <w:rPr>
          <w:rFonts w:cs="宋体"/>
          <w:szCs w:val="24"/>
        </w:rPr>
      </w:pPr>
      <w:bookmarkStart w:id="637" w:name="_Ref4571011"/>
      <w:r>
        <w:rPr>
          <w:rFonts w:cs="宋体"/>
          <w:szCs w:val="24"/>
        </w:rPr>
        <w:t xml:space="preserve">14.4.2 </w:t>
      </w:r>
      <w:r>
        <w:rPr>
          <w:rFonts w:hint="eastAsia" w:cs="宋体"/>
          <w:szCs w:val="24"/>
        </w:rPr>
        <w:t>付款计划表的编制与审批</w:t>
      </w:r>
      <w:bookmarkEnd w:id="637"/>
    </w:p>
    <w:p>
      <w:pPr>
        <w:spacing w:line="360" w:lineRule="auto"/>
        <w:ind w:firstLine="600"/>
        <w:rPr>
          <w:sz w:val="24"/>
          <w:szCs w:val="24"/>
        </w:rPr>
      </w:pPr>
      <w:r>
        <w:rPr>
          <w:rFonts w:hint="eastAsia"/>
          <w:sz w:val="24"/>
          <w:szCs w:val="24"/>
        </w:rPr>
        <w:t>（</w:t>
      </w:r>
      <w:r>
        <w:rPr>
          <w:sz w:val="24"/>
          <w:szCs w:val="24"/>
          <w:lang w:val="en-US"/>
        </w:rPr>
        <w:t>1</w:t>
      </w:r>
      <w:r>
        <w:rPr>
          <w:rFonts w:hint="eastAsia"/>
          <w:sz w:val="24"/>
          <w:szCs w:val="24"/>
        </w:rPr>
        <w:t>）</w:t>
      </w:r>
      <w:r>
        <w:rPr>
          <w:sz w:val="24"/>
          <w:szCs w:val="24"/>
        </w:rPr>
        <w:t xml:space="preserve"> </w:t>
      </w:r>
      <w:r>
        <w:rPr>
          <w:rFonts w:hint="eastAsia"/>
          <w:sz w:val="24"/>
          <w:szCs w:val="24"/>
        </w:rPr>
        <w:t>除专用合同条件另有约定外，承包人应根据第</w:t>
      </w:r>
      <w:r>
        <w:rPr>
          <w:sz w:val="24"/>
          <w:szCs w:val="24"/>
        </w:rPr>
        <w:t>8.4</w:t>
      </w:r>
      <w:r>
        <w:rPr>
          <w:rFonts w:hint="eastAsia"/>
          <w:sz w:val="24"/>
          <w:szCs w:val="24"/>
        </w:rPr>
        <w:t>款</w:t>
      </w:r>
      <w:r>
        <w:rPr>
          <w:sz w:val="24"/>
          <w:szCs w:val="24"/>
        </w:rPr>
        <w:t>[</w:t>
      </w:r>
      <w:r>
        <w:rPr>
          <w:rFonts w:hint="eastAsia"/>
          <w:sz w:val="24"/>
          <w:szCs w:val="24"/>
        </w:rPr>
        <w:t>项目进度计划</w:t>
      </w:r>
      <w:r>
        <w:rPr>
          <w:sz w:val="24"/>
          <w:szCs w:val="24"/>
        </w:rPr>
        <w:t>]</w:t>
      </w:r>
      <w:r>
        <w:rPr>
          <w:rFonts w:hint="eastAsia"/>
          <w:sz w:val="24"/>
          <w:szCs w:val="24"/>
        </w:rPr>
        <w:t>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w:t>
      </w:r>
      <w:r>
        <w:rPr>
          <w:sz w:val="24"/>
          <w:szCs w:val="24"/>
        </w:rPr>
        <w:t>7</w:t>
      </w:r>
      <w:r>
        <w:rPr>
          <w:rFonts w:hint="eastAsia"/>
          <w:sz w:val="24"/>
          <w:szCs w:val="24"/>
        </w:rPr>
        <w:t>天内，将付款计划表及编制付款计划表的支持性资料报送工程师。</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工程师应在收到付款计划表后</w:t>
      </w:r>
      <w:r>
        <w:rPr>
          <w:sz w:val="24"/>
          <w:szCs w:val="24"/>
        </w:rPr>
        <w:t>7</w:t>
      </w:r>
      <w:r>
        <w:rPr>
          <w:rFonts w:hint="eastAsia"/>
          <w:sz w:val="24"/>
          <w:szCs w:val="24"/>
        </w:rPr>
        <w:t>天内完成审核并报送发包人。发包人应在收到经工程师审核的付款计划表后</w:t>
      </w:r>
      <w:r>
        <w:rPr>
          <w:sz w:val="24"/>
          <w:szCs w:val="24"/>
        </w:rPr>
        <w:t>7</w:t>
      </w:r>
      <w:r>
        <w:rPr>
          <w:rFonts w:hint="eastAsia"/>
          <w:sz w:val="24"/>
          <w:szCs w:val="24"/>
        </w:rPr>
        <w:t>天内完成审批，经发包人批准的付款计划表为有约束力的付款计划表。</w:t>
      </w:r>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发包人逾期未完成付款计划表审批的，也未及时要求承包人进行修正和提供补充资料的，则承包人提交的付款计划表视为已经获得发包人批准。</w:t>
      </w:r>
    </w:p>
    <w:p>
      <w:pPr>
        <w:pStyle w:val="65"/>
        <w:widowControl/>
        <w:spacing w:afterLines="0"/>
        <w:ind w:left="0"/>
        <w:rPr>
          <w:rFonts w:ascii="宋体" w:hAnsi="宋体" w:eastAsia="宋体" w:cs="宋体"/>
        </w:rPr>
      </w:pPr>
      <w:bookmarkStart w:id="638" w:name="_Ref4538634"/>
      <w:bookmarkStart w:id="639" w:name="_Toc54862296"/>
      <w:r>
        <w:rPr>
          <w:rFonts w:ascii="宋体" w:hAnsi="宋体" w:eastAsia="宋体" w:cs="宋体"/>
        </w:rPr>
        <w:t xml:space="preserve">14.5 </w:t>
      </w:r>
      <w:r>
        <w:rPr>
          <w:rFonts w:hint="eastAsia" w:ascii="宋体" w:hAnsi="宋体" w:eastAsia="宋体" w:cs="宋体"/>
        </w:rPr>
        <w:t>竣工结算</w:t>
      </w:r>
      <w:bookmarkEnd w:id="638"/>
      <w:bookmarkEnd w:id="639"/>
    </w:p>
    <w:p>
      <w:pPr>
        <w:pStyle w:val="66"/>
        <w:spacing w:afterLines="0"/>
        <w:ind w:left="0"/>
        <w:rPr>
          <w:rFonts w:cs="宋体"/>
          <w:szCs w:val="24"/>
        </w:rPr>
      </w:pPr>
      <w:bookmarkStart w:id="640" w:name="_Ref4571361"/>
      <w:r>
        <w:rPr>
          <w:rFonts w:cs="宋体"/>
          <w:szCs w:val="24"/>
        </w:rPr>
        <w:t xml:space="preserve">14.5.1 </w:t>
      </w:r>
      <w:r>
        <w:rPr>
          <w:rFonts w:hint="eastAsia" w:cs="宋体"/>
          <w:szCs w:val="24"/>
        </w:rPr>
        <w:t>竣工结算申请</w:t>
      </w:r>
      <w:bookmarkEnd w:id="640"/>
    </w:p>
    <w:p>
      <w:pPr>
        <w:spacing w:line="360" w:lineRule="auto"/>
        <w:ind w:firstLine="600"/>
        <w:rPr>
          <w:sz w:val="24"/>
          <w:szCs w:val="24"/>
        </w:rPr>
      </w:pPr>
      <w:r>
        <w:rPr>
          <w:rFonts w:hint="eastAsia"/>
          <w:sz w:val="24"/>
          <w:szCs w:val="24"/>
        </w:rPr>
        <w:t>除专用合同条件另有约定外，承包人应在工程竣工验收合格后</w:t>
      </w:r>
      <w:r>
        <w:rPr>
          <w:sz w:val="24"/>
          <w:szCs w:val="24"/>
        </w:rPr>
        <w:t>42</w:t>
      </w:r>
      <w:r>
        <w:rPr>
          <w:rFonts w:hint="eastAsia"/>
          <w:sz w:val="24"/>
          <w:szCs w:val="24"/>
        </w:rPr>
        <w:t>天内向工程师提交竣工结算申请单，并提交完整的结算资料，有关竣工结算申请单的资料清单和份数等要求由合同当事人在专用合同条件中约定。</w:t>
      </w:r>
    </w:p>
    <w:p>
      <w:pPr>
        <w:spacing w:line="360" w:lineRule="auto"/>
        <w:ind w:firstLine="600"/>
        <w:rPr>
          <w:sz w:val="24"/>
          <w:szCs w:val="24"/>
        </w:rPr>
      </w:pPr>
      <w:r>
        <w:rPr>
          <w:rFonts w:hint="eastAsia"/>
          <w:sz w:val="24"/>
          <w:szCs w:val="24"/>
        </w:rPr>
        <w:t>除专用合同条件另有约定外，竣工结算申请单应包括以下内容：</w:t>
      </w:r>
    </w:p>
    <w:p>
      <w:pPr>
        <w:spacing w:line="360" w:lineRule="auto"/>
        <w:ind w:firstLine="6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竣工结算合同价格；</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发包人已支付承包人的款项；</w:t>
      </w:r>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采用第</w:t>
      </w:r>
      <w:r>
        <w:rPr>
          <w:sz w:val="24"/>
          <w:szCs w:val="24"/>
        </w:rPr>
        <w:t>14.6.1</w:t>
      </w:r>
      <w:r>
        <w:rPr>
          <w:rFonts w:hint="eastAsia"/>
          <w:sz w:val="24"/>
          <w:szCs w:val="24"/>
        </w:rPr>
        <w:t>项</w:t>
      </w:r>
      <w:r>
        <w:rPr>
          <w:sz w:val="24"/>
          <w:szCs w:val="24"/>
        </w:rPr>
        <w:t>[</w:t>
      </w:r>
      <w:r>
        <w:rPr>
          <w:rFonts w:hint="eastAsia"/>
          <w:sz w:val="24"/>
          <w:szCs w:val="24"/>
        </w:rPr>
        <w:t>承包人提供质量保证金的方式</w:t>
      </w:r>
      <w:r>
        <w:rPr>
          <w:sz w:val="24"/>
          <w:szCs w:val="24"/>
        </w:rPr>
        <w:t>]</w:t>
      </w:r>
      <w:r>
        <w:rPr>
          <w:rFonts w:hint="eastAsia"/>
          <w:sz w:val="24"/>
          <w:szCs w:val="24"/>
        </w:rPr>
        <w:t>第（</w:t>
      </w:r>
      <w:r>
        <w:rPr>
          <w:sz w:val="24"/>
          <w:szCs w:val="24"/>
        </w:rPr>
        <w:t>2</w:t>
      </w:r>
      <w:r>
        <w:rPr>
          <w:rFonts w:hint="eastAsia"/>
          <w:sz w:val="24"/>
          <w:szCs w:val="24"/>
        </w:rPr>
        <w:t>）种方式提供质量保证金的，应当列明应预留的质量保证金金额；采用第</w:t>
      </w:r>
      <w:r>
        <w:rPr>
          <w:sz w:val="24"/>
          <w:szCs w:val="24"/>
        </w:rPr>
        <w:t>14.6.1</w:t>
      </w:r>
      <w:r>
        <w:rPr>
          <w:rFonts w:hint="eastAsia"/>
          <w:sz w:val="24"/>
          <w:szCs w:val="24"/>
        </w:rPr>
        <w:t>项</w:t>
      </w:r>
      <w:r>
        <w:rPr>
          <w:sz w:val="24"/>
          <w:szCs w:val="24"/>
        </w:rPr>
        <w:t>[</w:t>
      </w:r>
      <w:r>
        <w:rPr>
          <w:rFonts w:hint="eastAsia"/>
          <w:sz w:val="24"/>
          <w:szCs w:val="24"/>
        </w:rPr>
        <w:t>承包人提供质量保证金的方式</w:t>
      </w:r>
      <w:r>
        <w:rPr>
          <w:sz w:val="24"/>
          <w:szCs w:val="24"/>
        </w:rPr>
        <w:t>]</w:t>
      </w:r>
      <w:r>
        <w:rPr>
          <w:rFonts w:hint="eastAsia"/>
          <w:sz w:val="24"/>
          <w:szCs w:val="24"/>
        </w:rPr>
        <w:t>中其他方式提供质量保证金的，应当按第</w:t>
      </w:r>
      <w:r>
        <w:rPr>
          <w:sz w:val="24"/>
          <w:szCs w:val="24"/>
        </w:rPr>
        <w:t>14.6</w:t>
      </w:r>
      <w:r>
        <w:rPr>
          <w:rFonts w:hint="eastAsia"/>
          <w:sz w:val="24"/>
          <w:szCs w:val="24"/>
        </w:rPr>
        <w:t>款</w:t>
      </w:r>
      <w:r>
        <w:rPr>
          <w:sz w:val="24"/>
          <w:szCs w:val="24"/>
        </w:rPr>
        <w:t>[</w:t>
      </w:r>
      <w:r>
        <w:rPr>
          <w:rFonts w:hint="eastAsia"/>
          <w:sz w:val="24"/>
          <w:szCs w:val="24"/>
        </w:rPr>
        <w:t>质量保证金</w:t>
      </w:r>
      <w:r>
        <w:rPr>
          <w:sz w:val="24"/>
          <w:szCs w:val="24"/>
        </w:rPr>
        <w:t>]</w:t>
      </w:r>
      <w:r>
        <w:rPr>
          <w:rFonts w:hint="eastAsia"/>
          <w:sz w:val="24"/>
          <w:szCs w:val="24"/>
        </w:rPr>
        <w:t>提供相关文件作为附件；</w:t>
      </w:r>
    </w:p>
    <w:p>
      <w:pPr>
        <w:spacing w:line="360" w:lineRule="auto"/>
        <w:ind w:firstLine="6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发包人应支付承包人的合同价款。</w:t>
      </w:r>
    </w:p>
    <w:p>
      <w:pPr>
        <w:pStyle w:val="66"/>
        <w:spacing w:afterLines="0"/>
        <w:ind w:left="0"/>
        <w:rPr>
          <w:rFonts w:cs="宋体"/>
          <w:szCs w:val="24"/>
        </w:rPr>
      </w:pPr>
      <w:bookmarkStart w:id="641" w:name="_Ref4571384"/>
      <w:r>
        <w:rPr>
          <w:rFonts w:cs="宋体"/>
          <w:szCs w:val="24"/>
        </w:rPr>
        <w:t xml:space="preserve">14.5.2 </w:t>
      </w:r>
      <w:r>
        <w:rPr>
          <w:rFonts w:hint="eastAsia" w:cs="宋体"/>
          <w:szCs w:val="24"/>
        </w:rPr>
        <w:t>竣工结算审核</w:t>
      </w:r>
      <w:bookmarkEnd w:id="641"/>
    </w:p>
    <w:p>
      <w:pPr>
        <w:spacing w:line="360" w:lineRule="auto"/>
        <w:ind w:firstLine="6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除专用合同条件另有约定外，工程师应在收到竣工结算申请单后</w:t>
      </w:r>
      <w:r>
        <w:rPr>
          <w:sz w:val="24"/>
          <w:szCs w:val="24"/>
        </w:rPr>
        <w:t>14</w:t>
      </w:r>
      <w:r>
        <w:rPr>
          <w:rFonts w:hint="eastAsia"/>
          <w:sz w:val="24"/>
          <w:szCs w:val="24"/>
        </w:rPr>
        <w:t>天内完成核查并报送发包人。发包人应在收到工程师提交的经审核的竣工结算申请单后</w:t>
      </w:r>
      <w:r>
        <w:rPr>
          <w:sz w:val="24"/>
          <w:szCs w:val="24"/>
        </w:rPr>
        <w:t>14</w:t>
      </w:r>
      <w:r>
        <w:rPr>
          <w:rFonts w:hint="eastAsia"/>
          <w:sz w:val="24"/>
          <w:szCs w:val="24"/>
        </w:rPr>
        <w:t>天内完成审批，并由工程师向承包人签发经发包人签认的竣工付款证书。工程师或发包人对竣工结算申请单有异议的，有权要求承包人进行修正和提供补充资料，承包人应提交修正后的竣工结算申请单。</w:t>
      </w:r>
    </w:p>
    <w:p>
      <w:pPr>
        <w:spacing w:line="360" w:lineRule="auto"/>
        <w:ind w:firstLine="600"/>
        <w:rPr>
          <w:sz w:val="24"/>
          <w:szCs w:val="24"/>
        </w:rPr>
      </w:pPr>
      <w:r>
        <w:rPr>
          <w:rFonts w:hint="eastAsia"/>
          <w:sz w:val="24"/>
          <w:szCs w:val="24"/>
        </w:rPr>
        <w:t>发包人在收到承包人提交竣工结算申请书后</w:t>
      </w:r>
      <w:r>
        <w:rPr>
          <w:sz w:val="24"/>
          <w:szCs w:val="24"/>
        </w:rPr>
        <w:t>28</w:t>
      </w:r>
      <w:r>
        <w:rPr>
          <w:rFonts w:hint="eastAsia"/>
          <w:sz w:val="24"/>
          <w:szCs w:val="24"/>
        </w:rPr>
        <w:t>天内未完成审批且未提出异议的，视为发包人认可承包人提交的竣工结算申请单，并自发包人收到承包人提交的竣工结算申请单后第</w:t>
      </w:r>
      <w:r>
        <w:rPr>
          <w:sz w:val="24"/>
          <w:szCs w:val="24"/>
        </w:rPr>
        <w:t>29</w:t>
      </w:r>
      <w:r>
        <w:rPr>
          <w:rFonts w:hint="eastAsia"/>
          <w:sz w:val="24"/>
          <w:szCs w:val="24"/>
        </w:rPr>
        <w:t>天起视为已签发竣工付款证书。</w:t>
      </w:r>
    </w:p>
    <w:p>
      <w:pPr>
        <w:spacing w:line="360" w:lineRule="auto"/>
        <w:ind w:firstLine="600"/>
        <w:rPr>
          <w:sz w:val="24"/>
          <w:szCs w:val="24"/>
        </w:rPr>
      </w:pPr>
      <w:bookmarkStart w:id="642" w:name="_Ref4618006"/>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除专用合同条件另有约定外，发包人应在签发竣工付款证书后的</w:t>
      </w:r>
      <w:r>
        <w:rPr>
          <w:sz w:val="24"/>
          <w:szCs w:val="24"/>
        </w:rPr>
        <w:t>14</w:t>
      </w:r>
      <w:r>
        <w:rPr>
          <w:rFonts w:hint="eastAsia"/>
          <w:sz w:val="24"/>
          <w:szCs w:val="24"/>
        </w:rPr>
        <w:t>天内，完成对承包人的竣工付款。发包人逾期支付的，按照贷款市场报价利率（</w:t>
      </w:r>
      <w:r>
        <w:rPr>
          <w:sz w:val="24"/>
          <w:szCs w:val="24"/>
        </w:rPr>
        <w:t>LPR</w:t>
      </w:r>
      <w:r>
        <w:rPr>
          <w:rFonts w:hint="eastAsia"/>
          <w:sz w:val="24"/>
          <w:szCs w:val="24"/>
        </w:rPr>
        <w:t>）支付违约金；逾期支付超过</w:t>
      </w:r>
      <w:r>
        <w:rPr>
          <w:sz w:val="24"/>
          <w:szCs w:val="24"/>
        </w:rPr>
        <w:t>56</w:t>
      </w:r>
      <w:r>
        <w:rPr>
          <w:rFonts w:hint="eastAsia"/>
          <w:sz w:val="24"/>
          <w:szCs w:val="24"/>
        </w:rPr>
        <w:t>天的，按照贷款市场报价利率（</w:t>
      </w:r>
      <w:r>
        <w:rPr>
          <w:sz w:val="24"/>
          <w:szCs w:val="24"/>
        </w:rPr>
        <w:t>LPR</w:t>
      </w:r>
      <w:r>
        <w:rPr>
          <w:rFonts w:hint="eastAsia"/>
          <w:sz w:val="24"/>
          <w:szCs w:val="24"/>
        </w:rPr>
        <w:t>）的两倍支付违约金。</w:t>
      </w:r>
      <w:bookmarkEnd w:id="642"/>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承包人对发包人签认的竣工付款证书有异议的，对于有异议部分应在收到发包人签认的竣工付款证书后</w:t>
      </w:r>
      <w:r>
        <w:rPr>
          <w:sz w:val="24"/>
          <w:szCs w:val="24"/>
        </w:rPr>
        <w:t>7</w:t>
      </w:r>
      <w:r>
        <w:rPr>
          <w:rFonts w:hint="eastAsia"/>
          <w:sz w:val="24"/>
          <w:szCs w:val="24"/>
        </w:rPr>
        <w:t>天内提出异议，并由合同当事人按照专用合同条件约定的方式和程序进行复核，或按照第</w:t>
      </w:r>
      <w:r>
        <w:rPr>
          <w:sz w:val="24"/>
          <w:szCs w:val="24"/>
        </w:rPr>
        <w:t>20</w:t>
      </w:r>
      <w:r>
        <w:rPr>
          <w:rFonts w:hint="eastAsia"/>
          <w:sz w:val="24"/>
          <w:szCs w:val="24"/>
        </w:rPr>
        <w:t>条</w:t>
      </w:r>
      <w:r>
        <w:rPr>
          <w:sz w:val="24"/>
          <w:szCs w:val="24"/>
        </w:rPr>
        <w:t>[</w:t>
      </w:r>
      <w:r>
        <w:rPr>
          <w:rFonts w:hint="eastAsia"/>
          <w:sz w:val="24"/>
          <w:szCs w:val="24"/>
        </w:rPr>
        <w:t>争议解决</w:t>
      </w:r>
      <w:r>
        <w:rPr>
          <w:sz w:val="24"/>
          <w:szCs w:val="24"/>
        </w:rPr>
        <w:t>]</w:t>
      </w:r>
      <w:r>
        <w:rPr>
          <w:rFonts w:hint="eastAsia"/>
          <w:sz w:val="24"/>
          <w:szCs w:val="24"/>
        </w:rPr>
        <w:t>约定处理。对于无异议部分，发包人应签发临时竣工付款证书，并按本款第（</w:t>
      </w:r>
      <w:r>
        <w:rPr>
          <w:sz w:val="24"/>
          <w:szCs w:val="24"/>
        </w:rPr>
        <w:t>2</w:t>
      </w:r>
      <w:r>
        <w:rPr>
          <w:rFonts w:hint="eastAsia"/>
          <w:sz w:val="24"/>
          <w:szCs w:val="24"/>
        </w:rPr>
        <w:t>）项完成付款。承包人逾期未提出异议的，视为认可发包人的审批结果。</w:t>
      </w:r>
    </w:p>
    <w:p>
      <w:pPr>
        <w:pStyle w:val="66"/>
        <w:spacing w:afterLines="0"/>
        <w:ind w:left="0"/>
        <w:rPr>
          <w:rFonts w:cs="宋体"/>
          <w:szCs w:val="24"/>
        </w:rPr>
      </w:pPr>
      <w:bookmarkStart w:id="643" w:name="_Ref15484305"/>
      <w:r>
        <w:rPr>
          <w:rFonts w:cs="宋体"/>
          <w:szCs w:val="24"/>
        </w:rPr>
        <w:t xml:space="preserve">14.5.3 </w:t>
      </w:r>
      <w:r>
        <w:rPr>
          <w:rFonts w:hint="eastAsia" w:cs="宋体"/>
          <w:szCs w:val="24"/>
        </w:rPr>
        <w:t>扫尾工作清单</w:t>
      </w:r>
      <w:bookmarkEnd w:id="643"/>
    </w:p>
    <w:p>
      <w:pPr>
        <w:spacing w:line="360" w:lineRule="auto"/>
        <w:ind w:firstLine="600"/>
        <w:rPr>
          <w:sz w:val="24"/>
          <w:szCs w:val="24"/>
        </w:rPr>
      </w:pPr>
      <w:r>
        <w:rPr>
          <w:rFonts w:hint="eastAsia"/>
          <w:sz w:val="24"/>
          <w:szCs w:val="24"/>
        </w:rPr>
        <w:t>经双方协商，部分工作在工程竣工验收后进行的，承包人应当编制扫尾工作清单，扫尾工作清单中应当列明承包人应当完成的扫尾工作的内容及完成时间。</w:t>
      </w:r>
    </w:p>
    <w:p>
      <w:pPr>
        <w:spacing w:line="360" w:lineRule="auto"/>
        <w:ind w:firstLine="600"/>
        <w:rPr>
          <w:sz w:val="24"/>
          <w:szCs w:val="24"/>
        </w:rPr>
      </w:pPr>
      <w:r>
        <w:rPr>
          <w:rFonts w:hint="eastAsia"/>
          <w:sz w:val="24"/>
          <w:szCs w:val="24"/>
        </w:rPr>
        <w:t>承包人完成扫尾工作清单中的内容应取得的费用包含在第</w:t>
      </w:r>
      <w:r>
        <w:rPr>
          <w:sz w:val="24"/>
          <w:szCs w:val="24"/>
        </w:rPr>
        <w:t>14.5.1</w:t>
      </w:r>
      <w:r>
        <w:rPr>
          <w:rFonts w:hint="eastAsia"/>
          <w:sz w:val="24"/>
          <w:szCs w:val="24"/>
        </w:rPr>
        <w:t>项</w:t>
      </w:r>
      <w:r>
        <w:rPr>
          <w:sz w:val="24"/>
          <w:szCs w:val="24"/>
        </w:rPr>
        <w:t>[</w:t>
      </w:r>
      <w:r>
        <w:rPr>
          <w:rFonts w:hint="eastAsia"/>
          <w:sz w:val="24"/>
          <w:szCs w:val="24"/>
        </w:rPr>
        <w:t>竣工结算申请</w:t>
      </w:r>
      <w:r>
        <w:rPr>
          <w:sz w:val="24"/>
          <w:szCs w:val="24"/>
        </w:rPr>
        <w:t>]</w:t>
      </w:r>
      <w:r>
        <w:rPr>
          <w:rFonts w:hint="eastAsia"/>
          <w:sz w:val="24"/>
          <w:szCs w:val="24"/>
        </w:rPr>
        <w:t>及第</w:t>
      </w:r>
      <w:r>
        <w:rPr>
          <w:sz w:val="24"/>
          <w:szCs w:val="24"/>
        </w:rPr>
        <w:t>14.5.2</w:t>
      </w:r>
      <w:r>
        <w:rPr>
          <w:rFonts w:hint="eastAsia"/>
          <w:sz w:val="24"/>
          <w:szCs w:val="24"/>
        </w:rPr>
        <w:t>项</w:t>
      </w:r>
      <w:r>
        <w:rPr>
          <w:sz w:val="24"/>
          <w:szCs w:val="24"/>
        </w:rPr>
        <w:t>[</w:t>
      </w:r>
      <w:r>
        <w:rPr>
          <w:rFonts w:hint="eastAsia"/>
          <w:sz w:val="24"/>
          <w:szCs w:val="24"/>
        </w:rPr>
        <w:t>竣工结算审核</w:t>
      </w:r>
      <w:r>
        <w:rPr>
          <w:sz w:val="24"/>
          <w:szCs w:val="24"/>
        </w:rPr>
        <w:t>]</w:t>
      </w:r>
      <w:r>
        <w:rPr>
          <w:rFonts w:hint="eastAsia"/>
          <w:sz w:val="24"/>
          <w:szCs w:val="24"/>
        </w:rPr>
        <w:t>中一并结算。</w:t>
      </w:r>
    </w:p>
    <w:p>
      <w:pPr>
        <w:spacing w:line="360" w:lineRule="auto"/>
        <w:ind w:firstLine="600"/>
        <w:rPr>
          <w:sz w:val="24"/>
          <w:szCs w:val="24"/>
        </w:rPr>
      </w:pPr>
      <w:r>
        <w:rPr>
          <w:rFonts w:hint="eastAsia"/>
          <w:sz w:val="24"/>
          <w:szCs w:val="24"/>
        </w:rPr>
        <w:t>扫尾工作的缺陷责任期按第</w:t>
      </w:r>
      <w:r>
        <w:rPr>
          <w:sz w:val="24"/>
          <w:szCs w:val="24"/>
        </w:rPr>
        <w:t>11</w:t>
      </w:r>
      <w:r>
        <w:rPr>
          <w:rFonts w:hint="eastAsia"/>
          <w:sz w:val="24"/>
          <w:szCs w:val="24"/>
        </w:rPr>
        <w:t>条</w:t>
      </w:r>
      <w:r>
        <w:rPr>
          <w:sz w:val="24"/>
          <w:szCs w:val="24"/>
        </w:rPr>
        <w:t>[</w:t>
      </w:r>
      <w:r>
        <w:rPr>
          <w:rFonts w:hint="eastAsia"/>
          <w:sz w:val="24"/>
          <w:szCs w:val="24"/>
        </w:rPr>
        <w:t>缺陷责任与保修</w:t>
      </w:r>
      <w:r>
        <w:rPr>
          <w:sz w:val="24"/>
          <w:szCs w:val="24"/>
        </w:rPr>
        <w:t>]</w:t>
      </w:r>
      <w:r>
        <w:rPr>
          <w:rFonts w:hint="eastAsia"/>
          <w:sz w:val="24"/>
          <w:szCs w:val="24"/>
        </w:rPr>
        <w:t>处理。承包人未能按照扫尾工作清单约定的完成时间完成扫尾工作的，视为承包人原因导致的工程质量缺陷按照第</w:t>
      </w:r>
      <w:r>
        <w:rPr>
          <w:sz w:val="24"/>
          <w:szCs w:val="24"/>
        </w:rPr>
        <w:t>11.3</w:t>
      </w:r>
      <w:r>
        <w:rPr>
          <w:rFonts w:hint="eastAsia"/>
          <w:sz w:val="24"/>
          <w:szCs w:val="24"/>
        </w:rPr>
        <w:t>款</w:t>
      </w:r>
      <w:r>
        <w:rPr>
          <w:sz w:val="24"/>
          <w:szCs w:val="24"/>
        </w:rPr>
        <w:t>[</w:t>
      </w:r>
      <w:r>
        <w:rPr>
          <w:rFonts w:hint="eastAsia"/>
          <w:sz w:val="24"/>
          <w:szCs w:val="24"/>
        </w:rPr>
        <w:t>缺陷调查</w:t>
      </w:r>
      <w:r>
        <w:rPr>
          <w:sz w:val="24"/>
          <w:szCs w:val="24"/>
        </w:rPr>
        <w:t>]</w:t>
      </w:r>
      <w:r>
        <w:rPr>
          <w:rFonts w:hint="eastAsia"/>
          <w:sz w:val="24"/>
          <w:szCs w:val="24"/>
        </w:rPr>
        <w:t>处理。</w:t>
      </w:r>
    </w:p>
    <w:p>
      <w:pPr>
        <w:pStyle w:val="65"/>
        <w:widowControl/>
        <w:spacing w:afterLines="0"/>
        <w:ind w:left="0"/>
        <w:rPr>
          <w:rFonts w:ascii="宋体" w:hAnsi="宋体" w:eastAsia="宋体" w:cs="宋体"/>
          <w:b w:val="0"/>
          <w:bCs/>
        </w:rPr>
      </w:pPr>
      <w:bookmarkStart w:id="644" w:name="_Ref15395020"/>
      <w:bookmarkStart w:id="645" w:name="_Ref4617582"/>
      <w:bookmarkStart w:id="646" w:name="_Ref4571127"/>
      <w:bookmarkStart w:id="647" w:name="_Ref4582115"/>
      <w:bookmarkStart w:id="648" w:name="_Ref4617592"/>
      <w:bookmarkStart w:id="649" w:name="_Toc54862297"/>
      <w:bookmarkStart w:id="650" w:name="_Ref4571100"/>
      <w:bookmarkStart w:id="651" w:name="_Hlk15394931"/>
      <w:r>
        <w:rPr>
          <w:rFonts w:ascii="宋体" w:hAnsi="宋体" w:eastAsia="宋体" w:cs="宋体"/>
        </w:rPr>
        <w:t xml:space="preserve">14.6 </w:t>
      </w:r>
      <w:r>
        <w:rPr>
          <w:rFonts w:hint="eastAsia" w:ascii="宋体" w:hAnsi="宋体" w:eastAsia="宋体" w:cs="宋体"/>
        </w:rPr>
        <w:t>质量保证金</w:t>
      </w:r>
      <w:bookmarkEnd w:id="634"/>
      <w:bookmarkEnd w:id="635"/>
      <w:bookmarkEnd w:id="644"/>
      <w:bookmarkEnd w:id="645"/>
      <w:bookmarkEnd w:id="646"/>
      <w:bookmarkEnd w:id="647"/>
      <w:bookmarkEnd w:id="648"/>
      <w:bookmarkEnd w:id="649"/>
      <w:bookmarkEnd w:id="650"/>
      <w:r>
        <w:rPr>
          <w:rFonts w:ascii="宋体" w:hAnsi="宋体" w:eastAsia="宋体" w:cs="宋体"/>
          <w:b w:val="0"/>
          <w:bCs/>
        </w:rPr>
        <w:t xml:space="preserve"> </w:t>
      </w:r>
    </w:p>
    <w:p>
      <w:pPr>
        <w:spacing w:line="360" w:lineRule="auto"/>
        <w:ind w:firstLine="600"/>
        <w:rPr>
          <w:sz w:val="24"/>
          <w:szCs w:val="24"/>
        </w:rPr>
      </w:pPr>
      <w:r>
        <w:rPr>
          <w:rFonts w:hint="eastAsia"/>
          <w:sz w:val="24"/>
          <w:szCs w:val="24"/>
        </w:rPr>
        <w:t>经合同当事人协商一致提供质量保证金的，应在专用合同条件中予以明确。在工程项目竣工前，承包人已经提供履约担保的，发包人不得同时要求承包人提供质量保证金。</w:t>
      </w:r>
    </w:p>
    <w:bookmarkEnd w:id="651"/>
    <w:p>
      <w:pPr>
        <w:pStyle w:val="66"/>
        <w:spacing w:afterLines="0"/>
        <w:ind w:left="0"/>
        <w:rPr>
          <w:rFonts w:cs="宋体"/>
          <w:szCs w:val="24"/>
        </w:rPr>
      </w:pPr>
      <w:bookmarkStart w:id="652" w:name="_Ref531955069"/>
      <w:bookmarkStart w:id="653" w:name="_Ref531957153"/>
      <w:r>
        <w:rPr>
          <w:rFonts w:cs="宋体"/>
          <w:szCs w:val="24"/>
        </w:rPr>
        <w:t xml:space="preserve">14.6.1 </w:t>
      </w:r>
      <w:r>
        <w:rPr>
          <w:rFonts w:hint="eastAsia" w:cs="宋体"/>
          <w:szCs w:val="24"/>
        </w:rPr>
        <w:t>承包人提供质量保证金的方式</w:t>
      </w:r>
      <w:bookmarkEnd w:id="652"/>
    </w:p>
    <w:p>
      <w:pPr>
        <w:spacing w:line="360" w:lineRule="auto"/>
        <w:ind w:firstLine="600"/>
        <w:rPr>
          <w:sz w:val="24"/>
          <w:szCs w:val="24"/>
        </w:rPr>
      </w:pPr>
      <w:r>
        <w:rPr>
          <w:rFonts w:hint="eastAsia"/>
          <w:sz w:val="24"/>
          <w:szCs w:val="24"/>
        </w:rPr>
        <w:t>承包人提供质量保证金有以下三种方式：</w:t>
      </w:r>
    </w:p>
    <w:p>
      <w:pPr>
        <w:spacing w:line="360" w:lineRule="auto"/>
        <w:ind w:firstLine="600"/>
        <w:rPr>
          <w:sz w:val="24"/>
          <w:szCs w:val="24"/>
        </w:rPr>
      </w:pPr>
      <w:bookmarkStart w:id="654" w:name="_Ref531955096"/>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提交工程质量保证担保；</w:t>
      </w:r>
      <w:bookmarkEnd w:id="654"/>
    </w:p>
    <w:p>
      <w:pPr>
        <w:spacing w:line="360" w:lineRule="auto"/>
        <w:ind w:firstLine="600"/>
        <w:rPr>
          <w:sz w:val="24"/>
          <w:szCs w:val="24"/>
        </w:rPr>
      </w:pPr>
      <w:bookmarkStart w:id="655" w:name="_Ref531955107"/>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预留相应比例的工程款；</w:t>
      </w:r>
      <w:bookmarkEnd w:id="655"/>
    </w:p>
    <w:p>
      <w:pPr>
        <w:spacing w:line="360" w:lineRule="auto"/>
        <w:ind w:firstLine="600"/>
        <w:rPr>
          <w:sz w:val="24"/>
          <w:szCs w:val="24"/>
        </w:rPr>
      </w:pPr>
      <w:bookmarkStart w:id="656" w:name="_Ref531955117"/>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双方约定的其他方式。</w:t>
      </w:r>
      <w:bookmarkEnd w:id="656"/>
    </w:p>
    <w:p>
      <w:pPr>
        <w:spacing w:line="360" w:lineRule="auto"/>
        <w:ind w:firstLine="600"/>
        <w:rPr>
          <w:sz w:val="24"/>
          <w:szCs w:val="24"/>
        </w:rPr>
      </w:pPr>
      <w:r>
        <w:rPr>
          <w:rFonts w:hint="eastAsia"/>
          <w:sz w:val="24"/>
          <w:szCs w:val="24"/>
        </w:rPr>
        <w:t>除专用合同条件另有约定外，质量保证金原则上采用上述第（</w:t>
      </w:r>
      <w:r>
        <w:rPr>
          <w:sz w:val="24"/>
          <w:szCs w:val="24"/>
        </w:rPr>
        <w:t>1</w:t>
      </w:r>
      <w:r>
        <w:rPr>
          <w:rFonts w:hint="eastAsia"/>
          <w:sz w:val="24"/>
          <w:szCs w:val="24"/>
        </w:rPr>
        <w:t>）种方式，且承包人应在工程竣工验收合格后</w:t>
      </w:r>
      <w:r>
        <w:rPr>
          <w:sz w:val="24"/>
          <w:szCs w:val="24"/>
        </w:rPr>
        <w:t>7</w:t>
      </w:r>
      <w:r>
        <w:rPr>
          <w:rFonts w:hint="eastAsia"/>
          <w:sz w:val="24"/>
          <w:szCs w:val="24"/>
        </w:rPr>
        <w:t>天内，向发包人提交工程质量保证担保。承包人提交工程质量保证担保时，发包人应同时返还预留的作为质量保证金的工程价款（如有）。但不论承包人以何种方式提供质量保证金，累计金额均不得高于工程价款结算总额的</w:t>
      </w:r>
      <w:r>
        <w:rPr>
          <w:sz w:val="24"/>
          <w:szCs w:val="24"/>
        </w:rPr>
        <w:t>3%</w:t>
      </w:r>
      <w:r>
        <w:rPr>
          <w:rFonts w:hint="eastAsia"/>
          <w:sz w:val="24"/>
          <w:szCs w:val="24"/>
        </w:rPr>
        <w:t>。</w:t>
      </w:r>
    </w:p>
    <w:p>
      <w:pPr>
        <w:pStyle w:val="66"/>
        <w:spacing w:afterLines="0"/>
        <w:ind w:left="0"/>
        <w:rPr>
          <w:rFonts w:cs="宋体"/>
          <w:szCs w:val="24"/>
        </w:rPr>
      </w:pPr>
      <w:bookmarkStart w:id="657" w:name="_Ref18931667"/>
      <w:bookmarkStart w:id="658" w:name="_Ref15419738"/>
      <w:r>
        <w:rPr>
          <w:rFonts w:cs="宋体"/>
          <w:szCs w:val="24"/>
        </w:rPr>
        <w:t xml:space="preserve">14.6.2 </w:t>
      </w:r>
      <w:r>
        <w:rPr>
          <w:rFonts w:hint="eastAsia" w:cs="宋体"/>
          <w:szCs w:val="24"/>
        </w:rPr>
        <w:t>质量保证金的预留</w:t>
      </w:r>
      <w:bookmarkEnd w:id="657"/>
      <w:bookmarkEnd w:id="658"/>
    </w:p>
    <w:p>
      <w:pPr>
        <w:spacing w:line="360" w:lineRule="auto"/>
        <w:ind w:firstLine="600"/>
        <w:rPr>
          <w:sz w:val="24"/>
          <w:szCs w:val="24"/>
        </w:rPr>
      </w:pPr>
      <w:r>
        <w:rPr>
          <w:rFonts w:hint="eastAsia"/>
          <w:sz w:val="24"/>
          <w:szCs w:val="24"/>
        </w:rPr>
        <w:t>双方约定采用预留相应比例的工程款方式提供质量保证金的，质量保证金的预留有以下三种方式：</w:t>
      </w:r>
    </w:p>
    <w:p>
      <w:pPr>
        <w:spacing w:line="360" w:lineRule="auto"/>
        <w:ind w:firstLine="600"/>
        <w:rPr>
          <w:sz w:val="24"/>
          <w:szCs w:val="24"/>
        </w:rPr>
      </w:pPr>
      <w:bookmarkStart w:id="659" w:name="_Hlk18840714"/>
      <w:bookmarkStart w:id="660" w:name="_Ref531955143"/>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按专用合同条件的约定在支付工程进度款时逐次预留，直至预留的质量保证金总额达到专用合同条件约定的金额或比例为止</w:t>
      </w:r>
      <w:bookmarkEnd w:id="659"/>
      <w:r>
        <w:rPr>
          <w:rFonts w:hint="eastAsia"/>
          <w:sz w:val="24"/>
          <w:szCs w:val="24"/>
        </w:rPr>
        <w:t>。在此情形下，质量保证金的计算基数不包括预付款的支付、扣回以及价格调整的金额；</w:t>
      </w:r>
      <w:bookmarkEnd w:id="660"/>
    </w:p>
    <w:p>
      <w:pPr>
        <w:spacing w:line="360" w:lineRule="auto"/>
        <w:ind w:firstLine="600"/>
        <w:rPr>
          <w:sz w:val="24"/>
          <w:szCs w:val="24"/>
        </w:rPr>
      </w:pPr>
      <w:bookmarkStart w:id="661" w:name="_Ref531955151"/>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工程竣工结算时一次性预留质量保证金；</w:t>
      </w:r>
      <w:bookmarkEnd w:id="661"/>
    </w:p>
    <w:p>
      <w:pPr>
        <w:spacing w:line="360" w:lineRule="auto"/>
        <w:ind w:firstLine="600"/>
        <w:rPr>
          <w:sz w:val="24"/>
          <w:szCs w:val="24"/>
        </w:rPr>
      </w:pPr>
      <w:bookmarkStart w:id="662" w:name="_Ref531955161"/>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双方约定的其他预留方式。</w:t>
      </w:r>
      <w:bookmarkEnd w:id="662"/>
    </w:p>
    <w:p>
      <w:pPr>
        <w:spacing w:line="360" w:lineRule="auto"/>
        <w:ind w:firstLine="600"/>
        <w:rPr>
          <w:sz w:val="24"/>
          <w:szCs w:val="24"/>
        </w:rPr>
      </w:pPr>
      <w:r>
        <w:rPr>
          <w:rFonts w:hint="eastAsia"/>
          <w:sz w:val="24"/>
          <w:szCs w:val="24"/>
        </w:rPr>
        <w:t>除专用合同条件另有约定外，质量保证金的预留原则上采用上述第（</w:t>
      </w:r>
      <w:r>
        <w:rPr>
          <w:sz w:val="24"/>
          <w:szCs w:val="24"/>
        </w:rPr>
        <w:t>1</w:t>
      </w:r>
      <w:r>
        <w:rPr>
          <w:rFonts w:hint="eastAsia"/>
          <w:sz w:val="24"/>
          <w:szCs w:val="24"/>
        </w:rPr>
        <w:t>）种方式。如承包人在发包人签发竣工付款证书后</w:t>
      </w:r>
      <w:r>
        <w:rPr>
          <w:sz w:val="24"/>
          <w:szCs w:val="24"/>
        </w:rPr>
        <w:t>28</w:t>
      </w:r>
      <w:r>
        <w:rPr>
          <w:rFonts w:hint="eastAsia"/>
          <w:sz w:val="24"/>
          <w:szCs w:val="24"/>
        </w:rPr>
        <w:t>天内提交工程质量保证担保，发包人应同时返还预留的作为质量保证金的工程价款。发包人在返还本条款项下的质量保证金的同时，按照中国人民银行同期同类存款基准利率支付利息。</w:t>
      </w:r>
    </w:p>
    <w:p>
      <w:pPr>
        <w:pStyle w:val="66"/>
        <w:spacing w:afterLines="0"/>
        <w:ind w:left="0"/>
        <w:rPr>
          <w:rFonts w:cs="宋体"/>
          <w:szCs w:val="24"/>
        </w:rPr>
      </w:pPr>
      <w:bookmarkStart w:id="663" w:name="_Ref532690096"/>
      <w:bookmarkStart w:id="664" w:name="_Ref4571243"/>
      <w:r>
        <w:rPr>
          <w:rFonts w:cs="宋体"/>
          <w:szCs w:val="24"/>
        </w:rPr>
        <w:t xml:space="preserve">14.6.3 </w:t>
      </w:r>
      <w:r>
        <w:rPr>
          <w:rFonts w:hint="eastAsia" w:cs="宋体"/>
          <w:szCs w:val="24"/>
        </w:rPr>
        <w:t>质量保证金的</w:t>
      </w:r>
      <w:bookmarkEnd w:id="663"/>
      <w:r>
        <w:rPr>
          <w:rFonts w:hint="eastAsia" w:cs="宋体"/>
          <w:szCs w:val="24"/>
        </w:rPr>
        <w:t>返还</w:t>
      </w:r>
      <w:bookmarkEnd w:id="664"/>
    </w:p>
    <w:p>
      <w:pPr>
        <w:spacing w:line="360" w:lineRule="auto"/>
        <w:ind w:firstLine="600"/>
        <w:rPr>
          <w:sz w:val="24"/>
          <w:szCs w:val="24"/>
        </w:rPr>
      </w:pPr>
      <w:r>
        <w:rPr>
          <w:rFonts w:hint="eastAsia"/>
          <w:sz w:val="24"/>
          <w:szCs w:val="24"/>
        </w:rPr>
        <w:t>缺陷责任期内，承包人认真履行合同约定的责任，缺陷责任期满，发包人根据第</w:t>
      </w:r>
      <w:r>
        <w:rPr>
          <w:sz w:val="24"/>
          <w:szCs w:val="24"/>
        </w:rPr>
        <w:t>11.6</w:t>
      </w:r>
      <w:r>
        <w:rPr>
          <w:rFonts w:hint="eastAsia"/>
          <w:sz w:val="24"/>
          <w:szCs w:val="24"/>
        </w:rPr>
        <w:t>款</w:t>
      </w:r>
      <w:r>
        <w:rPr>
          <w:sz w:val="24"/>
          <w:szCs w:val="24"/>
        </w:rPr>
        <w:t>[</w:t>
      </w:r>
      <w:r>
        <w:rPr>
          <w:rFonts w:hint="eastAsia"/>
          <w:sz w:val="24"/>
          <w:szCs w:val="24"/>
        </w:rPr>
        <w:t>缺陷责任期终止证书</w:t>
      </w:r>
      <w:r>
        <w:rPr>
          <w:sz w:val="24"/>
          <w:szCs w:val="24"/>
        </w:rPr>
        <w:t>]</w:t>
      </w:r>
      <w:r>
        <w:rPr>
          <w:rFonts w:hint="eastAsia"/>
          <w:sz w:val="24"/>
          <w:szCs w:val="24"/>
        </w:rPr>
        <w:t>向承包人颁发缺陷责任期终止证书后，承包人可向发包人申请返还质量保证金。</w:t>
      </w:r>
    </w:p>
    <w:p>
      <w:pPr>
        <w:spacing w:line="360" w:lineRule="auto"/>
        <w:ind w:firstLine="600"/>
        <w:rPr>
          <w:sz w:val="24"/>
          <w:szCs w:val="24"/>
        </w:rPr>
      </w:pPr>
      <w:r>
        <w:rPr>
          <w:rFonts w:hint="eastAsia"/>
          <w:sz w:val="24"/>
          <w:szCs w:val="24"/>
        </w:rPr>
        <w:t>发包人在接到承包人返还质量保证金申请后，应于</w:t>
      </w:r>
      <w:r>
        <w:rPr>
          <w:sz w:val="24"/>
          <w:szCs w:val="24"/>
        </w:rPr>
        <w:t>7</w:t>
      </w:r>
      <w:r>
        <w:rPr>
          <w:rFonts w:hint="eastAsia"/>
          <w:sz w:val="24"/>
          <w:szCs w:val="24"/>
        </w:rPr>
        <w:t>天内将质量保证金返还承包人，逾期未返还的，应承担违约责任。发包人在接到承包人返还质量保证金申请后</w:t>
      </w:r>
      <w:r>
        <w:rPr>
          <w:sz w:val="24"/>
          <w:szCs w:val="24"/>
        </w:rPr>
        <w:t>7</w:t>
      </w:r>
      <w:r>
        <w:rPr>
          <w:rFonts w:hint="eastAsia"/>
          <w:sz w:val="24"/>
          <w:szCs w:val="24"/>
        </w:rPr>
        <w:t>天内不予答复，视同认可承包人的返还质量保证金申请。</w:t>
      </w:r>
    </w:p>
    <w:p>
      <w:pPr>
        <w:spacing w:line="360" w:lineRule="auto"/>
        <w:ind w:firstLine="600"/>
        <w:rPr>
          <w:b/>
          <w:bCs/>
          <w:sz w:val="24"/>
          <w:szCs w:val="24"/>
        </w:rPr>
      </w:pPr>
      <w:r>
        <w:rPr>
          <w:rFonts w:hint="eastAsia"/>
          <w:sz w:val="24"/>
          <w:szCs w:val="24"/>
        </w:rPr>
        <w:t>发包人和承包人对质量保证金预留、返还以及工程维修质量、费用有争议的，按本合同第</w:t>
      </w:r>
      <w:r>
        <w:rPr>
          <w:b/>
          <w:bCs/>
          <w:sz w:val="24"/>
          <w:szCs w:val="24"/>
        </w:rPr>
        <w:t>20</w:t>
      </w:r>
      <w:r>
        <w:rPr>
          <w:rFonts w:hint="eastAsia"/>
          <w:b/>
          <w:bCs/>
          <w:sz w:val="24"/>
          <w:szCs w:val="24"/>
        </w:rPr>
        <w:t>条</w:t>
      </w:r>
      <w:r>
        <w:rPr>
          <w:b/>
          <w:bCs/>
          <w:sz w:val="24"/>
          <w:szCs w:val="24"/>
        </w:rPr>
        <w:t>[</w:t>
      </w:r>
      <w:r>
        <w:rPr>
          <w:rFonts w:hint="eastAsia"/>
          <w:b/>
          <w:bCs/>
          <w:sz w:val="24"/>
          <w:szCs w:val="24"/>
        </w:rPr>
        <w:t>争议解决</w:t>
      </w:r>
      <w:r>
        <w:rPr>
          <w:b/>
          <w:bCs/>
          <w:sz w:val="24"/>
          <w:szCs w:val="24"/>
        </w:rPr>
        <w:t>]</w:t>
      </w:r>
      <w:r>
        <w:rPr>
          <w:rFonts w:hint="eastAsia"/>
          <w:b/>
          <w:bCs/>
          <w:sz w:val="24"/>
          <w:szCs w:val="24"/>
        </w:rPr>
        <w:t>约定的争议和纠纷解决程序处理。</w:t>
      </w:r>
    </w:p>
    <w:bookmarkEnd w:id="653"/>
    <w:p>
      <w:pPr>
        <w:pStyle w:val="65"/>
        <w:widowControl/>
        <w:spacing w:afterLines="0"/>
        <w:ind w:left="0"/>
        <w:rPr>
          <w:rFonts w:ascii="宋体" w:hAnsi="宋体" w:eastAsia="宋体" w:cs="宋体"/>
          <w:b w:val="0"/>
          <w:bCs/>
        </w:rPr>
      </w:pPr>
      <w:bookmarkStart w:id="665" w:name="_Toc54862298"/>
      <w:bookmarkStart w:id="666" w:name="_Ref531957341"/>
      <w:bookmarkStart w:id="667" w:name="_Ref531957339"/>
      <w:r>
        <w:rPr>
          <w:rFonts w:ascii="宋体" w:hAnsi="宋体" w:eastAsia="宋体" w:cs="宋体"/>
          <w:bCs/>
        </w:rPr>
        <w:t xml:space="preserve">14.7 </w:t>
      </w:r>
      <w:r>
        <w:rPr>
          <w:rFonts w:hint="eastAsia" w:ascii="宋体" w:hAnsi="宋体" w:eastAsia="宋体" w:cs="宋体"/>
          <w:bCs/>
        </w:rPr>
        <w:t>最终结清</w:t>
      </w:r>
      <w:bookmarkEnd w:id="665"/>
      <w:bookmarkEnd w:id="666"/>
      <w:bookmarkEnd w:id="667"/>
      <w:r>
        <w:rPr>
          <w:rFonts w:ascii="宋体" w:hAnsi="宋体" w:eastAsia="宋体" w:cs="宋体"/>
          <w:bCs/>
        </w:rPr>
        <w:t xml:space="preserve"> </w:t>
      </w:r>
    </w:p>
    <w:p>
      <w:pPr>
        <w:pStyle w:val="66"/>
        <w:spacing w:afterLines="0"/>
        <w:ind w:left="0"/>
        <w:rPr>
          <w:rFonts w:cs="宋体"/>
          <w:szCs w:val="24"/>
        </w:rPr>
      </w:pPr>
      <w:bookmarkStart w:id="668" w:name="_Ref531957350"/>
      <w:r>
        <w:rPr>
          <w:rFonts w:cs="宋体"/>
          <w:szCs w:val="24"/>
        </w:rPr>
        <w:t xml:space="preserve">14.7.1 </w:t>
      </w:r>
      <w:r>
        <w:rPr>
          <w:rFonts w:hint="eastAsia" w:cs="宋体"/>
          <w:szCs w:val="24"/>
        </w:rPr>
        <w:t>最终结清申请</w:t>
      </w:r>
      <w:bookmarkEnd w:id="668"/>
      <w:r>
        <w:rPr>
          <w:rFonts w:hint="eastAsia" w:cs="宋体"/>
          <w:szCs w:val="24"/>
        </w:rPr>
        <w:t>单</w:t>
      </w:r>
    </w:p>
    <w:p>
      <w:pPr>
        <w:spacing w:line="360" w:lineRule="auto"/>
        <w:ind w:firstLine="6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除专用合同条件另有约定外，承包人应在缺陷责任期终止证书颁发后</w:t>
      </w:r>
      <w:r>
        <w:rPr>
          <w:sz w:val="24"/>
          <w:szCs w:val="24"/>
        </w:rPr>
        <w:t>7</w:t>
      </w:r>
      <w:r>
        <w:rPr>
          <w:rFonts w:hint="eastAsia"/>
          <w:sz w:val="24"/>
          <w:szCs w:val="24"/>
        </w:rPr>
        <w:t>天内，按专用合同条件约定的份数向发包人提交最终结清申请单，并提供相关证明材料。</w:t>
      </w:r>
    </w:p>
    <w:p>
      <w:pPr>
        <w:spacing w:line="360" w:lineRule="auto"/>
        <w:ind w:firstLine="600"/>
        <w:rPr>
          <w:sz w:val="24"/>
          <w:szCs w:val="24"/>
        </w:rPr>
      </w:pPr>
      <w:r>
        <w:rPr>
          <w:rFonts w:hint="eastAsia"/>
          <w:sz w:val="24"/>
          <w:szCs w:val="24"/>
        </w:rPr>
        <w:t>除专用合同条件另有约定外，最终结清申请单应列明质量保证金、应扣除的质量保证金、缺陷责任期内发生的增减费用。</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发包人对最终结清申请单内容有异议的，有权要求承包人进行修正和提供补充资料，承包人应向发包人提交修正后的最终结清申请单。</w:t>
      </w:r>
    </w:p>
    <w:p>
      <w:pPr>
        <w:pStyle w:val="66"/>
        <w:spacing w:afterLines="0"/>
        <w:ind w:left="0"/>
        <w:rPr>
          <w:rFonts w:cs="宋体"/>
          <w:szCs w:val="24"/>
        </w:rPr>
      </w:pPr>
      <w:bookmarkStart w:id="669" w:name="_Ref531957369"/>
      <w:bookmarkStart w:id="670" w:name="_Ref4624099"/>
      <w:r>
        <w:rPr>
          <w:rFonts w:cs="宋体"/>
          <w:szCs w:val="24"/>
        </w:rPr>
        <w:t xml:space="preserve">14.7.2 </w:t>
      </w:r>
      <w:r>
        <w:rPr>
          <w:rFonts w:hint="eastAsia" w:cs="宋体"/>
          <w:szCs w:val="24"/>
        </w:rPr>
        <w:t>最终结清证书</w:t>
      </w:r>
      <w:bookmarkEnd w:id="669"/>
      <w:r>
        <w:rPr>
          <w:rFonts w:hint="eastAsia" w:cs="宋体"/>
          <w:szCs w:val="24"/>
        </w:rPr>
        <w:t>和支付</w:t>
      </w:r>
      <w:bookmarkEnd w:id="670"/>
    </w:p>
    <w:p>
      <w:pPr>
        <w:spacing w:line="360" w:lineRule="auto"/>
        <w:ind w:firstLine="6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除专用合同条件另有约定外，发包人应在收到承包人提交的最终结清申请单后</w:t>
      </w:r>
      <w:r>
        <w:rPr>
          <w:sz w:val="24"/>
          <w:szCs w:val="24"/>
        </w:rPr>
        <w:t>14</w:t>
      </w:r>
      <w:r>
        <w:rPr>
          <w:rFonts w:hint="eastAsia"/>
          <w:sz w:val="24"/>
          <w:szCs w:val="24"/>
        </w:rPr>
        <w:t>天内完成审批并向承包人颁发最终结清证书。发包人逾期未完成审批，又未提出修改意见的，视为发包人同意承包人提交的最终结清申请单，且自发包人收到承包人提交的最终结清申请单后</w:t>
      </w:r>
      <w:r>
        <w:rPr>
          <w:sz w:val="24"/>
          <w:szCs w:val="24"/>
        </w:rPr>
        <w:t>15</w:t>
      </w:r>
      <w:r>
        <w:rPr>
          <w:rFonts w:hint="eastAsia"/>
          <w:sz w:val="24"/>
          <w:szCs w:val="24"/>
        </w:rPr>
        <w:t>天起视为已颁发最终结清证书。</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除专用合同条件另有约定外，发包人应在颁发最终结清证书后</w:t>
      </w:r>
      <w:r>
        <w:rPr>
          <w:sz w:val="24"/>
          <w:szCs w:val="24"/>
        </w:rPr>
        <w:t>7</w:t>
      </w:r>
      <w:r>
        <w:rPr>
          <w:rFonts w:hint="eastAsia"/>
          <w:sz w:val="24"/>
          <w:szCs w:val="24"/>
        </w:rPr>
        <w:t>天内完成支付。发包人逾期支付的，按照贷款市场报价利率（</w:t>
      </w:r>
      <w:r>
        <w:rPr>
          <w:sz w:val="24"/>
          <w:szCs w:val="24"/>
        </w:rPr>
        <w:t>LPR</w:t>
      </w:r>
      <w:r>
        <w:rPr>
          <w:rFonts w:hint="eastAsia"/>
          <w:sz w:val="24"/>
          <w:szCs w:val="24"/>
        </w:rPr>
        <w:t>）支付利息；逾期支付超过</w:t>
      </w:r>
      <w:r>
        <w:rPr>
          <w:sz w:val="24"/>
          <w:szCs w:val="24"/>
        </w:rPr>
        <w:t>56</w:t>
      </w:r>
      <w:r>
        <w:rPr>
          <w:rFonts w:hint="eastAsia"/>
          <w:sz w:val="24"/>
          <w:szCs w:val="24"/>
        </w:rPr>
        <w:t>天的，按照贷款市场报价利率（</w:t>
      </w:r>
      <w:r>
        <w:rPr>
          <w:sz w:val="24"/>
          <w:szCs w:val="24"/>
        </w:rPr>
        <w:t>LPR</w:t>
      </w:r>
      <w:r>
        <w:rPr>
          <w:rFonts w:hint="eastAsia"/>
          <w:sz w:val="24"/>
          <w:szCs w:val="24"/>
        </w:rPr>
        <w:t>）的两倍支付利息。</w:t>
      </w:r>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承包人对发包人颁发的最终结清证书有异议的，按第</w:t>
      </w:r>
      <w:r>
        <w:rPr>
          <w:sz w:val="24"/>
          <w:szCs w:val="24"/>
        </w:rPr>
        <w:t>20</w:t>
      </w:r>
      <w:r>
        <w:rPr>
          <w:rFonts w:hint="eastAsia"/>
          <w:sz w:val="24"/>
          <w:szCs w:val="24"/>
        </w:rPr>
        <w:t>条</w:t>
      </w:r>
      <w:r>
        <w:rPr>
          <w:sz w:val="24"/>
          <w:szCs w:val="24"/>
        </w:rPr>
        <w:t>[</w:t>
      </w:r>
      <w:r>
        <w:rPr>
          <w:rFonts w:hint="eastAsia"/>
          <w:sz w:val="24"/>
          <w:szCs w:val="24"/>
        </w:rPr>
        <w:t>争议解决</w:t>
      </w:r>
      <w:r>
        <w:rPr>
          <w:sz w:val="24"/>
          <w:szCs w:val="24"/>
        </w:rPr>
        <w:t>]</w:t>
      </w:r>
      <w:r>
        <w:rPr>
          <w:rFonts w:hint="eastAsia"/>
          <w:sz w:val="24"/>
          <w:szCs w:val="24"/>
        </w:rPr>
        <w:t>的约定办理。</w:t>
      </w:r>
    </w:p>
    <w:p>
      <w:pPr>
        <w:pStyle w:val="64"/>
        <w:numPr>
          <w:ilvl w:val="0"/>
          <w:numId w:val="0"/>
        </w:numPr>
        <w:spacing w:before="0"/>
        <w:rPr>
          <w:rFonts w:ascii="宋体"/>
          <w:b/>
          <w:sz w:val="24"/>
          <w:szCs w:val="24"/>
        </w:rPr>
      </w:pPr>
      <w:bookmarkStart w:id="671" w:name="_Toc54862299"/>
      <w:bookmarkStart w:id="672" w:name="_Ref11920396"/>
      <w:bookmarkStart w:id="673" w:name="_Ref11920407"/>
      <w:bookmarkStart w:id="674" w:name="_Ref11874957"/>
      <w:r>
        <w:rPr>
          <w:rFonts w:hint="eastAsia" w:ascii="宋体" w:hAnsi="宋体"/>
          <w:b/>
          <w:sz w:val="24"/>
          <w:szCs w:val="24"/>
        </w:rPr>
        <w:t>第</w:t>
      </w:r>
      <w:r>
        <w:rPr>
          <w:rFonts w:ascii="宋体" w:hAnsi="宋体"/>
          <w:b/>
          <w:sz w:val="24"/>
          <w:szCs w:val="24"/>
        </w:rPr>
        <w:t>15</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违约</w:t>
      </w:r>
      <w:bookmarkEnd w:id="529"/>
      <w:bookmarkEnd w:id="533"/>
      <w:bookmarkEnd w:id="534"/>
      <w:bookmarkEnd w:id="671"/>
      <w:bookmarkEnd w:id="672"/>
      <w:bookmarkEnd w:id="673"/>
      <w:bookmarkEnd w:id="674"/>
    </w:p>
    <w:p>
      <w:pPr>
        <w:pStyle w:val="65"/>
        <w:widowControl/>
        <w:spacing w:afterLines="0"/>
        <w:ind w:left="0"/>
        <w:rPr>
          <w:rFonts w:ascii="宋体" w:hAnsi="宋体" w:eastAsia="宋体" w:cs="宋体"/>
        </w:rPr>
      </w:pPr>
      <w:bookmarkStart w:id="675" w:name="_Ref4534411"/>
      <w:bookmarkStart w:id="676" w:name="_Ref4534399"/>
      <w:bookmarkStart w:id="677" w:name="_Ref4534376"/>
      <w:bookmarkStart w:id="678" w:name="_Ref4534384"/>
      <w:bookmarkStart w:id="679" w:name="_Toc54862300"/>
      <w:r>
        <w:rPr>
          <w:rFonts w:ascii="宋体" w:hAnsi="宋体" w:eastAsia="宋体" w:cs="宋体"/>
        </w:rPr>
        <w:t xml:space="preserve">15.1 </w:t>
      </w:r>
      <w:r>
        <w:rPr>
          <w:rFonts w:hint="eastAsia" w:ascii="宋体" w:hAnsi="宋体" w:eastAsia="宋体" w:cs="宋体"/>
        </w:rPr>
        <w:t>发包人违约</w:t>
      </w:r>
      <w:bookmarkEnd w:id="675"/>
      <w:bookmarkEnd w:id="676"/>
      <w:bookmarkEnd w:id="677"/>
      <w:bookmarkEnd w:id="678"/>
      <w:bookmarkEnd w:id="679"/>
    </w:p>
    <w:p>
      <w:pPr>
        <w:pStyle w:val="66"/>
        <w:spacing w:afterLines="0"/>
        <w:ind w:left="0"/>
        <w:rPr>
          <w:rFonts w:cs="宋体"/>
          <w:szCs w:val="24"/>
        </w:rPr>
      </w:pPr>
      <w:bookmarkStart w:id="680" w:name="_Ref3841087"/>
      <w:r>
        <w:rPr>
          <w:rFonts w:cs="宋体"/>
          <w:szCs w:val="24"/>
        </w:rPr>
        <w:t xml:space="preserve">15.1.1 </w:t>
      </w:r>
      <w:r>
        <w:rPr>
          <w:rFonts w:hint="eastAsia" w:cs="宋体"/>
          <w:szCs w:val="24"/>
        </w:rPr>
        <w:t>发包人违约的情形</w:t>
      </w:r>
      <w:bookmarkEnd w:id="680"/>
    </w:p>
    <w:p>
      <w:pPr>
        <w:spacing w:line="360" w:lineRule="auto"/>
        <w:ind w:firstLine="600"/>
        <w:rPr>
          <w:sz w:val="24"/>
          <w:szCs w:val="24"/>
        </w:rPr>
      </w:pPr>
      <w:r>
        <w:rPr>
          <w:rFonts w:hint="eastAsia"/>
          <w:sz w:val="24"/>
          <w:szCs w:val="24"/>
        </w:rPr>
        <w:t>除专用合同条件另有约定外，在合同履行过程中发生的下列情形，属于发包人违约：</w:t>
      </w:r>
    </w:p>
    <w:p>
      <w:pPr>
        <w:spacing w:line="360" w:lineRule="auto"/>
        <w:ind w:firstLine="6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因发包人原因导致开始工作日期延误的；</w:t>
      </w:r>
      <w:r>
        <w:rPr>
          <w:sz w:val="24"/>
          <w:szCs w:val="24"/>
        </w:rPr>
        <w:t xml:space="preserve"> </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因发包人原因未能按合同约定支付合同价款的；</w:t>
      </w:r>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发包人违反第</w:t>
      </w:r>
      <w:r>
        <w:rPr>
          <w:sz w:val="24"/>
          <w:szCs w:val="24"/>
        </w:rPr>
        <w:t>13.1.1</w:t>
      </w:r>
      <w:r>
        <w:rPr>
          <w:rFonts w:hint="eastAsia"/>
          <w:sz w:val="24"/>
          <w:szCs w:val="24"/>
        </w:rPr>
        <w:t>项约定，自行实施被取消的工作或转由他人实施的；</w:t>
      </w:r>
    </w:p>
    <w:p>
      <w:pPr>
        <w:spacing w:line="360" w:lineRule="auto"/>
        <w:ind w:firstLine="6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因发包人违反合同约定造成工程暂停施工的；</w:t>
      </w:r>
    </w:p>
    <w:p>
      <w:pPr>
        <w:spacing w:line="360" w:lineRule="auto"/>
        <w:ind w:firstLine="6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工程师无正当理由没有在约定期限内发出复工指示，导致承包人无法复工的；</w:t>
      </w:r>
    </w:p>
    <w:p>
      <w:pPr>
        <w:spacing w:line="360" w:lineRule="auto"/>
        <w:ind w:firstLine="6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发包人明确表示或者以其行为表明不履行合同主要义务的；</w:t>
      </w:r>
    </w:p>
    <w:p>
      <w:pPr>
        <w:spacing w:line="360" w:lineRule="auto"/>
        <w:ind w:firstLine="600"/>
        <w:rPr>
          <w:sz w:val="24"/>
          <w:szCs w:val="24"/>
        </w:rPr>
      </w:pPr>
      <w:r>
        <w:rPr>
          <w:rFonts w:hint="eastAsia"/>
          <w:sz w:val="24"/>
          <w:szCs w:val="24"/>
        </w:rPr>
        <w:t>（</w:t>
      </w:r>
      <w:r>
        <w:rPr>
          <w:sz w:val="24"/>
          <w:szCs w:val="24"/>
        </w:rPr>
        <w:t>7</w:t>
      </w:r>
      <w:r>
        <w:rPr>
          <w:rFonts w:hint="eastAsia"/>
          <w:sz w:val="24"/>
          <w:szCs w:val="24"/>
        </w:rPr>
        <w:t>）</w:t>
      </w:r>
      <w:r>
        <w:rPr>
          <w:sz w:val="24"/>
          <w:szCs w:val="24"/>
        </w:rPr>
        <w:t xml:space="preserve"> </w:t>
      </w:r>
      <w:r>
        <w:rPr>
          <w:rFonts w:hint="eastAsia"/>
          <w:sz w:val="24"/>
          <w:szCs w:val="24"/>
        </w:rPr>
        <w:t>发包人未能按照合同约定履行其他义务的。</w:t>
      </w:r>
    </w:p>
    <w:p>
      <w:pPr>
        <w:pStyle w:val="66"/>
        <w:spacing w:afterLines="0"/>
        <w:ind w:left="0"/>
        <w:rPr>
          <w:rFonts w:cs="宋体"/>
          <w:szCs w:val="24"/>
        </w:rPr>
      </w:pPr>
      <w:bookmarkStart w:id="681" w:name="_Ref4535692"/>
      <w:r>
        <w:rPr>
          <w:rFonts w:cs="宋体"/>
          <w:szCs w:val="24"/>
        </w:rPr>
        <w:t xml:space="preserve">15.1.2 </w:t>
      </w:r>
      <w:r>
        <w:rPr>
          <w:rFonts w:hint="eastAsia" w:cs="宋体"/>
          <w:szCs w:val="24"/>
        </w:rPr>
        <w:t>通知改正</w:t>
      </w:r>
      <w:bookmarkEnd w:id="681"/>
    </w:p>
    <w:p>
      <w:pPr>
        <w:spacing w:line="360" w:lineRule="auto"/>
        <w:ind w:firstLine="600"/>
        <w:rPr>
          <w:sz w:val="24"/>
          <w:szCs w:val="24"/>
        </w:rPr>
      </w:pPr>
      <w:bookmarkStart w:id="682" w:name="_Hlk16248297"/>
      <w:r>
        <w:rPr>
          <w:rFonts w:hint="eastAsia"/>
          <w:sz w:val="24"/>
          <w:szCs w:val="24"/>
        </w:rPr>
        <w:t>发包人发生除第</w:t>
      </w:r>
      <w:r>
        <w:rPr>
          <w:sz w:val="24"/>
          <w:szCs w:val="24"/>
        </w:rPr>
        <w:t>15.1.1</w:t>
      </w:r>
      <w:r>
        <w:rPr>
          <w:rFonts w:hint="eastAsia"/>
          <w:sz w:val="24"/>
          <w:szCs w:val="24"/>
        </w:rPr>
        <w:t>项第</w:t>
      </w:r>
      <w:r>
        <w:rPr>
          <w:sz w:val="24"/>
          <w:szCs w:val="24"/>
        </w:rPr>
        <w:t>(6)</w:t>
      </w:r>
      <w:r>
        <w:rPr>
          <w:rFonts w:hint="eastAsia"/>
          <w:sz w:val="24"/>
          <w:szCs w:val="24"/>
        </w:rPr>
        <w:t>目以外的违约情况时，承包人可向发包人发出通知，要求发包人采取有效措施纠正违约行为。发包人收到承包人通知后</w:t>
      </w:r>
      <w:r>
        <w:rPr>
          <w:sz w:val="24"/>
          <w:szCs w:val="24"/>
        </w:rPr>
        <w:t>28</w:t>
      </w:r>
      <w:r>
        <w:rPr>
          <w:rFonts w:hint="eastAsia"/>
          <w:sz w:val="24"/>
          <w:szCs w:val="24"/>
        </w:rPr>
        <w:t>天内仍不纠正违约行为的，承包人有权暂停相应部位工程实施，并通知工程师。</w:t>
      </w:r>
      <w:bookmarkEnd w:id="682"/>
    </w:p>
    <w:p>
      <w:pPr>
        <w:pStyle w:val="66"/>
        <w:spacing w:afterLines="0"/>
        <w:ind w:left="0"/>
        <w:rPr>
          <w:rFonts w:cs="宋体"/>
          <w:szCs w:val="24"/>
        </w:rPr>
      </w:pPr>
      <w:bookmarkStart w:id="683" w:name="_Ref3841132"/>
      <w:r>
        <w:rPr>
          <w:rFonts w:cs="宋体"/>
          <w:szCs w:val="24"/>
        </w:rPr>
        <w:t xml:space="preserve">15.1.3 </w:t>
      </w:r>
      <w:r>
        <w:rPr>
          <w:rFonts w:hint="eastAsia" w:cs="宋体"/>
          <w:szCs w:val="24"/>
        </w:rPr>
        <w:t>发包人违约的责任</w:t>
      </w:r>
      <w:bookmarkEnd w:id="683"/>
    </w:p>
    <w:p>
      <w:pPr>
        <w:spacing w:line="360" w:lineRule="auto"/>
        <w:ind w:firstLine="600"/>
        <w:rPr>
          <w:sz w:val="24"/>
          <w:szCs w:val="24"/>
        </w:rPr>
      </w:pPr>
      <w:bookmarkStart w:id="684" w:name="_Hlk16247984"/>
      <w:r>
        <w:rPr>
          <w:rFonts w:hint="eastAsia"/>
          <w:sz w:val="24"/>
          <w:szCs w:val="24"/>
        </w:rPr>
        <w:t>发包人应承担因其违约给承包人增加的费用和（或）延误的工期，并支付承包人合理的利润。此外，合同当事人可在专用合同条件中另行约定发包人违约责任的承担方式和计算方法。</w:t>
      </w:r>
      <w:bookmarkEnd w:id="684"/>
    </w:p>
    <w:p>
      <w:pPr>
        <w:pStyle w:val="65"/>
        <w:widowControl/>
        <w:spacing w:afterLines="0"/>
        <w:ind w:left="0"/>
        <w:rPr>
          <w:rFonts w:ascii="宋体" w:hAnsi="宋体" w:eastAsia="宋体" w:cs="宋体"/>
        </w:rPr>
      </w:pPr>
      <w:bookmarkStart w:id="685" w:name="_Ref11958663"/>
      <w:bookmarkStart w:id="686" w:name="_Toc54862301"/>
      <w:bookmarkStart w:id="687" w:name="_Ref11958660"/>
      <w:r>
        <w:rPr>
          <w:rFonts w:ascii="宋体" w:hAnsi="宋体" w:eastAsia="宋体" w:cs="宋体"/>
        </w:rPr>
        <w:t xml:space="preserve">15.2 </w:t>
      </w:r>
      <w:r>
        <w:rPr>
          <w:rFonts w:hint="eastAsia" w:ascii="宋体" w:hAnsi="宋体" w:eastAsia="宋体" w:cs="宋体"/>
        </w:rPr>
        <w:t>承包人违约</w:t>
      </w:r>
      <w:bookmarkEnd w:id="685"/>
      <w:bookmarkEnd w:id="686"/>
      <w:bookmarkEnd w:id="687"/>
    </w:p>
    <w:p>
      <w:pPr>
        <w:pStyle w:val="66"/>
        <w:spacing w:afterLines="0"/>
        <w:ind w:left="0"/>
        <w:rPr>
          <w:rFonts w:cs="宋体"/>
          <w:szCs w:val="24"/>
        </w:rPr>
      </w:pPr>
      <w:bookmarkStart w:id="688" w:name="_Ref3841153"/>
      <w:r>
        <w:rPr>
          <w:rFonts w:cs="宋体"/>
          <w:szCs w:val="24"/>
        </w:rPr>
        <w:t xml:space="preserve">15.2.1 </w:t>
      </w:r>
      <w:r>
        <w:rPr>
          <w:rFonts w:hint="eastAsia" w:cs="宋体"/>
          <w:szCs w:val="24"/>
        </w:rPr>
        <w:t>承包人违约的情形</w:t>
      </w:r>
      <w:bookmarkEnd w:id="688"/>
    </w:p>
    <w:p>
      <w:pPr>
        <w:spacing w:line="360" w:lineRule="auto"/>
        <w:ind w:firstLine="600"/>
        <w:rPr>
          <w:sz w:val="24"/>
          <w:szCs w:val="24"/>
        </w:rPr>
      </w:pPr>
      <w:r>
        <w:rPr>
          <w:rFonts w:hint="eastAsia"/>
          <w:sz w:val="24"/>
          <w:szCs w:val="24"/>
        </w:rPr>
        <w:t>除专用合同条件另有约定外，在履行合同过程中发生的下列情况之一的，属于承包人违约：</w:t>
      </w:r>
    </w:p>
    <w:p>
      <w:pPr>
        <w:spacing w:line="360" w:lineRule="auto"/>
        <w:ind w:firstLine="6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承包人的原因导致的承包人文件、实施和竣工的工程不符合法律法规、工程质量验收标准以及合同约定；</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承包人违反合同约定进行转包或违法分包的；</w:t>
      </w:r>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承包人违反约定采购和使用不合格材料或工程设备；</w:t>
      </w:r>
    </w:p>
    <w:p>
      <w:pPr>
        <w:spacing w:line="360" w:lineRule="auto"/>
        <w:ind w:firstLine="6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因承包人原因导致工程质量不符合合同要求的；</w:t>
      </w:r>
    </w:p>
    <w:p>
      <w:pPr>
        <w:spacing w:line="360" w:lineRule="auto"/>
        <w:ind w:firstLine="6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承包人未经工程师批准，擅自将已按合同约定进入施工现场的施工设备、临时设施或材料撤离施工现场；</w:t>
      </w:r>
    </w:p>
    <w:p>
      <w:pPr>
        <w:spacing w:line="360" w:lineRule="auto"/>
        <w:ind w:firstLine="6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承包人未能按项目进度计划及时完成合同约定的工作，造成工期延误；</w:t>
      </w:r>
    </w:p>
    <w:p>
      <w:pPr>
        <w:spacing w:line="360" w:lineRule="auto"/>
        <w:ind w:firstLine="600"/>
        <w:rPr>
          <w:sz w:val="24"/>
          <w:szCs w:val="24"/>
        </w:rPr>
      </w:pPr>
      <w:r>
        <w:rPr>
          <w:rFonts w:hint="eastAsia"/>
          <w:sz w:val="24"/>
          <w:szCs w:val="24"/>
        </w:rPr>
        <w:t>（</w:t>
      </w:r>
      <w:r>
        <w:rPr>
          <w:sz w:val="24"/>
          <w:szCs w:val="24"/>
        </w:rPr>
        <w:t>7</w:t>
      </w:r>
      <w:r>
        <w:rPr>
          <w:rFonts w:hint="eastAsia"/>
          <w:sz w:val="24"/>
          <w:szCs w:val="24"/>
        </w:rPr>
        <w:t>）</w:t>
      </w:r>
      <w:r>
        <w:rPr>
          <w:sz w:val="24"/>
          <w:szCs w:val="24"/>
        </w:rPr>
        <w:t xml:space="preserve"> </w:t>
      </w:r>
      <w:r>
        <w:rPr>
          <w:rFonts w:hint="eastAsia"/>
          <w:sz w:val="24"/>
          <w:szCs w:val="24"/>
        </w:rPr>
        <w:t>由于承包人原因未能通过竣工试验或竣工后试验的；</w:t>
      </w:r>
    </w:p>
    <w:p>
      <w:pPr>
        <w:spacing w:line="360" w:lineRule="auto"/>
        <w:ind w:firstLine="600"/>
        <w:rPr>
          <w:sz w:val="24"/>
          <w:szCs w:val="24"/>
        </w:rPr>
      </w:pPr>
      <w:r>
        <w:rPr>
          <w:rFonts w:hint="eastAsia"/>
          <w:sz w:val="24"/>
          <w:szCs w:val="24"/>
        </w:rPr>
        <w:t>（</w:t>
      </w:r>
      <w:r>
        <w:rPr>
          <w:sz w:val="24"/>
          <w:szCs w:val="24"/>
        </w:rPr>
        <w:t>8</w:t>
      </w:r>
      <w:r>
        <w:rPr>
          <w:rFonts w:hint="eastAsia"/>
          <w:sz w:val="24"/>
          <w:szCs w:val="24"/>
        </w:rPr>
        <w:t>）</w:t>
      </w:r>
      <w:r>
        <w:rPr>
          <w:sz w:val="24"/>
          <w:szCs w:val="24"/>
        </w:rPr>
        <w:t xml:space="preserve"> </w:t>
      </w:r>
      <w:r>
        <w:rPr>
          <w:rFonts w:hint="eastAsia"/>
          <w:sz w:val="24"/>
          <w:szCs w:val="24"/>
        </w:rPr>
        <w:t>承包人在缺陷责任期及保修期内，未能在合理期限对工程缺陷进行修复，或拒绝按发包人指示进行修复的；</w:t>
      </w:r>
    </w:p>
    <w:p>
      <w:pPr>
        <w:spacing w:line="360" w:lineRule="auto"/>
        <w:ind w:firstLine="600"/>
        <w:rPr>
          <w:sz w:val="24"/>
          <w:szCs w:val="24"/>
        </w:rPr>
      </w:pPr>
      <w:r>
        <w:rPr>
          <w:rFonts w:hint="eastAsia"/>
          <w:sz w:val="24"/>
          <w:szCs w:val="24"/>
        </w:rPr>
        <w:t>（</w:t>
      </w:r>
      <w:r>
        <w:rPr>
          <w:sz w:val="24"/>
          <w:szCs w:val="24"/>
        </w:rPr>
        <w:t>9</w:t>
      </w:r>
      <w:r>
        <w:rPr>
          <w:rFonts w:hint="eastAsia"/>
          <w:sz w:val="24"/>
          <w:szCs w:val="24"/>
        </w:rPr>
        <w:t>）</w:t>
      </w:r>
      <w:r>
        <w:rPr>
          <w:sz w:val="24"/>
          <w:szCs w:val="24"/>
        </w:rPr>
        <w:t xml:space="preserve"> </w:t>
      </w:r>
      <w:r>
        <w:rPr>
          <w:rFonts w:hint="eastAsia"/>
          <w:sz w:val="24"/>
          <w:szCs w:val="24"/>
        </w:rPr>
        <w:t>承包人明确表示或者以其行为表明不履行合同主要义务的；</w:t>
      </w:r>
    </w:p>
    <w:p>
      <w:pPr>
        <w:spacing w:line="360" w:lineRule="auto"/>
        <w:ind w:firstLine="600"/>
        <w:rPr>
          <w:sz w:val="24"/>
          <w:szCs w:val="24"/>
        </w:rPr>
      </w:pPr>
      <w:r>
        <w:rPr>
          <w:rFonts w:hint="eastAsia"/>
          <w:sz w:val="24"/>
          <w:szCs w:val="24"/>
        </w:rPr>
        <w:t>（</w:t>
      </w:r>
      <w:r>
        <w:rPr>
          <w:sz w:val="24"/>
          <w:szCs w:val="24"/>
        </w:rPr>
        <w:t>10</w:t>
      </w:r>
      <w:r>
        <w:rPr>
          <w:rFonts w:hint="eastAsia"/>
          <w:sz w:val="24"/>
          <w:szCs w:val="24"/>
        </w:rPr>
        <w:t>）</w:t>
      </w:r>
      <w:r>
        <w:rPr>
          <w:sz w:val="24"/>
          <w:szCs w:val="24"/>
        </w:rPr>
        <w:t xml:space="preserve"> </w:t>
      </w:r>
      <w:r>
        <w:rPr>
          <w:rFonts w:hint="eastAsia"/>
          <w:sz w:val="24"/>
          <w:szCs w:val="24"/>
        </w:rPr>
        <w:t>承包人未能按照合同约定履行其他义务的。</w:t>
      </w:r>
    </w:p>
    <w:p>
      <w:pPr>
        <w:pStyle w:val="66"/>
        <w:spacing w:afterLines="0"/>
        <w:ind w:left="0"/>
        <w:rPr>
          <w:rFonts w:cs="宋体"/>
          <w:szCs w:val="24"/>
        </w:rPr>
      </w:pPr>
      <w:bookmarkStart w:id="689" w:name="_Ref531958512"/>
      <w:r>
        <w:rPr>
          <w:rFonts w:cs="宋体"/>
          <w:szCs w:val="24"/>
        </w:rPr>
        <w:t xml:space="preserve">15.2.2 </w:t>
      </w:r>
      <w:r>
        <w:rPr>
          <w:rFonts w:hint="eastAsia" w:cs="宋体"/>
          <w:szCs w:val="24"/>
        </w:rPr>
        <w:t>通知改正</w:t>
      </w:r>
      <w:bookmarkEnd w:id="689"/>
    </w:p>
    <w:p>
      <w:pPr>
        <w:spacing w:line="360" w:lineRule="auto"/>
        <w:ind w:firstLine="600"/>
        <w:rPr>
          <w:sz w:val="24"/>
          <w:szCs w:val="24"/>
        </w:rPr>
      </w:pPr>
      <w:r>
        <w:rPr>
          <w:rFonts w:hint="eastAsia"/>
          <w:sz w:val="24"/>
          <w:szCs w:val="24"/>
        </w:rPr>
        <w:t>承包人发生除第</w:t>
      </w:r>
      <w:r>
        <w:rPr>
          <w:sz w:val="24"/>
          <w:szCs w:val="24"/>
        </w:rPr>
        <w:t>15.2.1</w:t>
      </w:r>
      <w:r>
        <w:rPr>
          <w:rFonts w:hint="eastAsia"/>
          <w:sz w:val="24"/>
          <w:szCs w:val="24"/>
        </w:rPr>
        <w:t>项第</w:t>
      </w:r>
      <w:r>
        <w:rPr>
          <w:sz w:val="24"/>
          <w:szCs w:val="24"/>
        </w:rPr>
        <w:t>(7)</w:t>
      </w:r>
      <w:r>
        <w:rPr>
          <w:rFonts w:hint="eastAsia"/>
          <w:sz w:val="24"/>
          <w:szCs w:val="24"/>
        </w:rPr>
        <w:t>目、第</w:t>
      </w:r>
      <w:r>
        <w:rPr>
          <w:sz w:val="24"/>
          <w:szCs w:val="24"/>
        </w:rPr>
        <w:t>(9)</w:t>
      </w:r>
      <w:r>
        <w:rPr>
          <w:rFonts w:hint="eastAsia"/>
          <w:sz w:val="24"/>
          <w:szCs w:val="24"/>
        </w:rPr>
        <w:t>目约定以外的其他违约情况时，工程师可在专用合同条件约定的合理期限内向承包人发出整改通知，要求其在指定的期限内改正。</w:t>
      </w:r>
    </w:p>
    <w:p>
      <w:pPr>
        <w:pStyle w:val="66"/>
        <w:spacing w:afterLines="0"/>
        <w:ind w:left="0"/>
        <w:rPr>
          <w:rFonts w:cs="宋体"/>
          <w:szCs w:val="24"/>
        </w:rPr>
      </w:pPr>
      <w:bookmarkStart w:id="690" w:name="_Ref3841166"/>
      <w:r>
        <w:rPr>
          <w:rFonts w:cs="宋体"/>
          <w:szCs w:val="24"/>
        </w:rPr>
        <w:t xml:space="preserve">15.2.3 </w:t>
      </w:r>
      <w:r>
        <w:rPr>
          <w:rFonts w:hint="eastAsia" w:cs="宋体"/>
          <w:szCs w:val="24"/>
        </w:rPr>
        <w:t>承包人违约的责任</w:t>
      </w:r>
      <w:bookmarkEnd w:id="690"/>
    </w:p>
    <w:p>
      <w:pPr>
        <w:spacing w:line="360" w:lineRule="auto"/>
        <w:ind w:firstLine="600"/>
        <w:rPr>
          <w:sz w:val="24"/>
          <w:szCs w:val="24"/>
        </w:rPr>
      </w:pPr>
      <w:r>
        <w:rPr>
          <w:rFonts w:hint="eastAsia"/>
          <w:sz w:val="24"/>
          <w:szCs w:val="24"/>
        </w:rPr>
        <w:t>承包人应承担因其违约行为而增加的费用和（或）延误的工期。此外，合同当事人可在专用合同条件中另行约定承包人违约责任的承担方式和计算方法。</w:t>
      </w:r>
    </w:p>
    <w:p>
      <w:pPr>
        <w:pStyle w:val="65"/>
        <w:widowControl/>
        <w:spacing w:afterLines="0"/>
        <w:ind w:left="0"/>
        <w:rPr>
          <w:rFonts w:ascii="宋体" w:hAnsi="宋体" w:eastAsia="宋体" w:cs="宋体"/>
          <w:b w:val="0"/>
          <w:bCs/>
        </w:rPr>
      </w:pPr>
      <w:bookmarkStart w:id="691" w:name="_Toc54862302"/>
      <w:r>
        <w:rPr>
          <w:rFonts w:ascii="宋体" w:hAnsi="宋体" w:eastAsia="宋体" w:cs="宋体"/>
          <w:b w:val="0"/>
          <w:bCs/>
        </w:rPr>
        <w:t xml:space="preserve">15.3 </w:t>
      </w:r>
      <w:r>
        <w:rPr>
          <w:rFonts w:hint="eastAsia" w:ascii="宋体" w:hAnsi="宋体" w:eastAsia="宋体" w:cs="宋体"/>
          <w:b w:val="0"/>
          <w:bCs/>
        </w:rPr>
        <w:t>第三人造成的违约</w:t>
      </w:r>
      <w:bookmarkEnd w:id="691"/>
    </w:p>
    <w:p>
      <w:pPr>
        <w:spacing w:line="360" w:lineRule="auto"/>
        <w:ind w:firstLine="600"/>
        <w:rPr>
          <w:sz w:val="24"/>
          <w:szCs w:val="24"/>
        </w:rPr>
      </w:pPr>
      <w:r>
        <w:rPr>
          <w:rFonts w:hint="eastAsia"/>
          <w:sz w:val="24"/>
          <w:szCs w:val="24"/>
        </w:rPr>
        <w:t>在履行合同过程中，一方当事人因第三人的原因造成违约的，应当向对方当事人承担违约责任。一方当事人和第三人之间的纠纷，依照法律规定或者按照约定解决。</w:t>
      </w:r>
    </w:p>
    <w:p>
      <w:pPr>
        <w:pStyle w:val="64"/>
        <w:numPr>
          <w:ilvl w:val="0"/>
          <w:numId w:val="0"/>
        </w:numPr>
        <w:spacing w:before="0"/>
        <w:rPr>
          <w:rFonts w:ascii="宋体"/>
          <w:b/>
          <w:sz w:val="24"/>
          <w:szCs w:val="24"/>
        </w:rPr>
      </w:pPr>
      <w:bookmarkStart w:id="692" w:name="_Toc54862303"/>
      <w:bookmarkStart w:id="693" w:name="_Ref4510572"/>
      <w:bookmarkStart w:id="694" w:name="_Ref3840457"/>
      <w:bookmarkStart w:id="695" w:name="_Ref532142069"/>
      <w:r>
        <w:rPr>
          <w:rFonts w:hint="eastAsia" w:ascii="宋体" w:hAnsi="宋体"/>
          <w:b/>
          <w:sz w:val="24"/>
          <w:szCs w:val="24"/>
        </w:rPr>
        <w:t>第</w:t>
      </w:r>
      <w:r>
        <w:rPr>
          <w:rFonts w:ascii="宋体" w:hAnsi="宋体"/>
          <w:b/>
          <w:sz w:val="24"/>
          <w:szCs w:val="24"/>
        </w:rPr>
        <w:t>16</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合同解除</w:t>
      </w:r>
      <w:bookmarkEnd w:id="692"/>
      <w:bookmarkEnd w:id="693"/>
    </w:p>
    <w:p>
      <w:pPr>
        <w:pStyle w:val="65"/>
        <w:widowControl/>
        <w:spacing w:afterLines="0"/>
        <w:ind w:left="0"/>
        <w:rPr>
          <w:rFonts w:ascii="宋体" w:hAnsi="宋体" w:eastAsia="宋体" w:cs="宋体"/>
        </w:rPr>
      </w:pPr>
      <w:bookmarkStart w:id="696" w:name="_Toc54862304"/>
      <w:bookmarkStart w:id="697" w:name="_Ref531958499"/>
      <w:bookmarkStart w:id="698" w:name="_Ref531958502"/>
      <w:r>
        <w:rPr>
          <w:rFonts w:ascii="宋体" w:hAnsi="宋体" w:eastAsia="宋体" w:cs="宋体"/>
        </w:rPr>
        <w:t xml:space="preserve">16.1 </w:t>
      </w:r>
      <w:r>
        <w:rPr>
          <w:rFonts w:hint="eastAsia" w:ascii="宋体" w:hAnsi="宋体" w:eastAsia="宋体" w:cs="宋体"/>
        </w:rPr>
        <w:t>由发包人解除合同</w:t>
      </w:r>
      <w:bookmarkEnd w:id="696"/>
      <w:bookmarkEnd w:id="697"/>
      <w:bookmarkEnd w:id="698"/>
    </w:p>
    <w:p>
      <w:pPr>
        <w:pStyle w:val="66"/>
        <w:spacing w:afterLines="0"/>
        <w:ind w:left="0"/>
        <w:rPr>
          <w:rFonts w:cs="宋体"/>
          <w:szCs w:val="24"/>
        </w:rPr>
      </w:pPr>
      <w:bookmarkStart w:id="699" w:name="_Ref4535422"/>
      <w:r>
        <w:rPr>
          <w:rFonts w:cs="宋体"/>
          <w:szCs w:val="24"/>
        </w:rPr>
        <w:t xml:space="preserve">16.1.1 </w:t>
      </w:r>
      <w:r>
        <w:rPr>
          <w:rFonts w:hint="eastAsia" w:cs="宋体"/>
          <w:szCs w:val="24"/>
        </w:rPr>
        <w:t>因承包人违约解除合同</w:t>
      </w:r>
      <w:bookmarkEnd w:id="699"/>
    </w:p>
    <w:p>
      <w:pPr>
        <w:spacing w:line="360" w:lineRule="auto"/>
        <w:ind w:firstLine="600"/>
        <w:rPr>
          <w:sz w:val="24"/>
          <w:szCs w:val="24"/>
        </w:rPr>
      </w:pPr>
      <w:r>
        <w:rPr>
          <w:rFonts w:hint="eastAsia"/>
          <w:sz w:val="24"/>
          <w:szCs w:val="24"/>
        </w:rPr>
        <w:t>除专用合同条件另有约定外，发包人有权基于下列原因，以书面形式通知承包人解除合同，解除通知中应注明是根据第</w:t>
      </w:r>
      <w:r>
        <w:rPr>
          <w:sz w:val="24"/>
          <w:szCs w:val="24"/>
        </w:rPr>
        <w:t>16.1.1</w:t>
      </w:r>
      <w:r>
        <w:rPr>
          <w:rFonts w:hint="eastAsia"/>
          <w:sz w:val="24"/>
          <w:szCs w:val="24"/>
        </w:rPr>
        <w:t>项发出的，发包人应在发出正式解除合同通知</w:t>
      </w:r>
      <w:r>
        <w:rPr>
          <w:sz w:val="24"/>
          <w:szCs w:val="24"/>
        </w:rPr>
        <w:t>14</w:t>
      </w:r>
      <w:r>
        <w:rPr>
          <w:rFonts w:hint="eastAsia"/>
          <w:sz w:val="24"/>
          <w:szCs w:val="24"/>
        </w:rPr>
        <w:t>天前告知承包人其解除合同意向，除非承包人在收到该解除合同意向通知后</w:t>
      </w:r>
      <w:r>
        <w:rPr>
          <w:sz w:val="24"/>
          <w:szCs w:val="24"/>
        </w:rPr>
        <w:t>14</w:t>
      </w:r>
      <w:r>
        <w:rPr>
          <w:rFonts w:hint="eastAsia"/>
          <w:sz w:val="24"/>
          <w:szCs w:val="24"/>
        </w:rPr>
        <w:t>天内采取了补救措施，否则发包人可向承包人发出正式解除合同通知立即解除合同。解除日期应为承包人收到正式解除合同通知的日期，但在第</w:t>
      </w:r>
      <w:r>
        <w:rPr>
          <w:sz w:val="24"/>
          <w:szCs w:val="24"/>
        </w:rPr>
        <w:t>(5)</w:t>
      </w:r>
      <w:r>
        <w:rPr>
          <w:rFonts w:hint="eastAsia"/>
          <w:sz w:val="24"/>
          <w:szCs w:val="24"/>
        </w:rPr>
        <w:t>目的情况下，发包人无须提前告知承包人其解除合同意向，可直接发出正式解除合同通知立即解除合同：</w:t>
      </w:r>
    </w:p>
    <w:p>
      <w:pPr>
        <w:spacing w:line="360" w:lineRule="auto"/>
        <w:ind w:firstLine="600"/>
        <w:rPr>
          <w:sz w:val="24"/>
          <w:szCs w:val="24"/>
        </w:rPr>
      </w:pPr>
      <w:bookmarkStart w:id="700" w:name="_Ref531958536"/>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承包人未能遵守第</w:t>
      </w:r>
      <w:r>
        <w:rPr>
          <w:sz w:val="24"/>
          <w:szCs w:val="24"/>
        </w:rPr>
        <w:t>4.2</w:t>
      </w:r>
      <w:r>
        <w:rPr>
          <w:rFonts w:hint="eastAsia"/>
          <w:sz w:val="24"/>
          <w:szCs w:val="24"/>
        </w:rPr>
        <w:t>款</w:t>
      </w:r>
      <w:bookmarkStart w:id="701" w:name="_Hlk18839947"/>
      <w:r>
        <w:rPr>
          <w:sz w:val="24"/>
          <w:szCs w:val="24"/>
        </w:rPr>
        <w:t>[</w:t>
      </w:r>
      <w:r>
        <w:rPr>
          <w:rFonts w:hint="eastAsia"/>
          <w:sz w:val="24"/>
          <w:szCs w:val="24"/>
        </w:rPr>
        <w:t>履约担保</w:t>
      </w:r>
      <w:r>
        <w:rPr>
          <w:sz w:val="24"/>
          <w:szCs w:val="24"/>
        </w:rPr>
        <w:t>]</w:t>
      </w:r>
      <w:bookmarkEnd w:id="701"/>
      <w:r>
        <w:rPr>
          <w:rFonts w:hint="eastAsia"/>
          <w:sz w:val="24"/>
          <w:szCs w:val="24"/>
        </w:rPr>
        <w:t>的约定；</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承包人未能遵守第</w:t>
      </w:r>
      <w:r>
        <w:rPr>
          <w:sz w:val="24"/>
          <w:szCs w:val="24"/>
        </w:rPr>
        <w:t>4.5</w:t>
      </w:r>
      <w:r>
        <w:rPr>
          <w:rFonts w:hint="eastAsia"/>
          <w:sz w:val="24"/>
          <w:szCs w:val="24"/>
        </w:rPr>
        <w:t>款</w:t>
      </w:r>
      <w:r>
        <w:rPr>
          <w:sz w:val="24"/>
          <w:szCs w:val="24"/>
        </w:rPr>
        <w:t>[</w:t>
      </w:r>
      <w:r>
        <w:rPr>
          <w:rFonts w:hint="eastAsia"/>
          <w:sz w:val="24"/>
          <w:szCs w:val="24"/>
        </w:rPr>
        <w:t>分包</w:t>
      </w:r>
      <w:r>
        <w:rPr>
          <w:sz w:val="24"/>
          <w:szCs w:val="24"/>
        </w:rPr>
        <w:t>]</w:t>
      </w:r>
      <w:r>
        <w:rPr>
          <w:rFonts w:hint="eastAsia"/>
          <w:sz w:val="24"/>
          <w:szCs w:val="24"/>
        </w:rPr>
        <w:t>有关分包和转包的约定；</w:t>
      </w:r>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承包人实际进度明显落后于进度计划，并且未按发包人的指令采取措施并修正进度计划；</w:t>
      </w:r>
    </w:p>
    <w:p>
      <w:pPr>
        <w:spacing w:line="360" w:lineRule="auto"/>
        <w:ind w:firstLine="6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工程质量有严重缺陷，承包人无正当理由使修复开始日期拖延达</w:t>
      </w:r>
      <w:r>
        <w:rPr>
          <w:sz w:val="24"/>
          <w:szCs w:val="24"/>
        </w:rPr>
        <w:t>28</w:t>
      </w:r>
      <w:r>
        <w:rPr>
          <w:rFonts w:hint="eastAsia"/>
          <w:sz w:val="24"/>
          <w:szCs w:val="24"/>
        </w:rPr>
        <w:t>天以上；</w:t>
      </w:r>
    </w:p>
    <w:p>
      <w:pPr>
        <w:spacing w:line="360" w:lineRule="auto"/>
        <w:ind w:firstLine="6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spacing w:line="360" w:lineRule="auto"/>
        <w:ind w:firstLine="6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承包人明确表示或以自己的行为表明不履行合同、或经发包人以书面形式通知其履约后仍未能依约履行合同、或以不适当的方式履行合同；</w:t>
      </w:r>
    </w:p>
    <w:p>
      <w:pPr>
        <w:spacing w:line="360" w:lineRule="auto"/>
        <w:ind w:firstLine="600"/>
        <w:rPr>
          <w:sz w:val="24"/>
          <w:szCs w:val="24"/>
        </w:rPr>
      </w:pPr>
      <w:r>
        <w:rPr>
          <w:rFonts w:hint="eastAsia"/>
          <w:sz w:val="24"/>
          <w:szCs w:val="24"/>
        </w:rPr>
        <w:t>（</w:t>
      </w:r>
      <w:r>
        <w:rPr>
          <w:sz w:val="24"/>
          <w:szCs w:val="24"/>
        </w:rPr>
        <w:t>7</w:t>
      </w:r>
      <w:r>
        <w:rPr>
          <w:rFonts w:hint="eastAsia"/>
          <w:sz w:val="24"/>
          <w:szCs w:val="24"/>
        </w:rPr>
        <w:t>）</w:t>
      </w:r>
      <w:r>
        <w:rPr>
          <w:sz w:val="24"/>
          <w:szCs w:val="24"/>
        </w:rPr>
        <w:t xml:space="preserve"> </w:t>
      </w:r>
      <w:r>
        <w:rPr>
          <w:rFonts w:hint="eastAsia"/>
          <w:sz w:val="24"/>
          <w:szCs w:val="24"/>
        </w:rPr>
        <w:t>未能通过的竣工试验、未能通过的竣工后试验，使工程的任何部分和（或）整个工程丧失了主要使用功能、生产功能；</w:t>
      </w:r>
    </w:p>
    <w:p>
      <w:pPr>
        <w:spacing w:line="360" w:lineRule="auto"/>
        <w:ind w:firstLine="600"/>
        <w:rPr>
          <w:sz w:val="24"/>
          <w:szCs w:val="24"/>
        </w:rPr>
      </w:pPr>
      <w:r>
        <w:rPr>
          <w:rFonts w:hint="eastAsia"/>
          <w:sz w:val="24"/>
          <w:szCs w:val="24"/>
        </w:rPr>
        <w:t>（</w:t>
      </w:r>
      <w:r>
        <w:rPr>
          <w:sz w:val="24"/>
          <w:szCs w:val="24"/>
        </w:rPr>
        <w:t>8</w:t>
      </w:r>
      <w:r>
        <w:rPr>
          <w:rFonts w:hint="eastAsia"/>
          <w:sz w:val="24"/>
          <w:szCs w:val="24"/>
        </w:rPr>
        <w:t>）</w:t>
      </w:r>
      <w:r>
        <w:rPr>
          <w:sz w:val="24"/>
          <w:szCs w:val="24"/>
        </w:rPr>
        <w:t xml:space="preserve"> </w:t>
      </w:r>
      <w:r>
        <w:rPr>
          <w:rFonts w:hint="eastAsia"/>
          <w:sz w:val="24"/>
          <w:szCs w:val="24"/>
        </w:rPr>
        <w:t>因承包人的原因暂停工作超过</w:t>
      </w:r>
      <w:r>
        <w:rPr>
          <w:sz w:val="24"/>
          <w:szCs w:val="24"/>
        </w:rPr>
        <w:t>56</w:t>
      </w:r>
      <w:r>
        <w:rPr>
          <w:rFonts w:hint="eastAsia"/>
          <w:sz w:val="24"/>
          <w:szCs w:val="24"/>
        </w:rPr>
        <w:t>天且暂停影响到整个工程，或因承包人的原因暂停工作超过</w:t>
      </w:r>
      <w:r>
        <w:rPr>
          <w:sz w:val="24"/>
          <w:szCs w:val="24"/>
        </w:rPr>
        <w:t>182</w:t>
      </w:r>
      <w:r>
        <w:rPr>
          <w:rFonts w:hint="eastAsia"/>
          <w:sz w:val="24"/>
          <w:szCs w:val="24"/>
        </w:rPr>
        <w:t>天；</w:t>
      </w:r>
    </w:p>
    <w:p>
      <w:pPr>
        <w:spacing w:line="360" w:lineRule="auto"/>
        <w:ind w:firstLine="600"/>
        <w:rPr>
          <w:sz w:val="24"/>
          <w:szCs w:val="24"/>
        </w:rPr>
      </w:pPr>
      <w:r>
        <w:rPr>
          <w:rFonts w:hint="eastAsia"/>
          <w:sz w:val="24"/>
          <w:szCs w:val="24"/>
        </w:rPr>
        <w:t>（</w:t>
      </w:r>
      <w:r>
        <w:rPr>
          <w:sz w:val="24"/>
          <w:szCs w:val="24"/>
        </w:rPr>
        <w:t>9</w:t>
      </w:r>
      <w:r>
        <w:rPr>
          <w:rFonts w:hint="eastAsia"/>
          <w:sz w:val="24"/>
          <w:szCs w:val="24"/>
        </w:rPr>
        <w:t>）</w:t>
      </w:r>
      <w:r>
        <w:rPr>
          <w:sz w:val="24"/>
          <w:szCs w:val="24"/>
        </w:rPr>
        <w:t xml:space="preserve"> </w:t>
      </w:r>
      <w:r>
        <w:rPr>
          <w:rFonts w:hint="eastAsia"/>
          <w:sz w:val="24"/>
          <w:szCs w:val="24"/>
        </w:rPr>
        <w:t>承包人未能遵守第</w:t>
      </w:r>
      <w:r>
        <w:rPr>
          <w:sz w:val="24"/>
          <w:szCs w:val="24"/>
        </w:rPr>
        <w:t>8.2</w:t>
      </w:r>
      <w:r>
        <w:rPr>
          <w:rFonts w:hint="eastAsia"/>
          <w:sz w:val="24"/>
          <w:szCs w:val="24"/>
        </w:rPr>
        <w:t>款</w:t>
      </w:r>
      <w:r>
        <w:rPr>
          <w:sz w:val="24"/>
          <w:szCs w:val="24"/>
        </w:rPr>
        <w:t>[</w:t>
      </w:r>
      <w:r>
        <w:rPr>
          <w:rFonts w:hint="eastAsia"/>
          <w:sz w:val="24"/>
          <w:szCs w:val="24"/>
        </w:rPr>
        <w:t>竣工日期</w:t>
      </w:r>
      <w:r>
        <w:rPr>
          <w:sz w:val="24"/>
          <w:szCs w:val="24"/>
        </w:rPr>
        <w:t>]</w:t>
      </w:r>
      <w:r>
        <w:rPr>
          <w:rFonts w:hint="eastAsia"/>
          <w:sz w:val="24"/>
          <w:szCs w:val="24"/>
        </w:rPr>
        <w:t>规定，延误超过</w:t>
      </w:r>
      <w:r>
        <w:rPr>
          <w:sz w:val="24"/>
          <w:szCs w:val="24"/>
        </w:rPr>
        <w:t>182</w:t>
      </w:r>
      <w:r>
        <w:rPr>
          <w:rFonts w:hint="eastAsia"/>
          <w:sz w:val="24"/>
          <w:szCs w:val="24"/>
        </w:rPr>
        <w:t>天；</w:t>
      </w:r>
    </w:p>
    <w:p>
      <w:pPr>
        <w:spacing w:line="360" w:lineRule="auto"/>
        <w:ind w:firstLine="600"/>
        <w:rPr>
          <w:sz w:val="24"/>
          <w:szCs w:val="24"/>
        </w:rPr>
      </w:pPr>
      <w:r>
        <w:rPr>
          <w:rFonts w:hint="eastAsia"/>
          <w:sz w:val="24"/>
          <w:szCs w:val="24"/>
        </w:rPr>
        <w:t>（</w:t>
      </w:r>
      <w:r>
        <w:rPr>
          <w:sz w:val="24"/>
          <w:szCs w:val="24"/>
        </w:rPr>
        <w:t>10</w:t>
      </w:r>
      <w:r>
        <w:rPr>
          <w:rFonts w:hint="eastAsia"/>
          <w:sz w:val="24"/>
          <w:szCs w:val="24"/>
        </w:rPr>
        <w:t>）</w:t>
      </w:r>
      <w:r>
        <w:rPr>
          <w:sz w:val="24"/>
          <w:szCs w:val="24"/>
        </w:rPr>
        <w:t xml:space="preserve"> </w:t>
      </w:r>
      <w:r>
        <w:rPr>
          <w:rFonts w:hint="eastAsia"/>
          <w:sz w:val="24"/>
          <w:szCs w:val="24"/>
        </w:rPr>
        <w:t>工程师根据第</w:t>
      </w:r>
      <w:r>
        <w:rPr>
          <w:sz w:val="24"/>
          <w:szCs w:val="24"/>
        </w:rPr>
        <w:t>15.2.2</w:t>
      </w:r>
      <w:r>
        <w:rPr>
          <w:rFonts w:hint="eastAsia"/>
          <w:sz w:val="24"/>
          <w:szCs w:val="24"/>
        </w:rPr>
        <w:t>项</w:t>
      </w:r>
      <w:r>
        <w:rPr>
          <w:sz w:val="24"/>
          <w:szCs w:val="24"/>
        </w:rPr>
        <w:t>[</w:t>
      </w:r>
      <w:r>
        <w:rPr>
          <w:rFonts w:hint="eastAsia"/>
          <w:sz w:val="24"/>
          <w:szCs w:val="24"/>
        </w:rPr>
        <w:t>通知改正</w:t>
      </w:r>
      <w:r>
        <w:rPr>
          <w:sz w:val="24"/>
          <w:szCs w:val="24"/>
        </w:rPr>
        <w:t>]</w:t>
      </w:r>
      <w:r>
        <w:rPr>
          <w:rFonts w:hint="eastAsia"/>
          <w:sz w:val="24"/>
          <w:szCs w:val="24"/>
        </w:rPr>
        <w:t>发出整改通知后，承包人在指定的合理期限内仍不纠正违约行为并致使合同目的不能实现的。</w:t>
      </w:r>
    </w:p>
    <w:bookmarkEnd w:id="700"/>
    <w:p>
      <w:pPr>
        <w:pStyle w:val="66"/>
        <w:spacing w:afterLines="0"/>
        <w:ind w:left="0"/>
        <w:rPr>
          <w:rFonts w:cs="宋体"/>
          <w:szCs w:val="24"/>
        </w:rPr>
      </w:pPr>
      <w:bookmarkStart w:id="702" w:name="_Ref3841839"/>
      <w:bookmarkStart w:id="703" w:name="_Ref4624315"/>
      <w:r>
        <w:rPr>
          <w:rFonts w:cs="宋体"/>
          <w:szCs w:val="24"/>
        </w:rPr>
        <w:t xml:space="preserve">16.1.2 </w:t>
      </w:r>
      <w:r>
        <w:rPr>
          <w:rFonts w:hint="eastAsia" w:cs="宋体"/>
          <w:szCs w:val="24"/>
        </w:rPr>
        <w:t>因承包人违约解除合同后</w:t>
      </w:r>
      <w:bookmarkEnd w:id="702"/>
      <w:r>
        <w:rPr>
          <w:rFonts w:hint="eastAsia" w:cs="宋体"/>
          <w:szCs w:val="24"/>
        </w:rPr>
        <w:t>承包人的义务</w:t>
      </w:r>
      <w:bookmarkEnd w:id="703"/>
    </w:p>
    <w:p>
      <w:pPr>
        <w:spacing w:line="360" w:lineRule="auto"/>
        <w:ind w:firstLine="600"/>
        <w:rPr>
          <w:sz w:val="24"/>
          <w:szCs w:val="24"/>
        </w:rPr>
      </w:pPr>
      <w:r>
        <w:rPr>
          <w:rFonts w:hint="eastAsia"/>
          <w:sz w:val="24"/>
          <w:szCs w:val="24"/>
        </w:rPr>
        <w:t>合同解除后，承包人应按以下约定执行：</w:t>
      </w:r>
    </w:p>
    <w:p>
      <w:pPr>
        <w:spacing w:line="360" w:lineRule="auto"/>
        <w:ind w:firstLine="6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除了为保护生命、财产或工程安全、清理和必须执行的工作外，停止执行所有被通知解除的工作，并将相关人员撤离现场；</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经发包人批准，承包人应将与被解除合同相关的和正在执行的分包合同及相关的责任和义务转让至发包人和（或）发包人指定方的名下，包括永久性工程及工程物资，以及相关工作；</w:t>
      </w:r>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移交已完成的永久性工程及负责已运抵现场的工程物资。在移交前，妥善做好己完工程和已运抵现场的工程物资的保管、维护和保养；</w:t>
      </w:r>
    </w:p>
    <w:p>
      <w:pPr>
        <w:spacing w:line="360" w:lineRule="auto"/>
        <w:ind w:firstLine="6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将发包人提供的所有信息及承包人为本工程编制的设计文件、技术资料及其它文件移交给发包人。在承包人留有的资料文件中，销毁与发包人提供的所有信息相关的数据及资料的备份；</w:t>
      </w:r>
    </w:p>
    <w:p>
      <w:pPr>
        <w:spacing w:line="360" w:lineRule="auto"/>
        <w:ind w:firstLine="6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移交相应实施阶段已经付款的并已完成的和尚待完成的设计文件、图纸、资料、操作维修手册、施工组织设计、质检资料、竣工资料等；</w:t>
      </w:r>
    </w:p>
    <w:p>
      <w:pPr>
        <w:pStyle w:val="66"/>
        <w:spacing w:afterLines="0"/>
        <w:ind w:left="0"/>
        <w:rPr>
          <w:rFonts w:cs="宋体"/>
          <w:szCs w:val="24"/>
        </w:rPr>
      </w:pPr>
      <w:r>
        <w:rPr>
          <w:rFonts w:cs="宋体"/>
          <w:szCs w:val="24"/>
        </w:rPr>
        <w:t xml:space="preserve">16.1.3 </w:t>
      </w:r>
      <w:r>
        <w:rPr>
          <w:rFonts w:hint="eastAsia" w:cs="宋体"/>
          <w:szCs w:val="24"/>
        </w:rPr>
        <w:t>因承包人违约解除合同后的估价、付款和结算</w:t>
      </w:r>
    </w:p>
    <w:p>
      <w:pPr>
        <w:spacing w:line="360" w:lineRule="auto"/>
        <w:ind w:firstLine="600"/>
        <w:rPr>
          <w:sz w:val="24"/>
          <w:szCs w:val="24"/>
        </w:rPr>
      </w:pPr>
      <w:r>
        <w:rPr>
          <w:rFonts w:hint="eastAsia"/>
          <w:sz w:val="24"/>
          <w:szCs w:val="24"/>
        </w:rPr>
        <w:t>因承包人原因导致合同解除的，则合同当事人应在合同解除后</w:t>
      </w:r>
      <w:r>
        <w:rPr>
          <w:sz w:val="24"/>
          <w:szCs w:val="24"/>
        </w:rPr>
        <w:t>28</w:t>
      </w:r>
      <w:r>
        <w:rPr>
          <w:rFonts w:hint="eastAsia"/>
          <w:sz w:val="24"/>
          <w:szCs w:val="24"/>
        </w:rPr>
        <w:t>天内完成估价、付款和清算，并按以下约定执行：</w:t>
      </w:r>
    </w:p>
    <w:p>
      <w:pPr>
        <w:spacing w:line="360" w:lineRule="auto"/>
        <w:ind w:firstLine="6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合同解除后，按第</w:t>
      </w:r>
      <w:r>
        <w:rPr>
          <w:sz w:val="24"/>
          <w:szCs w:val="24"/>
        </w:rPr>
        <w:t>3.6</w:t>
      </w:r>
      <w:r>
        <w:rPr>
          <w:rFonts w:hint="eastAsia"/>
          <w:sz w:val="24"/>
          <w:szCs w:val="24"/>
        </w:rPr>
        <w:t>款</w:t>
      </w:r>
      <w:r>
        <w:rPr>
          <w:sz w:val="24"/>
          <w:szCs w:val="24"/>
        </w:rPr>
        <w:t>[</w:t>
      </w:r>
      <w:r>
        <w:rPr>
          <w:rFonts w:hint="eastAsia"/>
          <w:sz w:val="24"/>
          <w:szCs w:val="24"/>
        </w:rPr>
        <w:t>商定或确定</w:t>
      </w:r>
      <w:r>
        <w:rPr>
          <w:sz w:val="24"/>
          <w:szCs w:val="24"/>
        </w:rPr>
        <w:t>]</w:t>
      </w:r>
      <w:r>
        <w:rPr>
          <w:rFonts w:hint="eastAsia"/>
          <w:sz w:val="24"/>
          <w:szCs w:val="24"/>
        </w:rPr>
        <w:t>商定或确定承包人实际完成工作对应的合同价款，以及承包人已提供的材料、工程设备、施工设备和临时工程等的价值；</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合同解除后，承包人应支付的违约金；</w:t>
      </w:r>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合同解除后，因解除合同给发包人造成的损失；</w:t>
      </w:r>
    </w:p>
    <w:p>
      <w:pPr>
        <w:spacing w:line="360" w:lineRule="auto"/>
        <w:ind w:firstLine="6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合同解除后，承包人应按照发包人的指示完成现场的清理和撤离；</w:t>
      </w:r>
    </w:p>
    <w:p>
      <w:pPr>
        <w:spacing w:line="360" w:lineRule="auto"/>
        <w:ind w:firstLine="6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发包人和承包人应在合同解除后进行清算，出具最终结清付款证书，结清全部款项。</w:t>
      </w:r>
    </w:p>
    <w:p>
      <w:pPr>
        <w:spacing w:line="360" w:lineRule="auto"/>
        <w:ind w:firstLine="600"/>
        <w:rPr>
          <w:sz w:val="24"/>
          <w:szCs w:val="24"/>
        </w:rPr>
      </w:pPr>
      <w:r>
        <w:rPr>
          <w:rFonts w:hint="eastAsia"/>
          <w:sz w:val="24"/>
          <w:szCs w:val="24"/>
        </w:rPr>
        <w:t>因承包人违约解除合同的，发包人有权暂停对承包人的付款，查清各项付款和已扣款项，发包人和承包人未能就合同解除后的清算和款项支付达成一致的，按照第</w:t>
      </w:r>
      <w:r>
        <w:rPr>
          <w:sz w:val="24"/>
          <w:szCs w:val="24"/>
        </w:rPr>
        <w:t>20</w:t>
      </w:r>
      <w:r>
        <w:rPr>
          <w:rFonts w:hint="eastAsia"/>
          <w:sz w:val="24"/>
          <w:szCs w:val="24"/>
        </w:rPr>
        <w:t>条</w:t>
      </w:r>
      <w:r>
        <w:rPr>
          <w:sz w:val="24"/>
          <w:szCs w:val="24"/>
        </w:rPr>
        <w:t>[</w:t>
      </w:r>
      <w:r>
        <w:rPr>
          <w:rFonts w:hint="eastAsia"/>
          <w:sz w:val="24"/>
          <w:szCs w:val="24"/>
        </w:rPr>
        <w:t>争议解决</w:t>
      </w:r>
      <w:r>
        <w:rPr>
          <w:sz w:val="24"/>
          <w:szCs w:val="24"/>
        </w:rPr>
        <w:t>]</w:t>
      </w:r>
      <w:r>
        <w:rPr>
          <w:rFonts w:hint="eastAsia"/>
          <w:sz w:val="24"/>
          <w:szCs w:val="24"/>
        </w:rPr>
        <w:t>的约定处理。</w:t>
      </w:r>
    </w:p>
    <w:p>
      <w:pPr>
        <w:pStyle w:val="66"/>
        <w:spacing w:afterLines="0"/>
        <w:ind w:left="0"/>
        <w:rPr>
          <w:rFonts w:cs="宋体"/>
          <w:szCs w:val="24"/>
        </w:rPr>
      </w:pPr>
      <w:r>
        <w:rPr>
          <w:rFonts w:cs="宋体"/>
          <w:szCs w:val="24"/>
        </w:rPr>
        <w:t xml:space="preserve">16.1.4 </w:t>
      </w:r>
      <w:r>
        <w:rPr>
          <w:rFonts w:hint="eastAsia" w:cs="宋体"/>
          <w:szCs w:val="24"/>
        </w:rPr>
        <w:t>因承包人违约解除合同的合同权益转让</w:t>
      </w:r>
    </w:p>
    <w:p>
      <w:pPr>
        <w:spacing w:line="360" w:lineRule="auto"/>
        <w:ind w:firstLine="600"/>
        <w:rPr>
          <w:sz w:val="24"/>
          <w:szCs w:val="24"/>
        </w:rPr>
      </w:pPr>
      <w:r>
        <w:rPr>
          <w:rFonts w:hint="eastAsia"/>
          <w:sz w:val="24"/>
          <w:szCs w:val="24"/>
        </w:rPr>
        <w:t>合同解除后，发包人可以继续完成工程，和（或）安排第三人完成。发包人有权要求承包人将其为实施合同而订立的材料和设备的订货合同或任何服务合同利益转让给发包人，并在承包人收到解除合同通知后的</w:t>
      </w:r>
      <w:r>
        <w:rPr>
          <w:sz w:val="24"/>
          <w:szCs w:val="24"/>
        </w:rPr>
        <w:t>14</w:t>
      </w:r>
      <w:r>
        <w:rPr>
          <w:rFonts w:hint="eastAsia"/>
          <w:sz w:val="24"/>
          <w:szCs w:val="24"/>
        </w:rPr>
        <w:t>天内，依法办理转让手续。发包人和（或）第三人有权使用承包人在施工现场的材料、设备、临时工程、承包人文件和由承包人或以其名义编制的其他文件。</w:t>
      </w:r>
    </w:p>
    <w:p>
      <w:pPr>
        <w:pStyle w:val="65"/>
        <w:widowControl/>
        <w:spacing w:afterLines="0"/>
        <w:ind w:left="0"/>
        <w:rPr>
          <w:rFonts w:ascii="宋体" w:hAnsi="宋体" w:eastAsia="宋体" w:cs="宋体"/>
        </w:rPr>
      </w:pPr>
      <w:bookmarkStart w:id="704" w:name="_Ref531958554"/>
      <w:bookmarkStart w:id="705" w:name="_Ref531958549"/>
      <w:bookmarkStart w:id="706" w:name="_Toc54862305"/>
      <w:r>
        <w:rPr>
          <w:rFonts w:ascii="宋体" w:hAnsi="宋体" w:eastAsia="宋体" w:cs="宋体"/>
        </w:rPr>
        <w:t xml:space="preserve">16.2 </w:t>
      </w:r>
      <w:r>
        <w:rPr>
          <w:rFonts w:hint="eastAsia" w:ascii="宋体" w:hAnsi="宋体" w:eastAsia="宋体" w:cs="宋体"/>
        </w:rPr>
        <w:t>由承包人解除合同</w:t>
      </w:r>
      <w:bookmarkEnd w:id="704"/>
      <w:bookmarkEnd w:id="705"/>
      <w:bookmarkEnd w:id="706"/>
    </w:p>
    <w:p>
      <w:pPr>
        <w:pStyle w:val="66"/>
        <w:spacing w:afterLines="0"/>
        <w:ind w:left="0"/>
        <w:rPr>
          <w:rFonts w:cs="宋体"/>
          <w:szCs w:val="24"/>
        </w:rPr>
      </w:pPr>
      <w:bookmarkStart w:id="707" w:name="_Ref3841758"/>
      <w:r>
        <w:rPr>
          <w:rFonts w:cs="宋体"/>
          <w:szCs w:val="24"/>
        </w:rPr>
        <w:t xml:space="preserve">16.2.1 </w:t>
      </w:r>
      <w:r>
        <w:rPr>
          <w:rFonts w:hint="eastAsia" w:cs="宋体"/>
          <w:szCs w:val="24"/>
        </w:rPr>
        <w:t>因发包人违约解除合同</w:t>
      </w:r>
      <w:bookmarkEnd w:id="707"/>
    </w:p>
    <w:p>
      <w:pPr>
        <w:spacing w:line="360" w:lineRule="auto"/>
        <w:ind w:firstLine="600"/>
        <w:rPr>
          <w:sz w:val="24"/>
          <w:szCs w:val="24"/>
        </w:rPr>
      </w:pPr>
      <w:r>
        <w:rPr>
          <w:rFonts w:hint="eastAsia"/>
          <w:sz w:val="24"/>
          <w:szCs w:val="24"/>
        </w:rPr>
        <w:t>除专用合同条件另有约定外，承包人有权基于下列原因，以书面形式通知发包人解除合同，解除通知中应注明是根据第</w:t>
      </w:r>
      <w:r>
        <w:rPr>
          <w:sz w:val="24"/>
          <w:szCs w:val="24"/>
        </w:rPr>
        <w:t>16.2.1</w:t>
      </w:r>
      <w:r>
        <w:rPr>
          <w:rFonts w:hint="eastAsia"/>
          <w:sz w:val="24"/>
          <w:szCs w:val="24"/>
        </w:rPr>
        <w:t>项发出的，承包人应在发出正式解除合同通知</w:t>
      </w:r>
      <w:r>
        <w:rPr>
          <w:sz w:val="24"/>
          <w:szCs w:val="24"/>
        </w:rPr>
        <w:t>14</w:t>
      </w:r>
      <w:r>
        <w:rPr>
          <w:rFonts w:hint="eastAsia"/>
          <w:sz w:val="24"/>
          <w:szCs w:val="24"/>
        </w:rPr>
        <w:t>天前告知发包人其解除合同意向，除非发包人在收到该解除合同意向通知后</w:t>
      </w:r>
      <w:r>
        <w:rPr>
          <w:sz w:val="24"/>
          <w:szCs w:val="24"/>
        </w:rPr>
        <w:t>14</w:t>
      </w:r>
      <w:r>
        <w:rPr>
          <w:rFonts w:hint="eastAsia"/>
          <w:sz w:val="24"/>
          <w:szCs w:val="24"/>
        </w:rPr>
        <w:t>天内采取了补救措施，否则承包人可向发包人发出正式解除合同通知立即解除合同。解除日期应为发包人收到正式解除合同通知的日期，但在第</w:t>
      </w:r>
      <w:r>
        <w:rPr>
          <w:sz w:val="24"/>
          <w:szCs w:val="24"/>
        </w:rPr>
        <w:t>(5)</w:t>
      </w:r>
      <w:r>
        <w:rPr>
          <w:rFonts w:hint="eastAsia"/>
          <w:sz w:val="24"/>
          <w:szCs w:val="24"/>
        </w:rPr>
        <w:t>目的情况下，承包人无须提前告知发包人其解除合同意向，可直接发出正式解除合同通知立即解除合同：</w:t>
      </w:r>
    </w:p>
    <w:p>
      <w:pPr>
        <w:spacing w:line="360" w:lineRule="auto"/>
        <w:ind w:firstLine="6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承包人就发包人未能遵守第</w:t>
      </w:r>
      <w:r>
        <w:rPr>
          <w:sz w:val="24"/>
          <w:szCs w:val="24"/>
        </w:rPr>
        <w:t>2.5.2</w:t>
      </w:r>
      <w:r>
        <w:rPr>
          <w:rFonts w:hint="eastAsia"/>
          <w:sz w:val="24"/>
          <w:szCs w:val="24"/>
        </w:rPr>
        <w:t>项关于发包人的资金安排发出通知后</w:t>
      </w:r>
      <w:r>
        <w:rPr>
          <w:sz w:val="24"/>
          <w:szCs w:val="24"/>
        </w:rPr>
        <w:t>42</w:t>
      </w:r>
      <w:r>
        <w:rPr>
          <w:rFonts w:hint="eastAsia"/>
          <w:sz w:val="24"/>
          <w:szCs w:val="24"/>
        </w:rPr>
        <w:t>天内，仍未收到合理的证明；</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在第</w:t>
      </w:r>
      <w:r>
        <w:rPr>
          <w:sz w:val="24"/>
          <w:szCs w:val="24"/>
        </w:rPr>
        <w:t>14</w:t>
      </w:r>
      <w:r>
        <w:rPr>
          <w:rFonts w:hint="eastAsia"/>
          <w:sz w:val="24"/>
          <w:szCs w:val="24"/>
        </w:rPr>
        <w:t>条规定的付款时间到期后</w:t>
      </w:r>
      <w:r>
        <w:rPr>
          <w:sz w:val="24"/>
          <w:szCs w:val="24"/>
        </w:rPr>
        <w:t>42</w:t>
      </w:r>
      <w:r>
        <w:rPr>
          <w:rFonts w:hint="eastAsia"/>
          <w:sz w:val="24"/>
          <w:szCs w:val="24"/>
        </w:rPr>
        <w:t>天内，承包人仍未收到应付款项；</w:t>
      </w:r>
      <w:r>
        <w:rPr>
          <w:sz w:val="24"/>
          <w:szCs w:val="24"/>
        </w:rPr>
        <w:t xml:space="preserve"> </w:t>
      </w:r>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发包人实质上未能根据合同约定履行其义务，构成根本性违约；</w:t>
      </w:r>
    </w:p>
    <w:p>
      <w:pPr>
        <w:spacing w:line="360" w:lineRule="auto"/>
        <w:ind w:firstLine="6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发承包双方订立本合同协议书后的</w:t>
      </w:r>
      <w:r>
        <w:rPr>
          <w:sz w:val="24"/>
          <w:szCs w:val="24"/>
        </w:rPr>
        <w:t>84</w:t>
      </w:r>
      <w:r>
        <w:rPr>
          <w:rFonts w:hint="eastAsia"/>
          <w:sz w:val="24"/>
          <w:szCs w:val="24"/>
        </w:rPr>
        <w:t>天内，承包人未收到根据第</w:t>
      </w:r>
      <w:r>
        <w:rPr>
          <w:sz w:val="24"/>
          <w:szCs w:val="24"/>
        </w:rPr>
        <w:t>8.1</w:t>
      </w:r>
      <w:r>
        <w:rPr>
          <w:rFonts w:hint="eastAsia"/>
          <w:sz w:val="24"/>
          <w:szCs w:val="24"/>
        </w:rPr>
        <w:t>款</w:t>
      </w:r>
      <w:r>
        <w:rPr>
          <w:sz w:val="24"/>
          <w:szCs w:val="24"/>
        </w:rPr>
        <w:t>[</w:t>
      </w:r>
      <w:r>
        <w:rPr>
          <w:rFonts w:hint="eastAsia"/>
          <w:sz w:val="24"/>
          <w:szCs w:val="24"/>
        </w:rPr>
        <w:t>开始工作</w:t>
      </w:r>
      <w:r>
        <w:rPr>
          <w:sz w:val="24"/>
          <w:szCs w:val="24"/>
        </w:rPr>
        <w:t>]</w:t>
      </w:r>
      <w:r>
        <w:rPr>
          <w:rFonts w:hint="eastAsia"/>
          <w:sz w:val="24"/>
          <w:szCs w:val="24"/>
        </w:rPr>
        <w:t>的开始工作通知；</w:t>
      </w:r>
    </w:p>
    <w:p>
      <w:pPr>
        <w:spacing w:line="360" w:lineRule="auto"/>
        <w:ind w:firstLine="6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spacing w:line="360" w:lineRule="auto"/>
        <w:ind w:firstLine="6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发包人未能遵守第</w:t>
      </w:r>
      <w:r>
        <w:rPr>
          <w:sz w:val="24"/>
          <w:szCs w:val="24"/>
        </w:rPr>
        <w:t>2.5.3</w:t>
      </w:r>
      <w:r>
        <w:rPr>
          <w:rFonts w:hint="eastAsia"/>
          <w:sz w:val="24"/>
          <w:szCs w:val="24"/>
        </w:rPr>
        <w:t>项的约定提交支付担保；</w:t>
      </w:r>
    </w:p>
    <w:p>
      <w:pPr>
        <w:spacing w:line="360" w:lineRule="auto"/>
        <w:ind w:firstLine="600"/>
        <w:rPr>
          <w:sz w:val="24"/>
          <w:szCs w:val="24"/>
        </w:rPr>
      </w:pPr>
      <w:r>
        <w:rPr>
          <w:rFonts w:hint="eastAsia"/>
          <w:sz w:val="24"/>
          <w:szCs w:val="24"/>
        </w:rPr>
        <w:t>（</w:t>
      </w:r>
      <w:r>
        <w:rPr>
          <w:sz w:val="24"/>
          <w:szCs w:val="24"/>
        </w:rPr>
        <w:t>7</w:t>
      </w:r>
      <w:r>
        <w:rPr>
          <w:rFonts w:hint="eastAsia"/>
          <w:sz w:val="24"/>
          <w:szCs w:val="24"/>
        </w:rPr>
        <w:t>）</w:t>
      </w:r>
      <w:r>
        <w:rPr>
          <w:sz w:val="24"/>
          <w:szCs w:val="24"/>
        </w:rPr>
        <w:t xml:space="preserve"> </w:t>
      </w:r>
      <w:r>
        <w:rPr>
          <w:rFonts w:hint="eastAsia"/>
          <w:sz w:val="24"/>
          <w:szCs w:val="24"/>
        </w:rPr>
        <w:t>发包人未能执行第</w:t>
      </w:r>
      <w:r>
        <w:rPr>
          <w:sz w:val="24"/>
          <w:szCs w:val="24"/>
        </w:rPr>
        <w:t>15.1.2</w:t>
      </w:r>
      <w:r>
        <w:rPr>
          <w:rFonts w:hint="eastAsia"/>
          <w:sz w:val="24"/>
          <w:szCs w:val="24"/>
        </w:rPr>
        <w:t>项</w:t>
      </w:r>
      <w:r>
        <w:rPr>
          <w:sz w:val="24"/>
          <w:szCs w:val="24"/>
        </w:rPr>
        <w:t>[</w:t>
      </w:r>
      <w:r>
        <w:rPr>
          <w:rFonts w:hint="eastAsia"/>
          <w:sz w:val="24"/>
          <w:szCs w:val="24"/>
        </w:rPr>
        <w:t>通知改正</w:t>
      </w:r>
      <w:r>
        <w:rPr>
          <w:sz w:val="24"/>
          <w:szCs w:val="24"/>
        </w:rPr>
        <w:t>]</w:t>
      </w:r>
      <w:r>
        <w:rPr>
          <w:rFonts w:hint="eastAsia"/>
          <w:sz w:val="24"/>
          <w:szCs w:val="24"/>
        </w:rPr>
        <w:t>的约定，致使合同目的不能实现的；</w:t>
      </w:r>
    </w:p>
    <w:p>
      <w:pPr>
        <w:spacing w:line="360" w:lineRule="auto"/>
        <w:ind w:firstLine="600"/>
        <w:rPr>
          <w:sz w:val="24"/>
          <w:szCs w:val="24"/>
        </w:rPr>
      </w:pPr>
      <w:r>
        <w:rPr>
          <w:rFonts w:hint="eastAsia"/>
          <w:sz w:val="24"/>
          <w:szCs w:val="24"/>
        </w:rPr>
        <w:t>（</w:t>
      </w:r>
      <w:r>
        <w:rPr>
          <w:sz w:val="24"/>
          <w:szCs w:val="24"/>
        </w:rPr>
        <w:t>8</w:t>
      </w:r>
      <w:r>
        <w:rPr>
          <w:rFonts w:hint="eastAsia"/>
          <w:sz w:val="24"/>
          <w:szCs w:val="24"/>
        </w:rPr>
        <w:t>）</w:t>
      </w:r>
      <w:r>
        <w:rPr>
          <w:sz w:val="24"/>
          <w:szCs w:val="24"/>
        </w:rPr>
        <w:t xml:space="preserve"> </w:t>
      </w:r>
      <w:r>
        <w:rPr>
          <w:rFonts w:hint="eastAsia"/>
          <w:sz w:val="24"/>
          <w:szCs w:val="24"/>
        </w:rPr>
        <w:t>因发包人的原因暂停工作超过</w:t>
      </w:r>
      <w:r>
        <w:rPr>
          <w:sz w:val="24"/>
          <w:szCs w:val="24"/>
        </w:rPr>
        <w:t>56</w:t>
      </w:r>
      <w:r>
        <w:rPr>
          <w:rFonts w:hint="eastAsia"/>
          <w:sz w:val="24"/>
          <w:szCs w:val="24"/>
        </w:rPr>
        <w:t>天且暂停影响到整个工程，或因发包人的原因暂停工作超过</w:t>
      </w:r>
      <w:r>
        <w:rPr>
          <w:sz w:val="24"/>
          <w:szCs w:val="24"/>
        </w:rPr>
        <w:t>182</w:t>
      </w:r>
      <w:r>
        <w:rPr>
          <w:rFonts w:hint="eastAsia"/>
          <w:sz w:val="24"/>
          <w:szCs w:val="24"/>
        </w:rPr>
        <w:t>天的；</w:t>
      </w:r>
    </w:p>
    <w:p>
      <w:pPr>
        <w:spacing w:line="360" w:lineRule="auto"/>
        <w:ind w:firstLine="600"/>
        <w:rPr>
          <w:sz w:val="24"/>
          <w:szCs w:val="24"/>
        </w:rPr>
      </w:pPr>
      <w:r>
        <w:rPr>
          <w:rFonts w:hint="eastAsia"/>
          <w:sz w:val="24"/>
          <w:szCs w:val="24"/>
        </w:rPr>
        <w:t>（</w:t>
      </w:r>
      <w:r>
        <w:rPr>
          <w:sz w:val="24"/>
          <w:szCs w:val="24"/>
        </w:rPr>
        <w:t>9</w:t>
      </w:r>
      <w:r>
        <w:rPr>
          <w:rFonts w:hint="eastAsia"/>
          <w:sz w:val="24"/>
          <w:szCs w:val="24"/>
        </w:rPr>
        <w:t>）</w:t>
      </w:r>
      <w:r>
        <w:rPr>
          <w:sz w:val="24"/>
          <w:szCs w:val="24"/>
        </w:rPr>
        <w:t xml:space="preserve"> </w:t>
      </w:r>
      <w:r>
        <w:rPr>
          <w:rFonts w:hint="eastAsia"/>
          <w:sz w:val="24"/>
          <w:szCs w:val="24"/>
        </w:rPr>
        <w:t>因发包人原因造成开始工作日期迟于承包人收到中标通知书（或在无中标通知书的情况下，订立本合同之日）后第</w:t>
      </w:r>
      <w:r>
        <w:rPr>
          <w:sz w:val="24"/>
          <w:szCs w:val="24"/>
        </w:rPr>
        <w:t>84</w:t>
      </w:r>
      <w:r>
        <w:rPr>
          <w:rFonts w:hint="eastAsia"/>
          <w:sz w:val="24"/>
          <w:szCs w:val="24"/>
        </w:rPr>
        <w:t>天的。</w:t>
      </w:r>
    </w:p>
    <w:p>
      <w:pPr>
        <w:spacing w:line="360" w:lineRule="auto"/>
        <w:ind w:firstLine="600"/>
        <w:rPr>
          <w:sz w:val="24"/>
          <w:szCs w:val="24"/>
        </w:rPr>
      </w:pPr>
      <w:r>
        <w:rPr>
          <w:rFonts w:hint="eastAsia"/>
          <w:sz w:val="24"/>
          <w:szCs w:val="24"/>
        </w:rPr>
        <w:t>发包人接到承包人解除合同意向通知后</w:t>
      </w:r>
      <w:r>
        <w:rPr>
          <w:sz w:val="24"/>
          <w:szCs w:val="24"/>
        </w:rPr>
        <w:t>14</w:t>
      </w:r>
      <w:r>
        <w:rPr>
          <w:rFonts w:hint="eastAsia"/>
          <w:sz w:val="24"/>
          <w:szCs w:val="24"/>
        </w:rPr>
        <w:t>天内，发包人随后给予了付款，或同意复工、或继续履行其义务、或提供了支付担保等，承包人应尽快安排并恢复正常工作；因此造成工期延误的，竣工日期顺延；承包人因此增加的费用，由发包人承担。</w:t>
      </w:r>
    </w:p>
    <w:p>
      <w:pPr>
        <w:pStyle w:val="66"/>
        <w:spacing w:afterLines="0"/>
        <w:ind w:left="0"/>
        <w:rPr>
          <w:rFonts w:cs="宋体"/>
          <w:szCs w:val="24"/>
        </w:rPr>
      </w:pPr>
      <w:bookmarkStart w:id="708" w:name="_Ref3842018"/>
      <w:bookmarkStart w:id="709" w:name="_Ref4624336"/>
      <w:r>
        <w:rPr>
          <w:rFonts w:cs="宋体"/>
          <w:szCs w:val="24"/>
        </w:rPr>
        <w:t xml:space="preserve">16.2.2 </w:t>
      </w:r>
      <w:r>
        <w:rPr>
          <w:rFonts w:hint="eastAsia" w:cs="宋体"/>
          <w:szCs w:val="24"/>
        </w:rPr>
        <w:t>因发包人违约解除合同后</w:t>
      </w:r>
      <w:bookmarkEnd w:id="708"/>
      <w:r>
        <w:rPr>
          <w:rFonts w:hint="eastAsia" w:cs="宋体"/>
          <w:szCs w:val="24"/>
        </w:rPr>
        <w:t>承包人的义务</w:t>
      </w:r>
      <w:bookmarkEnd w:id="709"/>
    </w:p>
    <w:p>
      <w:pPr>
        <w:pStyle w:val="68"/>
        <w:spacing w:line="360" w:lineRule="auto"/>
        <w:ind w:left="0" w:firstLine="425"/>
        <w:rPr>
          <w:sz w:val="24"/>
          <w:szCs w:val="24"/>
        </w:rPr>
      </w:pPr>
      <w:r>
        <w:rPr>
          <w:rFonts w:hint="eastAsia"/>
          <w:sz w:val="24"/>
          <w:szCs w:val="24"/>
        </w:rPr>
        <w:t>合同解除后，承包人应按以下约定执行：</w:t>
      </w:r>
    </w:p>
    <w:p>
      <w:pPr>
        <w:spacing w:line="360" w:lineRule="auto"/>
        <w:ind w:firstLine="6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除为保护生命、财产、工程安全的工作外，停止所有进一步的工作；承包人因执行该保护工作而产生费用的，由发包人承担；</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向发包人移交承包人已获得支付的承包人文件、生产设备、材料和其他工作；</w:t>
      </w:r>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从现场运走除为了安全需要以外的所有属于承包人的其他货物，并撤离现场。</w:t>
      </w:r>
    </w:p>
    <w:p>
      <w:pPr>
        <w:pStyle w:val="66"/>
        <w:spacing w:afterLines="0"/>
        <w:ind w:left="0"/>
        <w:rPr>
          <w:rFonts w:cs="宋体"/>
          <w:szCs w:val="24"/>
        </w:rPr>
      </w:pPr>
      <w:r>
        <w:rPr>
          <w:rFonts w:cs="宋体"/>
          <w:szCs w:val="24"/>
        </w:rPr>
        <w:t xml:space="preserve">16.2.3 </w:t>
      </w:r>
      <w:r>
        <w:rPr>
          <w:rFonts w:hint="eastAsia" w:cs="宋体"/>
          <w:szCs w:val="24"/>
        </w:rPr>
        <w:t>因发包人违约解除合同后的付款</w:t>
      </w:r>
    </w:p>
    <w:p>
      <w:pPr>
        <w:spacing w:line="360" w:lineRule="auto"/>
        <w:ind w:firstLine="600"/>
        <w:rPr>
          <w:sz w:val="24"/>
          <w:szCs w:val="24"/>
        </w:rPr>
      </w:pPr>
      <w:r>
        <w:rPr>
          <w:rFonts w:hint="eastAsia"/>
          <w:sz w:val="24"/>
          <w:szCs w:val="24"/>
        </w:rPr>
        <w:t>承包人按照本款约定解除合同的，发包人应在解除合同后</w:t>
      </w:r>
      <w:r>
        <w:rPr>
          <w:sz w:val="24"/>
          <w:szCs w:val="24"/>
        </w:rPr>
        <w:t>28</w:t>
      </w:r>
      <w:r>
        <w:rPr>
          <w:rFonts w:hint="eastAsia"/>
          <w:sz w:val="24"/>
          <w:szCs w:val="24"/>
        </w:rPr>
        <w:t>天内支付下列款项，并退还履约担保：</w:t>
      </w:r>
    </w:p>
    <w:p>
      <w:pPr>
        <w:spacing w:line="360" w:lineRule="auto"/>
        <w:ind w:firstLine="6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合同解除前所完成工作的价款；</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承包人为工程施工订购并已付款的材料、工程设备和其他物品的价款；发包人付款后，该材料、工程设备和其他物品归发包人所有；</w:t>
      </w:r>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承包人为完成工程所发生的，而发包人未支付的金额；</w:t>
      </w:r>
    </w:p>
    <w:p>
      <w:pPr>
        <w:spacing w:line="360" w:lineRule="auto"/>
        <w:ind w:firstLine="6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承包人撤离施工现场以及遣散承包人人员的款项；</w:t>
      </w:r>
    </w:p>
    <w:p>
      <w:pPr>
        <w:spacing w:line="360" w:lineRule="auto"/>
        <w:ind w:firstLine="6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按照合同约定在合同解除前应支付的违约金；</w:t>
      </w:r>
    </w:p>
    <w:p>
      <w:pPr>
        <w:spacing w:line="360" w:lineRule="auto"/>
        <w:ind w:firstLine="6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按照合同约定应当支付给承包人的其他款项；</w:t>
      </w:r>
    </w:p>
    <w:p>
      <w:pPr>
        <w:spacing w:line="360" w:lineRule="auto"/>
        <w:ind w:firstLine="600"/>
        <w:rPr>
          <w:sz w:val="24"/>
          <w:szCs w:val="24"/>
        </w:rPr>
      </w:pPr>
      <w:r>
        <w:rPr>
          <w:rFonts w:hint="eastAsia"/>
          <w:sz w:val="24"/>
          <w:szCs w:val="24"/>
        </w:rPr>
        <w:t>（</w:t>
      </w:r>
      <w:r>
        <w:rPr>
          <w:sz w:val="24"/>
          <w:szCs w:val="24"/>
        </w:rPr>
        <w:t>7</w:t>
      </w:r>
      <w:r>
        <w:rPr>
          <w:rFonts w:hint="eastAsia"/>
          <w:sz w:val="24"/>
          <w:szCs w:val="24"/>
        </w:rPr>
        <w:t>）</w:t>
      </w:r>
      <w:r>
        <w:rPr>
          <w:sz w:val="24"/>
          <w:szCs w:val="24"/>
        </w:rPr>
        <w:t xml:space="preserve"> </w:t>
      </w:r>
      <w:r>
        <w:rPr>
          <w:rFonts w:hint="eastAsia"/>
          <w:sz w:val="24"/>
          <w:szCs w:val="24"/>
        </w:rPr>
        <w:t>按照合同约定应返还的质量保证金；</w:t>
      </w:r>
    </w:p>
    <w:p>
      <w:pPr>
        <w:spacing w:line="360" w:lineRule="auto"/>
        <w:ind w:firstLine="600"/>
        <w:rPr>
          <w:sz w:val="24"/>
          <w:szCs w:val="24"/>
        </w:rPr>
      </w:pPr>
      <w:r>
        <w:rPr>
          <w:rFonts w:hint="eastAsia"/>
          <w:sz w:val="24"/>
          <w:szCs w:val="24"/>
        </w:rPr>
        <w:t>（</w:t>
      </w:r>
      <w:r>
        <w:rPr>
          <w:sz w:val="24"/>
          <w:szCs w:val="24"/>
        </w:rPr>
        <w:t>8</w:t>
      </w:r>
      <w:r>
        <w:rPr>
          <w:rFonts w:hint="eastAsia"/>
          <w:sz w:val="24"/>
          <w:szCs w:val="24"/>
        </w:rPr>
        <w:t>）</w:t>
      </w:r>
      <w:r>
        <w:rPr>
          <w:sz w:val="24"/>
          <w:szCs w:val="24"/>
        </w:rPr>
        <w:t xml:space="preserve"> </w:t>
      </w:r>
      <w:r>
        <w:rPr>
          <w:rFonts w:hint="eastAsia"/>
          <w:sz w:val="24"/>
          <w:szCs w:val="24"/>
        </w:rPr>
        <w:t>因解除合同给承包人造成的损失。</w:t>
      </w:r>
    </w:p>
    <w:p>
      <w:pPr>
        <w:spacing w:line="360" w:lineRule="auto"/>
        <w:ind w:firstLine="600"/>
        <w:rPr>
          <w:sz w:val="24"/>
          <w:szCs w:val="24"/>
        </w:rPr>
      </w:pPr>
      <w:r>
        <w:rPr>
          <w:rFonts w:hint="eastAsia"/>
          <w:sz w:val="24"/>
          <w:szCs w:val="24"/>
        </w:rPr>
        <w:t>承包人应妥善做好已完工程和与工程有关的已购材料、工程设备的保护和移交工作，并将施工设备和人员撤出施工现场，发包人应为承包人撤出提供必要条件。</w:t>
      </w:r>
    </w:p>
    <w:p>
      <w:pPr>
        <w:pStyle w:val="65"/>
        <w:widowControl/>
        <w:spacing w:afterLines="0"/>
        <w:ind w:left="0"/>
        <w:rPr>
          <w:rFonts w:ascii="宋体" w:hAnsi="宋体" w:eastAsia="宋体" w:cs="宋体"/>
          <w:b w:val="0"/>
          <w:bCs/>
        </w:rPr>
      </w:pPr>
      <w:bookmarkStart w:id="710" w:name="_Ref3841966"/>
      <w:bookmarkStart w:id="711" w:name="_Toc54862306"/>
      <w:r>
        <w:rPr>
          <w:rFonts w:ascii="宋体" w:hAnsi="宋体" w:eastAsia="宋体" w:cs="宋体"/>
        </w:rPr>
        <w:t xml:space="preserve">16.3 </w:t>
      </w:r>
      <w:r>
        <w:rPr>
          <w:rFonts w:hint="eastAsia" w:ascii="宋体" w:hAnsi="宋体" w:eastAsia="宋体" w:cs="宋体"/>
        </w:rPr>
        <w:t>合同解除后的事项</w:t>
      </w:r>
      <w:bookmarkEnd w:id="710"/>
      <w:bookmarkEnd w:id="711"/>
    </w:p>
    <w:p>
      <w:pPr>
        <w:pStyle w:val="66"/>
        <w:spacing w:afterLines="0"/>
        <w:ind w:left="0"/>
        <w:rPr>
          <w:rFonts w:cs="宋体"/>
          <w:szCs w:val="24"/>
        </w:rPr>
      </w:pPr>
      <w:r>
        <w:rPr>
          <w:rFonts w:cs="宋体"/>
          <w:szCs w:val="24"/>
        </w:rPr>
        <w:t xml:space="preserve">16.3.1 </w:t>
      </w:r>
      <w:r>
        <w:rPr>
          <w:rFonts w:hint="eastAsia" w:cs="宋体"/>
          <w:szCs w:val="24"/>
        </w:rPr>
        <w:t>结算约定依然有效</w:t>
      </w:r>
    </w:p>
    <w:p>
      <w:pPr>
        <w:spacing w:line="360" w:lineRule="auto"/>
        <w:ind w:firstLine="600"/>
        <w:rPr>
          <w:sz w:val="24"/>
          <w:szCs w:val="24"/>
        </w:rPr>
      </w:pPr>
      <w:r>
        <w:rPr>
          <w:rFonts w:hint="eastAsia"/>
          <w:sz w:val="24"/>
          <w:szCs w:val="24"/>
        </w:rPr>
        <w:t>合同解除后，由发包人或由承包人解除合同的结算及结算后的付款约定仍然有效，直至解除合同的结算工作结清。</w:t>
      </w:r>
    </w:p>
    <w:p>
      <w:pPr>
        <w:pStyle w:val="66"/>
        <w:spacing w:afterLines="0"/>
        <w:ind w:left="0"/>
        <w:rPr>
          <w:rFonts w:cs="宋体"/>
          <w:szCs w:val="24"/>
        </w:rPr>
      </w:pPr>
      <w:r>
        <w:rPr>
          <w:rFonts w:cs="宋体"/>
          <w:szCs w:val="24"/>
        </w:rPr>
        <w:t xml:space="preserve">16.3.2 </w:t>
      </w:r>
      <w:r>
        <w:rPr>
          <w:rFonts w:hint="eastAsia" w:cs="宋体"/>
          <w:szCs w:val="24"/>
        </w:rPr>
        <w:t>解除合同的争议</w:t>
      </w:r>
    </w:p>
    <w:p>
      <w:pPr>
        <w:spacing w:line="360" w:lineRule="auto"/>
        <w:ind w:firstLine="600"/>
        <w:rPr>
          <w:sz w:val="24"/>
          <w:szCs w:val="24"/>
        </w:rPr>
      </w:pPr>
      <w:bookmarkStart w:id="712" w:name="_Hlk18988355"/>
      <w:r>
        <w:rPr>
          <w:rFonts w:hint="eastAsia"/>
          <w:sz w:val="24"/>
          <w:szCs w:val="24"/>
        </w:rPr>
        <w:t>双方对解除合同或解除合同后的结算有争议的，按照第</w:t>
      </w:r>
      <w:r>
        <w:rPr>
          <w:sz w:val="24"/>
          <w:szCs w:val="24"/>
        </w:rPr>
        <w:t>20</w:t>
      </w:r>
      <w:r>
        <w:rPr>
          <w:rFonts w:hint="eastAsia"/>
          <w:sz w:val="24"/>
          <w:szCs w:val="24"/>
        </w:rPr>
        <w:t>条</w:t>
      </w:r>
      <w:r>
        <w:rPr>
          <w:sz w:val="24"/>
          <w:szCs w:val="24"/>
        </w:rPr>
        <w:t>[</w:t>
      </w:r>
      <w:r>
        <w:rPr>
          <w:rFonts w:hint="eastAsia"/>
          <w:sz w:val="24"/>
          <w:szCs w:val="24"/>
        </w:rPr>
        <w:t>争议解决</w:t>
      </w:r>
      <w:r>
        <w:rPr>
          <w:sz w:val="24"/>
          <w:szCs w:val="24"/>
        </w:rPr>
        <w:t>]</w:t>
      </w:r>
      <w:r>
        <w:rPr>
          <w:rFonts w:hint="eastAsia"/>
          <w:sz w:val="24"/>
          <w:szCs w:val="24"/>
        </w:rPr>
        <w:t>的约定处理。</w:t>
      </w:r>
      <w:bookmarkEnd w:id="712"/>
    </w:p>
    <w:p>
      <w:pPr>
        <w:pStyle w:val="64"/>
        <w:numPr>
          <w:ilvl w:val="0"/>
          <w:numId w:val="0"/>
        </w:numPr>
        <w:spacing w:before="0"/>
        <w:rPr>
          <w:rFonts w:ascii="宋体"/>
          <w:b/>
          <w:sz w:val="24"/>
          <w:szCs w:val="24"/>
        </w:rPr>
      </w:pPr>
      <w:bookmarkStart w:id="713" w:name="_Ref3840974"/>
      <w:bookmarkStart w:id="714" w:name="_Toc54862307"/>
      <w:bookmarkStart w:id="715" w:name="_Ref3840605"/>
      <w:r>
        <w:rPr>
          <w:rFonts w:hint="eastAsia" w:ascii="宋体" w:hAnsi="宋体"/>
          <w:b/>
          <w:sz w:val="24"/>
          <w:szCs w:val="24"/>
        </w:rPr>
        <w:t>第</w:t>
      </w:r>
      <w:r>
        <w:rPr>
          <w:rFonts w:ascii="宋体" w:hAnsi="宋体"/>
          <w:b/>
          <w:sz w:val="24"/>
          <w:szCs w:val="24"/>
        </w:rPr>
        <w:t>17</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不可抗力</w:t>
      </w:r>
      <w:bookmarkEnd w:id="713"/>
      <w:bookmarkEnd w:id="714"/>
    </w:p>
    <w:p>
      <w:pPr>
        <w:pStyle w:val="65"/>
        <w:widowControl/>
        <w:spacing w:afterLines="0"/>
        <w:ind w:left="0"/>
        <w:rPr>
          <w:rFonts w:ascii="宋体" w:hAnsi="宋体" w:eastAsia="宋体" w:cs="宋体"/>
          <w:b w:val="0"/>
          <w:bCs/>
        </w:rPr>
      </w:pPr>
      <w:bookmarkStart w:id="716" w:name="_Ref531958158"/>
      <w:bookmarkStart w:id="717" w:name="_Ref531958161"/>
      <w:bookmarkStart w:id="718" w:name="_Toc54862308"/>
      <w:r>
        <w:rPr>
          <w:rFonts w:ascii="宋体" w:hAnsi="宋体" w:eastAsia="宋体" w:cs="宋体"/>
        </w:rPr>
        <w:t xml:space="preserve">17.1 </w:t>
      </w:r>
      <w:r>
        <w:rPr>
          <w:rFonts w:hint="eastAsia" w:ascii="宋体" w:hAnsi="宋体" w:eastAsia="宋体" w:cs="宋体"/>
        </w:rPr>
        <w:t>不可抗力的</w:t>
      </w:r>
      <w:bookmarkEnd w:id="716"/>
      <w:bookmarkEnd w:id="717"/>
      <w:r>
        <w:rPr>
          <w:rFonts w:hint="eastAsia" w:ascii="宋体" w:hAnsi="宋体" w:eastAsia="宋体" w:cs="宋体"/>
        </w:rPr>
        <w:t>定义</w:t>
      </w:r>
      <w:bookmarkEnd w:id="718"/>
    </w:p>
    <w:p>
      <w:pPr>
        <w:spacing w:line="360" w:lineRule="auto"/>
        <w:ind w:firstLine="600"/>
        <w:rPr>
          <w:sz w:val="24"/>
          <w:szCs w:val="24"/>
        </w:rPr>
      </w:pPr>
      <w:r>
        <w:rPr>
          <w:rFonts w:hint="eastAsia"/>
          <w:sz w:val="24"/>
          <w:szCs w:val="24"/>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pPr>
        <w:pStyle w:val="65"/>
        <w:widowControl/>
        <w:spacing w:afterLines="0"/>
        <w:ind w:left="0"/>
        <w:rPr>
          <w:rFonts w:ascii="宋体" w:hAnsi="宋体" w:eastAsia="宋体" w:cs="宋体"/>
          <w:b w:val="0"/>
          <w:bCs/>
        </w:rPr>
      </w:pPr>
      <w:bookmarkStart w:id="719" w:name="_Toc54862309"/>
      <w:r>
        <w:rPr>
          <w:rFonts w:ascii="宋体" w:hAnsi="宋体" w:eastAsia="宋体" w:cs="宋体"/>
          <w:b w:val="0"/>
          <w:bCs/>
        </w:rPr>
        <w:t xml:space="preserve">17.2 </w:t>
      </w:r>
      <w:r>
        <w:rPr>
          <w:rFonts w:hint="eastAsia" w:ascii="宋体" w:hAnsi="宋体" w:eastAsia="宋体" w:cs="宋体"/>
          <w:b w:val="0"/>
          <w:bCs/>
        </w:rPr>
        <w:t>不可抗力的通知</w:t>
      </w:r>
      <w:bookmarkEnd w:id="719"/>
      <w:r>
        <w:rPr>
          <w:rFonts w:ascii="宋体" w:hAnsi="宋体" w:eastAsia="宋体" w:cs="宋体"/>
          <w:b w:val="0"/>
          <w:bCs/>
        </w:rPr>
        <w:t xml:space="preserve"> </w:t>
      </w:r>
    </w:p>
    <w:p>
      <w:pPr>
        <w:spacing w:line="360" w:lineRule="auto"/>
        <w:ind w:firstLine="600"/>
        <w:rPr>
          <w:sz w:val="24"/>
          <w:szCs w:val="24"/>
        </w:rPr>
      </w:pPr>
      <w:r>
        <w:rPr>
          <w:rFonts w:hint="eastAsia"/>
          <w:sz w:val="24"/>
          <w:szCs w:val="24"/>
        </w:rPr>
        <w:t>合同一方当事人觉察或发现不可抗力事件发生，使其履行合同义务受到阻碍时，有义务立即通知合同另一方当事人和工程师，书面说明不可抗力和受阻碍的详细情况，并提供必要的证明。</w:t>
      </w:r>
    </w:p>
    <w:p>
      <w:pPr>
        <w:spacing w:line="360" w:lineRule="auto"/>
        <w:ind w:firstLine="600"/>
        <w:rPr>
          <w:sz w:val="24"/>
          <w:szCs w:val="24"/>
        </w:rPr>
      </w:pPr>
      <w:r>
        <w:rPr>
          <w:rFonts w:hint="eastAsia"/>
          <w:sz w:val="24"/>
          <w:szCs w:val="24"/>
        </w:rPr>
        <w:t>不可抗力持续发生的，合同一方当事人应每隔</w:t>
      </w:r>
      <w:r>
        <w:rPr>
          <w:sz w:val="24"/>
          <w:szCs w:val="24"/>
        </w:rPr>
        <w:t>28</w:t>
      </w:r>
      <w:r>
        <w:rPr>
          <w:rFonts w:hint="eastAsia"/>
          <w:sz w:val="24"/>
          <w:szCs w:val="24"/>
        </w:rPr>
        <w:t>天向合同另一方当事人和工程师提交中间报告，说明不可抗力和履行合同受阻的情况，并于不可抗力事件结束后</w:t>
      </w:r>
      <w:r>
        <w:rPr>
          <w:sz w:val="24"/>
          <w:szCs w:val="24"/>
        </w:rPr>
        <w:t>28</w:t>
      </w:r>
      <w:r>
        <w:rPr>
          <w:rFonts w:hint="eastAsia"/>
          <w:sz w:val="24"/>
          <w:szCs w:val="24"/>
        </w:rPr>
        <w:t>天内提交最终报告及有关资料。</w:t>
      </w:r>
    </w:p>
    <w:p>
      <w:pPr>
        <w:pStyle w:val="65"/>
        <w:widowControl/>
        <w:spacing w:afterLines="0"/>
        <w:ind w:left="0"/>
        <w:rPr>
          <w:rFonts w:ascii="宋体" w:hAnsi="宋体" w:eastAsia="宋体" w:cs="宋体"/>
          <w:bCs/>
        </w:rPr>
      </w:pPr>
      <w:bookmarkStart w:id="720" w:name="_Toc54862310"/>
      <w:r>
        <w:rPr>
          <w:rFonts w:ascii="宋体" w:hAnsi="宋体" w:eastAsia="宋体" w:cs="宋体"/>
          <w:bCs/>
        </w:rPr>
        <w:t xml:space="preserve">17.3 </w:t>
      </w:r>
      <w:r>
        <w:rPr>
          <w:rFonts w:hint="eastAsia" w:ascii="宋体" w:hAnsi="宋体" w:eastAsia="宋体" w:cs="宋体"/>
          <w:bCs/>
        </w:rPr>
        <w:t>将损失减至最小的义务</w:t>
      </w:r>
      <w:bookmarkEnd w:id="720"/>
    </w:p>
    <w:p>
      <w:pPr>
        <w:spacing w:line="360" w:lineRule="auto"/>
        <w:ind w:firstLine="600"/>
        <w:rPr>
          <w:sz w:val="24"/>
          <w:szCs w:val="24"/>
        </w:rPr>
      </w:pPr>
      <w:r>
        <w:rPr>
          <w:rFonts w:hint="eastAsia"/>
          <w:sz w:val="24"/>
          <w:szCs w:val="24"/>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pPr>
        <w:pStyle w:val="65"/>
        <w:widowControl/>
        <w:spacing w:afterLines="0"/>
        <w:ind w:left="0"/>
        <w:rPr>
          <w:rFonts w:ascii="宋体" w:hAnsi="宋体" w:eastAsia="宋体" w:cs="宋体"/>
        </w:rPr>
      </w:pPr>
      <w:bookmarkStart w:id="721" w:name="_Ref531958172"/>
      <w:bookmarkStart w:id="722" w:name="_Ref531958170"/>
      <w:bookmarkStart w:id="723" w:name="_Toc54862311"/>
      <w:bookmarkStart w:id="724" w:name="_Ref3840916"/>
      <w:r>
        <w:rPr>
          <w:rFonts w:ascii="宋体" w:hAnsi="宋体" w:eastAsia="宋体" w:cs="宋体"/>
        </w:rPr>
        <w:t xml:space="preserve">17.4 </w:t>
      </w:r>
      <w:r>
        <w:rPr>
          <w:rFonts w:hint="eastAsia" w:ascii="宋体" w:hAnsi="宋体" w:eastAsia="宋体" w:cs="宋体"/>
        </w:rPr>
        <w:t>不可抗力后果</w:t>
      </w:r>
      <w:bookmarkEnd w:id="721"/>
      <w:bookmarkEnd w:id="722"/>
      <w:r>
        <w:rPr>
          <w:rFonts w:hint="eastAsia" w:ascii="宋体" w:hAnsi="宋体" w:eastAsia="宋体" w:cs="宋体"/>
        </w:rPr>
        <w:t>的承担</w:t>
      </w:r>
      <w:bookmarkEnd w:id="723"/>
      <w:bookmarkEnd w:id="724"/>
      <w:r>
        <w:rPr>
          <w:rFonts w:ascii="宋体" w:hAnsi="宋体" w:eastAsia="宋体" w:cs="宋体"/>
        </w:rPr>
        <w:t xml:space="preserve"> </w:t>
      </w:r>
    </w:p>
    <w:p>
      <w:pPr>
        <w:spacing w:line="360" w:lineRule="auto"/>
        <w:ind w:firstLine="600"/>
        <w:rPr>
          <w:sz w:val="24"/>
          <w:szCs w:val="24"/>
        </w:rPr>
      </w:pPr>
      <w:r>
        <w:rPr>
          <w:rFonts w:hint="eastAsia"/>
          <w:sz w:val="24"/>
          <w:szCs w:val="24"/>
        </w:rPr>
        <w:t>不可抗力导致的人员伤亡、财产损失、费用增加和（或）工期延误等后果，由合同当事人按以下原则承担：</w:t>
      </w:r>
    </w:p>
    <w:p>
      <w:pPr>
        <w:spacing w:line="360" w:lineRule="auto"/>
        <w:ind w:firstLine="6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永久工程，包括已运至施工现场的材料和工程设备的损害，以及因工程损害造成的第三人人员伤亡和财产损失由发包人承担；</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承包人提供的施工设备的损坏由承包人承担；</w:t>
      </w:r>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发包人和承包人各自承担其人员伤亡及其他财产损失；</w:t>
      </w:r>
    </w:p>
    <w:p>
      <w:pPr>
        <w:spacing w:line="360" w:lineRule="auto"/>
        <w:ind w:firstLine="6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因不可抗力影响承包人履行合同约定的义务，已经引起或将引起工期延误的，应当顺延工期，由此导致承包人停工的费用损失由发包人和承包人合理分担，</w:t>
      </w:r>
      <w:bookmarkStart w:id="725" w:name="_Hlk51507024"/>
      <w:r>
        <w:rPr>
          <w:rFonts w:hint="eastAsia"/>
          <w:sz w:val="24"/>
          <w:szCs w:val="24"/>
        </w:rPr>
        <w:t>停工期间必须支付的现场必要的工人工资</w:t>
      </w:r>
      <w:bookmarkEnd w:id="725"/>
      <w:r>
        <w:rPr>
          <w:rFonts w:hint="eastAsia"/>
          <w:sz w:val="24"/>
          <w:szCs w:val="24"/>
        </w:rPr>
        <w:t>由发包人承担；</w:t>
      </w:r>
    </w:p>
    <w:p>
      <w:pPr>
        <w:spacing w:line="360" w:lineRule="auto"/>
        <w:ind w:firstLine="6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因不可抗力引起或将引起工期延误，发包人指示赶工的，由此增加的赶工费用由发包人承担；</w:t>
      </w:r>
    </w:p>
    <w:p>
      <w:pPr>
        <w:spacing w:line="360" w:lineRule="auto"/>
        <w:ind w:firstLine="6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承包人在停工期间按照工程师或发包人要求照管、清理和修复工程的费用由发包人承担。</w:t>
      </w:r>
    </w:p>
    <w:p>
      <w:pPr>
        <w:spacing w:line="360" w:lineRule="auto"/>
        <w:ind w:firstLine="600"/>
        <w:rPr>
          <w:sz w:val="24"/>
          <w:szCs w:val="24"/>
        </w:rPr>
      </w:pPr>
      <w:r>
        <w:rPr>
          <w:rFonts w:hint="eastAsia"/>
          <w:sz w:val="24"/>
          <w:szCs w:val="24"/>
        </w:rPr>
        <w:t>不可抗力引起的后果及造成的损失由合同当事人按照法律规定及合同约定各自承担。不可抗力发生前已完成的工程应当按照合同约定进行支付。</w:t>
      </w:r>
    </w:p>
    <w:p>
      <w:pPr>
        <w:pStyle w:val="65"/>
        <w:widowControl/>
        <w:spacing w:afterLines="0"/>
        <w:ind w:left="0"/>
        <w:rPr>
          <w:rFonts w:ascii="宋体" w:hAnsi="宋体" w:eastAsia="宋体" w:cs="宋体"/>
        </w:rPr>
      </w:pPr>
      <w:bookmarkStart w:id="726" w:name="_Toc54862312"/>
      <w:r>
        <w:rPr>
          <w:rFonts w:ascii="宋体" w:hAnsi="宋体" w:eastAsia="宋体" w:cs="宋体"/>
        </w:rPr>
        <w:t xml:space="preserve">17.5 </w:t>
      </w:r>
      <w:r>
        <w:rPr>
          <w:rFonts w:hint="eastAsia" w:ascii="宋体" w:hAnsi="宋体" w:eastAsia="宋体" w:cs="宋体"/>
        </w:rPr>
        <w:t>不可抗力影响分包人</w:t>
      </w:r>
      <w:bookmarkEnd w:id="726"/>
      <w:r>
        <w:rPr>
          <w:rFonts w:ascii="宋体" w:hAnsi="宋体" w:eastAsia="宋体" w:cs="宋体"/>
        </w:rPr>
        <w:t xml:space="preserve"> </w:t>
      </w:r>
    </w:p>
    <w:p>
      <w:pPr>
        <w:spacing w:line="360" w:lineRule="auto"/>
        <w:ind w:firstLine="600"/>
        <w:rPr>
          <w:sz w:val="24"/>
          <w:szCs w:val="24"/>
        </w:rPr>
      </w:pPr>
      <w:r>
        <w:rPr>
          <w:rFonts w:hint="eastAsia"/>
          <w:sz w:val="24"/>
          <w:szCs w:val="24"/>
        </w:rPr>
        <w:t>分包人根据分包合同的约定，有权获得更多或者更广的不可抗力而免除某些义务时，承包人不得以分包合同中不可抗力约定向发包人抗辩免除其义务。</w:t>
      </w:r>
    </w:p>
    <w:p>
      <w:pPr>
        <w:pStyle w:val="65"/>
        <w:widowControl/>
        <w:spacing w:afterLines="0"/>
        <w:ind w:left="0"/>
        <w:rPr>
          <w:rFonts w:ascii="宋体" w:hAnsi="宋体" w:eastAsia="宋体" w:cs="宋体"/>
        </w:rPr>
      </w:pPr>
      <w:bookmarkStart w:id="727" w:name="_Ref531958181"/>
      <w:bookmarkStart w:id="728" w:name="_Ref531958184"/>
      <w:bookmarkStart w:id="729" w:name="_Ref4538024"/>
      <w:bookmarkStart w:id="730" w:name="_Ref3840892"/>
      <w:bookmarkStart w:id="731" w:name="_Toc54862313"/>
      <w:r>
        <w:rPr>
          <w:rFonts w:ascii="宋体" w:hAnsi="宋体" w:eastAsia="宋体" w:cs="宋体"/>
        </w:rPr>
        <w:t xml:space="preserve">17.6 </w:t>
      </w:r>
      <w:r>
        <w:rPr>
          <w:rFonts w:hint="eastAsia" w:ascii="宋体" w:hAnsi="宋体" w:eastAsia="宋体" w:cs="宋体"/>
        </w:rPr>
        <w:t>因不可抗力解除</w:t>
      </w:r>
      <w:bookmarkEnd w:id="727"/>
      <w:bookmarkEnd w:id="728"/>
      <w:r>
        <w:rPr>
          <w:rFonts w:hint="eastAsia" w:ascii="宋体" w:hAnsi="宋体" w:eastAsia="宋体" w:cs="宋体"/>
        </w:rPr>
        <w:t>合同</w:t>
      </w:r>
      <w:bookmarkEnd w:id="729"/>
      <w:bookmarkEnd w:id="730"/>
      <w:bookmarkEnd w:id="731"/>
      <w:r>
        <w:rPr>
          <w:rFonts w:ascii="宋体" w:hAnsi="宋体" w:eastAsia="宋体" w:cs="宋体"/>
        </w:rPr>
        <w:t xml:space="preserve"> </w:t>
      </w:r>
    </w:p>
    <w:p>
      <w:pPr>
        <w:spacing w:line="360" w:lineRule="auto"/>
        <w:ind w:firstLine="600"/>
        <w:rPr>
          <w:sz w:val="24"/>
          <w:szCs w:val="24"/>
        </w:rPr>
      </w:pPr>
      <w:r>
        <w:rPr>
          <w:rFonts w:hint="eastAsia"/>
          <w:sz w:val="24"/>
          <w:szCs w:val="24"/>
        </w:rPr>
        <w:t>因单次不可抗力导致合同无法履行连续超过</w:t>
      </w:r>
      <w:r>
        <w:rPr>
          <w:sz w:val="24"/>
          <w:szCs w:val="24"/>
        </w:rPr>
        <w:t>84</w:t>
      </w:r>
      <w:r>
        <w:rPr>
          <w:rFonts w:hint="eastAsia"/>
          <w:sz w:val="24"/>
          <w:szCs w:val="24"/>
        </w:rPr>
        <w:t>天或累计超过</w:t>
      </w:r>
      <w:r>
        <w:rPr>
          <w:sz w:val="24"/>
          <w:szCs w:val="24"/>
        </w:rPr>
        <w:t>140</w:t>
      </w:r>
      <w:r>
        <w:rPr>
          <w:rFonts w:hint="eastAsia"/>
          <w:sz w:val="24"/>
          <w:szCs w:val="24"/>
        </w:rPr>
        <w:t>天的，发包人和承包人均有权解除合同。合同解除后，承包人应按照第</w:t>
      </w:r>
      <w:r>
        <w:rPr>
          <w:sz w:val="24"/>
          <w:szCs w:val="24"/>
        </w:rPr>
        <w:t>10.5</w:t>
      </w:r>
      <w:r>
        <w:rPr>
          <w:rFonts w:hint="eastAsia"/>
          <w:sz w:val="24"/>
          <w:szCs w:val="24"/>
        </w:rPr>
        <w:t>款</w:t>
      </w:r>
      <w:r>
        <w:rPr>
          <w:sz w:val="24"/>
          <w:szCs w:val="24"/>
        </w:rPr>
        <w:t>[</w:t>
      </w:r>
      <w:r>
        <w:rPr>
          <w:rFonts w:hint="eastAsia"/>
          <w:sz w:val="24"/>
          <w:szCs w:val="24"/>
        </w:rPr>
        <w:t>竣工退场</w:t>
      </w:r>
      <w:r>
        <w:rPr>
          <w:sz w:val="24"/>
          <w:szCs w:val="24"/>
        </w:rPr>
        <w:t>]</w:t>
      </w:r>
      <w:r>
        <w:rPr>
          <w:rFonts w:hint="eastAsia"/>
          <w:sz w:val="24"/>
          <w:szCs w:val="24"/>
        </w:rPr>
        <w:t>的规定进行。由双方当事人按照第</w:t>
      </w:r>
      <w:r>
        <w:rPr>
          <w:sz w:val="24"/>
          <w:szCs w:val="24"/>
        </w:rPr>
        <w:t>3.6</w:t>
      </w:r>
      <w:r>
        <w:rPr>
          <w:rFonts w:hint="eastAsia"/>
          <w:sz w:val="24"/>
          <w:szCs w:val="24"/>
        </w:rPr>
        <w:t>款</w:t>
      </w:r>
      <w:r>
        <w:rPr>
          <w:sz w:val="24"/>
          <w:szCs w:val="24"/>
        </w:rPr>
        <w:t>[</w:t>
      </w:r>
      <w:r>
        <w:rPr>
          <w:rFonts w:hint="eastAsia"/>
          <w:sz w:val="24"/>
          <w:szCs w:val="24"/>
        </w:rPr>
        <w:t>商定或确定</w:t>
      </w:r>
      <w:r>
        <w:rPr>
          <w:sz w:val="24"/>
          <w:szCs w:val="24"/>
        </w:rPr>
        <w:t>]</w:t>
      </w:r>
      <w:r>
        <w:rPr>
          <w:rFonts w:hint="eastAsia"/>
          <w:sz w:val="24"/>
          <w:szCs w:val="24"/>
        </w:rPr>
        <w:t>商定或确定发包人应支付的款项，该款项包括：</w:t>
      </w:r>
    </w:p>
    <w:p>
      <w:pPr>
        <w:spacing w:line="360" w:lineRule="auto"/>
        <w:ind w:firstLine="6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合同解除前承包人已完成工作的价款；</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发包人指示承包人退货或解除订货合同而产生的费用，或因不能退货或解除合同而产生的损失；</w:t>
      </w:r>
    </w:p>
    <w:p>
      <w:pPr>
        <w:spacing w:line="360" w:lineRule="auto"/>
        <w:ind w:firstLine="6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承包人撤离施工现场以及遣散承包人人员的费用；</w:t>
      </w:r>
    </w:p>
    <w:p>
      <w:pPr>
        <w:spacing w:line="360" w:lineRule="auto"/>
        <w:ind w:firstLine="6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按照合同约定在合同解除前应支付给承包人的其他款项；</w:t>
      </w:r>
    </w:p>
    <w:p>
      <w:pPr>
        <w:spacing w:line="360" w:lineRule="auto"/>
        <w:ind w:firstLine="6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扣减承包人按照合同约定应向发包人支付的款项；</w:t>
      </w:r>
    </w:p>
    <w:p>
      <w:pPr>
        <w:spacing w:line="360" w:lineRule="auto"/>
        <w:ind w:firstLine="600"/>
        <w:rPr>
          <w:sz w:val="24"/>
          <w:szCs w:val="24"/>
        </w:rPr>
      </w:pPr>
      <w:r>
        <w:rPr>
          <w:rFonts w:hint="eastAsia"/>
          <w:sz w:val="24"/>
          <w:szCs w:val="24"/>
        </w:rPr>
        <w:t>（</w:t>
      </w:r>
      <w:r>
        <w:rPr>
          <w:sz w:val="24"/>
          <w:szCs w:val="24"/>
        </w:rPr>
        <w:t>7</w:t>
      </w:r>
      <w:r>
        <w:rPr>
          <w:rFonts w:hint="eastAsia"/>
          <w:sz w:val="24"/>
          <w:szCs w:val="24"/>
        </w:rPr>
        <w:t>）</w:t>
      </w:r>
      <w:r>
        <w:rPr>
          <w:sz w:val="24"/>
          <w:szCs w:val="24"/>
        </w:rPr>
        <w:t xml:space="preserve"> </w:t>
      </w:r>
      <w:r>
        <w:rPr>
          <w:rFonts w:hint="eastAsia"/>
          <w:sz w:val="24"/>
          <w:szCs w:val="24"/>
        </w:rPr>
        <w:t>双方商定或确定的其他款项。</w:t>
      </w:r>
    </w:p>
    <w:p>
      <w:pPr>
        <w:spacing w:line="360" w:lineRule="auto"/>
        <w:ind w:firstLine="600"/>
        <w:rPr>
          <w:sz w:val="24"/>
          <w:szCs w:val="24"/>
        </w:rPr>
      </w:pPr>
      <w:r>
        <w:rPr>
          <w:rFonts w:hint="eastAsia"/>
          <w:sz w:val="24"/>
          <w:szCs w:val="24"/>
        </w:rPr>
        <w:t>除专用合同条件另有约定外，合同解除后，发包人应当在商定或确定上述款项后</w:t>
      </w:r>
      <w:r>
        <w:rPr>
          <w:sz w:val="24"/>
          <w:szCs w:val="24"/>
        </w:rPr>
        <w:t>28</w:t>
      </w:r>
      <w:r>
        <w:rPr>
          <w:rFonts w:hint="eastAsia"/>
          <w:sz w:val="24"/>
          <w:szCs w:val="24"/>
        </w:rPr>
        <w:t>天内完成上述款项的支付。</w:t>
      </w:r>
    </w:p>
    <w:p>
      <w:pPr>
        <w:pStyle w:val="64"/>
        <w:numPr>
          <w:ilvl w:val="0"/>
          <w:numId w:val="0"/>
        </w:numPr>
        <w:spacing w:before="0"/>
        <w:rPr>
          <w:rFonts w:ascii="宋体"/>
          <w:b/>
          <w:sz w:val="24"/>
          <w:szCs w:val="24"/>
        </w:rPr>
      </w:pPr>
      <w:bookmarkStart w:id="732" w:name="_Toc54862314"/>
      <w:bookmarkStart w:id="733" w:name="_Ref11848274"/>
      <w:bookmarkStart w:id="734" w:name="_Ref11848264"/>
      <w:r>
        <w:rPr>
          <w:rFonts w:hint="eastAsia" w:ascii="宋体" w:hAnsi="宋体"/>
          <w:b/>
          <w:sz w:val="24"/>
          <w:szCs w:val="24"/>
        </w:rPr>
        <w:t>第</w:t>
      </w:r>
      <w:r>
        <w:rPr>
          <w:rFonts w:ascii="宋体" w:hAnsi="宋体"/>
          <w:b/>
          <w:sz w:val="24"/>
          <w:szCs w:val="24"/>
        </w:rPr>
        <w:t>18</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保险</w:t>
      </w:r>
      <w:bookmarkEnd w:id="715"/>
      <w:bookmarkEnd w:id="732"/>
      <w:bookmarkEnd w:id="733"/>
      <w:bookmarkEnd w:id="734"/>
      <w:r>
        <w:rPr>
          <w:rFonts w:ascii="宋体" w:hAnsi="宋体"/>
          <w:b/>
          <w:sz w:val="24"/>
          <w:szCs w:val="24"/>
        </w:rPr>
        <w:t xml:space="preserve"> </w:t>
      </w:r>
    </w:p>
    <w:p>
      <w:pPr>
        <w:pStyle w:val="65"/>
        <w:widowControl/>
        <w:spacing w:afterLines="0"/>
        <w:ind w:left="0"/>
        <w:rPr>
          <w:rFonts w:ascii="宋体" w:hAnsi="宋体" w:eastAsia="宋体" w:cs="宋体"/>
        </w:rPr>
      </w:pPr>
      <w:bookmarkStart w:id="735" w:name="_Ref3840730"/>
      <w:bookmarkStart w:id="736" w:name="_Toc54862315"/>
      <w:bookmarkStart w:id="737" w:name="_Ref3840734"/>
      <w:bookmarkStart w:id="738" w:name="_Ref531957911"/>
      <w:bookmarkStart w:id="739" w:name="_Ref531957914"/>
      <w:bookmarkStart w:id="740" w:name="_Toc351203616"/>
      <w:r>
        <w:rPr>
          <w:rFonts w:ascii="宋体" w:hAnsi="宋体" w:eastAsia="宋体" w:cs="宋体"/>
        </w:rPr>
        <w:t xml:space="preserve">18.1 </w:t>
      </w:r>
      <w:r>
        <w:rPr>
          <w:rFonts w:hint="eastAsia" w:ascii="宋体" w:hAnsi="宋体" w:eastAsia="宋体" w:cs="宋体"/>
        </w:rPr>
        <w:t>设计和工程保险</w:t>
      </w:r>
      <w:bookmarkEnd w:id="735"/>
      <w:bookmarkEnd w:id="736"/>
      <w:bookmarkEnd w:id="737"/>
    </w:p>
    <w:bookmarkEnd w:id="738"/>
    <w:bookmarkEnd w:id="739"/>
    <w:p>
      <w:pPr>
        <w:pStyle w:val="66"/>
        <w:spacing w:afterLines="0"/>
        <w:ind w:left="0"/>
        <w:rPr>
          <w:rFonts w:cs="宋体"/>
          <w:szCs w:val="24"/>
        </w:rPr>
      </w:pPr>
      <w:r>
        <w:rPr>
          <w:rFonts w:cs="宋体"/>
          <w:szCs w:val="24"/>
        </w:rPr>
        <w:t xml:space="preserve">18.1.1 </w:t>
      </w:r>
      <w:r>
        <w:rPr>
          <w:rFonts w:hint="eastAsia" w:cs="宋体"/>
          <w:szCs w:val="24"/>
        </w:rPr>
        <w:t>双方应按照专用合同条件的约定向双方同意的保险人投保建设工程设计责任险、建筑安装工程一切险等保险。具体的投保险种、保险范围、保险金额、保险费率、保险期限等有关内容应当在专用合同条件中明确约定。</w:t>
      </w:r>
    </w:p>
    <w:p>
      <w:pPr>
        <w:pStyle w:val="66"/>
        <w:spacing w:afterLines="0"/>
        <w:ind w:left="0"/>
        <w:rPr>
          <w:rFonts w:cs="宋体"/>
          <w:szCs w:val="24"/>
        </w:rPr>
      </w:pPr>
      <w:r>
        <w:rPr>
          <w:rFonts w:cs="宋体"/>
          <w:szCs w:val="24"/>
        </w:rPr>
        <w:t xml:space="preserve">18.1.2 </w:t>
      </w:r>
      <w:r>
        <w:rPr>
          <w:rFonts w:hint="eastAsia" w:cs="宋体"/>
          <w:szCs w:val="24"/>
        </w:rPr>
        <w:t>双方应按照专用合同条件的约定投保第三者责任险，并在缺陷责任期终止证书颁发前维持其持续有效。第三者责任险最低投保额应在专用合同条件内约定。</w:t>
      </w:r>
    </w:p>
    <w:p>
      <w:pPr>
        <w:pStyle w:val="65"/>
        <w:widowControl/>
        <w:spacing w:afterLines="0"/>
        <w:ind w:left="0"/>
        <w:rPr>
          <w:rFonts w:ascii="宋体" w:hAnsi="宋体" w:eastAsia="宋体" w:cs="宋体"/>
          <w:b w:val="0"/>
          <w:bCs/>
        </w:rPr>
      </w:pPr>
      <w:bookmarkStart w:id="741" w:name="_Toc54862316"/>
      <w:bookmarkStart w:id="742" w:name="_Ref3840683"/>
      <w:r>
        <w:rPr>
          <w:rFonts w:ascii="宋体" w:hAnsi="宋体" w:eastAsia="宋体" w:cs="宋体"/>
        </w:rPr>
        <w:t xml:space="preserve">18.2 </w:t>
      </w:r>
      <w:r>
        <w:rPr>
          <w:rFonts w:hint="eastAsia" w:ascii="宋体" w:hAnsi="宋体" w:eastAsia="宋体" w:cs="宋体"/>
        </w:rPr>
        <w:t>工伤和意外伤害保险</w:t>
      </w:r>
      <w:bookmarkEnd w:id="741"/>
      <w:bookmarkEnd w:id="742"/>
    </w:p>
    <w:p>
      <w:pPr>
        <w:pStyle w:val="66"/>
        <w:spacing w:afterLines="0"/>
        <w:ind w:left="0"/>
        <w:rPr>
          <w:rFonts w:cs="宋体"/>
          <w:szCs w:val="24"/>
        </w:rPr>
      </w:pPr>
      <w:r>
        <w:rPr>
          <w:rFonts w:cs="宋体"/>
          <w:szCs w:val="24"/>
        </w:rPr>
        <w:t xml:space="preserve">18.2.1 </w:t>
      </w:r>
      <w:r>
        <w:rPr>
          <w:rFonts w:hint="eastAsia" w:cs="宋体"/>
          <w:szCs w:val="24"/>
        </w:rPr>
        <w:t>发包人应依照法律规定为其在施工现场的雇用人员办理工伤保险，缴纳工伤保险费；并要求工程师及由发包人为履行合同聘请的第三方在施工现场的雇用人员依法办理工伤保险。</w:t>
      </w:r>
    </w:p>
    <w:p>
      <w:pPr>
        <w:pStyle w:val="66"/>
        <w:spacing w:afterLines="0"/>
        <w:ind w:left="0"/>
        <w:rPr>
          <w:rFonts w:cs="宋体"/>
          <w:szCs w:val="24"/>
        </w:rPr>
      </w:pPr>
      <w:r>
        <w:rPr>
          <w:rFonts w:cs="宋体"/>
          <w:szCs w:val="24"/>
        </w:rPr>
        <w:t xml:space="preserve">18.2.2 </w:t>
      </w:r>
      <w:r>
        <w:rPr>
          <w:rFonts w:hint="eastAsia" w:cs="宋体"/>
          <w:szCs w:val="24"/>
        </w:rPr>
        <w:t>承包人应依照法律规定为其履行合同雇用的全部人员办理工伤保险，缴纳工伤保险费，并要求分包人及由承包人为履行合同聘请的第三方雇用的全部人员依法办理工伤保险。</w:t>
      </w:r>
    </w:p>
    <w:p>
      <w:pPr>
        <w:pStyle w:val="66"/>
        <w:spacing w:afterLines="0"/>
        <w:ind w:left="0"/>
        <w:rPr>
          <w:rFonts w:cs="宋体"/>
          <w:szCs w:val="24"/>
        </w:rPr>
      </w:pPr>
      <w:r>
        <w:rPr>
          <w:rFonts w:cs="宋体"/>
          <w:szCs w:val="24"/>
        </w:rPr>
        <w:t xml:space="preserve">18.2.3 </w:t>
      </w:r>
      <w:r>
        <w:rPr>
          <w:rFonts w:hint="eastAsia" w:cs="宋体"/>
          <w:szCs w:val="24"/>
        </w:rPr>
        <w:t>发包人和承包人可以为其施工现场的全部人员办理意外伤害保险并支付保险费，包括其员工及为履行合同聘请的第三方的人员，具体事项由合同当事人在专用合同条件约定。</w:t>
      </w:r>
    </w:p>
    <w:p>
      <w:pPr>
        <w:pStyle w:val="65"/>
        <w:widowControl/>
        <w:spacing w:afterLines="0"/>
        <w:ind w:left="0"/>
        <w:rPr>
          <w:rFonts w:ascii="宋体" w:hAnsi="宋体" w:eastAsia="宋体" w:cs="宋体"/>
        </w:rPr>
      </w:pPr>
      <w:bookmarkStart w:id="743" w:name="_Toc54862317"/>
      <w:bookmarkStart w:id="744" w:name="_Ref3840782"/>
      <w:r>
        <w:rPr>
          <w:rFonts w:ascii="宋体" w:hAnsi="宋体" w:eastAsia="宋体" w:cs="宋体"/>
        </w:rPr>
        <w:t xml:space="preserve">18.3 </w:t>
      </w:r>
      <w:r>
        <w:rPr>
          <w:rFonts w:hint="eastAsia" w:ascii="宋体" w:hAnsi="宋体" w:eastAsia="宋体" w:cs="宋体"/>
        </w:rPr>
        <w:t>货物保险</w:t>
      </w:r>
      <w:bookmarkEnd w:id="743"/>
      <w:bookmarkEnd w:id="744"/>
    </w:p>
    <w:p>
      <w:pPr>
        <w:spacing w:line="360" w:lineRule="auto"/>
        <w:ind w:firstLine="600"/>
        <w:rPr>
          <w:sz w:val="24"/>
          <w:szCs w:val="24"/>
        </w:rPr>
      </w:pPr>
      <w:r>
        <w:rPr>
          <w:rFonts w:hint="eastAsia"/>
          <w:sz w:val="24"/>
          <w:szCs w:val="24"/>
        </w:rPr>
        <w:t>承包人应</w:t>
      </w:r>
      <w:r>
        <w:rPr>
          <w:rFonts w:hint="eastAsia"/>
          <w:iCs/>
          <w:sz w:val="24"/>
          <w:szCs w:val="24"/>
        </w:rPr>
        <w:t>按照</w:t>
      </w:r>
      <w:r>
        <w:rPr>
          <w:rFonts w:hint="eastAsia"/>
          <w:sz w:val="24"/>
          <w:szCs w:val="24"/>
        </w:rPr>
        <w:t>专用合同条件的约定为</w:t>
      </w:r>
      <w:r>
        <w:rPr>
          <w:rFonts w:hint="eastAsia"/>
          <w:iCs/>
          <w:sz w:val="24"/>
          <w:szCs w:val="24"/>
        </w:rPr>
        <w:t>运抵现场的</w:t>
      </w:r>
      <w:r>
        <w:rPr>
          <w:rFonts w:hint="eastAsia"/>
          <w:sz w:val="24"/>
          <w:szCs w:val="24"/>
        </w:rPr>
        <w:t>施工设备、材料、工程设备和临时工程等办理财产保险，保险期限自上述货物运抵现场至其不再为工程所需要为止。</w:t>
      </w:r>
    </w:p>
    <w:p>
      <w:pPr>
        <w:pStyle w:val="65"/>
        <w:widowControl/>
        <w:spacing w:afterLines="0"/>
        <w:ind w:left="0"/>
        <w:rPr>
          <w:rFonts w:ascii="宋体" w:hAnsi="宋体" w:eastAsia="宋体" w:cs="宋体"/>
        </w:rPr>
      </w:pPr>
      <w:bookmarkStart w:id="745" w:name="_Toc54862318"/>
      <w:bookmarkStart w:id="746" w:name="_Ref4692238"/>
      <w:bookmarkStart w:id="747" w:name="_Ref4692231"/>
      <w:r>
        <w:rPr>
          <w:rFonts w:ascii="宋体" w:hAnsi="宋体" w:eastAsia="宋体" w:cs="宋体"/>
        </w:rPr>
        <w:t xml:space="preserve">18.4 </w:t>
      </w:r>
      <w:r>
        <w:rPr>
          <w:rFonts w:hint="eastAsia" w:ascii="宋体" w:hAnsi="宋体" w:eastAsia="宋体" w:cs="宋体"/>
        </w:rPr>
        <w:t>其他保险</w:t>
      </w:r>
      <w:bookmarkEnd w:id="745"/>
      <w:bookmarkEnd w:id="746"/>
      <w:bookmarkEnd w:id="747"/>
    </w:p>
    <w:p>
      <w:pPr>
        <w:spacing w:line="360" w:lineRule="auto"/>
        <w:ind w:firstLine="600"/>
        <w:rPr>
          <w:sz w:val="24"/>
          <w:szCs w:val="24"/>
        </w:rPr>
      </w:pPr>
      <w:r>
        <w:rPr>
          <w:rFonts w:hint="eastAsia"/>
          <w:sz w:val="24"/>
          <w:szCs w:val="24"/>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w:t>
      </w:r>
      <w:bookmarkEnd w:id="740"/>
      <w:r>
        <w:rPr>
          <w:rFonts w:hint="eastAsia"/>
          <w:sz w:val="24"/>
          <w:szCs w:val="24"/>
        </w:rPr>
        <w:t>保费用包含在合同价格中，但在合同执行过程中，新颁布适用的法律法规规定由承包人投保的强制保险，应根据本合同</w:t>
      </w:r>
      <w:bookmarkStart w:id="748" w:name="_Toc351203617"/>
      <w:bookmarkStart w:id="749" w:name="_Toc296346627"/>
      <w:bookmarkStart w:id="750" w:name="_Toc296503126"/>
      <w:bookmarkStart w:id="751" w:name="_Toc337558832"/>
      <w:r>
        <w:rPr>
          <w:rFonts w:hint="eastAsia"/>
          <w:sz w:val="24"/>
          <w:szCs w:val="24"/>
        </w:rPr>
        <w:t>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的约定增加合同价款。</w:t>
      </w:r>
    </w:p>
    <w:p>
      <w:pPr>
        <w:pStyle w:val="65"/>
        <w:widowControl/>
        <w:spacing w:afterLines="0"/>
        <w:ind w:left="0"/>
        <w:rPr>
          <w:rFonts w:ascii="宋体" w:hAnsi="宋体" w:eastAsia="宋体" w:cs="宋体"/>
        </w:rPr>
      </w:pPr>
      <w:bookmarkStart w:id="752" w:name="_Ref3840659"/>
      <w:bookmarkStart w:id="753" w:name="_Toc54862319"/>
      <w:r>
        <w:rPr>
          <w:rFonts w:ascii="宋体" w:hAnsi="宋体" w:eastAsia="宋体" w:cs="宋体"/>
        </w:rPr>
        <w:t xml:space="preserve">18.5 </w:t>
      </w:r>
      <w:r>
        <w:rPr>
          <w:rFonts w:hint="eastAsia" w:ascii="宋体" w:hAnsi="宋体" w:eastAsia="宋体" w:cs="宋体"/>
        </w:rPr>
        <w:t>对各项保险的一般要求</w:t>
      </w:r>
      <w:bookmarkEnd w:id="752"/>
      <w:bookmarkEnd w:id="753"/>
    </w:p>
    <w:p>
      <w:pPr>
        <w:pStyle w:val="66"/>
        <w:spacing w:afterLines="0"/>
        <w:ind w:left="0"/>
        <w:rPr>
          <w:rFonts w:cs="宋体"/>
          <w:szCs w:val="24"/>
        </w:rPr>
      </w:pPr>
      <w:r>
        <w:rPr>
          <w:rFonts w:cs="宋体"/>
          <w:szCs w:val="24"/>
        </w:rPr>
        <w:t xml:space="preserve">18.5.1 </w:t>
      </w:r>
      <w:r>
        <w:rPr>
          <w:rFonts w:hint="eastAsia" w:cs="宋体"/>
          <w:szCs w:val="24"/>
        </w:rPr>
        <w:t>持续保险</w:t>
      </w:r>
    </w:p>
    <w:p>
      <w:pPr>
        <w:spacing w:line="360" w:lineRule="auto"/>
        <w:ind w:firstLine="600"/>
        <w:rPr>
          <w:sz w:val="24"/>
          <w:szCs w:val="24"/>
        </w:rPr>
      </w:pPr>
      <w:r>
        <w:rPr>
          <w:rFonts w:hint="eastAsia"/>
          <w:sz w:val="24"/>
          <w:szCs w:val="24"/>
        </w:rPr>
        <w:t>合同当事人应与保险人保持联系，使保险人能够随时了</w:t>
      </w:r>
      <w:bookmarkEnd w:id="748"/>
      <w:r>
        <w:rPr>
          <w:rFonts w:hint="eastAsia"/>
          <w:sz w:val="24"/>
          <w:szCs w:val="24"/>
        </w:rPr>
        <w:t>解</w:t>
      </w:r>
      <w:bookmarkEnd w:id="749"/>
      <w:bookmarkEnd w:id="750"/>
      <w:bookmarkEnd w:id="751"/>
      <w:r>
        <w:rPr>
          <w:rFonts w:hint="eastAsia"/>
          <w:sz w:val="24"/>
          <w:szCs w:val="24"/>
        </w:rPr>
        <w:t>工程实施中的变动，并确保按保险合同条款要求持续保险。</w:t>
      </w:r>
    </w:p>
    <w:p>
      <w:pPr>
        <w:pStyle w:val="66"/>
        <w:spacing w:afterLines="0"/>
        <w:ind w:left="0"/>
        <w:rPr>
          <w:rFonts w:cs="宋体"/>
          <w:szCs w:val="24"/>
        </w:rPr>
      </w:pPr>
      <w:bookmarkStart w:id="754" w:name="_Ref4777650"/>
      <w:r>
        <w:rPr>
          <w:rFonts w:cs="宋体"/>
          <w:szCs w:val="24"/>
        </w:rPr>
        <w:t xml:space="preserve">18.5.2 </w:t>
      </w:r>
      <w:r>
        <w:rPr>
          <w:rFonts w:hint="eastAsia" w:cs="宋体"/>
          <w:szCs w:val="24"/>
        </w:rPr>
        <w:t>保险凭证</w:t>
      </w:r>
      <w:bookmarkEnd w:id="754"/>
    </w:p>
    <w:p>
      <w:pPr>
        <w:spacing w:line="360" w:lineRule="auto"/>
        <w:ind w:firstLine="600"/>
        <w:rPr>
          <w:sz w:val="24"/>
          <w:szCs w:val="24"/>
        </w:rPr>
      </w:pPr>
      <w:r>
        <w:rPr>
          <w:rFonts w:hint="eastAsia"/>
          <w:sz w:val="24"/>
          <w:szCs w:val="24"/>
        </w:rPr>
        <w:t>合同当事人应及时向另一方当事人提交其已投保的各项保险的凭证和保险单复印件，保险单必须与专用合同条件约定的条件保持一致。</w:t>
      </w:r>
    </w:p>
    <w:p>
      <w:pPr>
        <w:pStyle w:val="66"/>
        <w:spacing w:afterLines="0"/>
        <w:ind w:left="0"/>
        <w:rPr>
          <w:rFonts w:cs="宋体"/>
          <w:szCs w:val="24"/>
        </w:rPr>
      </w:pPr>
      <w:r>
        <w:rPr>
          <w:rFonts w:cs="宋体"/>
          <w:szCs w:val="24"/>
        </w:rPr>
        <w:t xml:space="preserve">18.5.3 </w:t>
      </w:r>
      <w:r>
        <w:rPr>
          <w:rFonts w:hint="eastAsia" w:cs="宋体"/>
          <w:szCs w:val="24"/>
        </w:rPr>
        <w:t>未按约定投保的补救</w:t>
      </w:r>
    </w:p>
    <w:p>
      <w:pPr>
        <w:spacing w:line="360" w:lineRule="auto"/>
        <w:ind w:firstLine="600"/>
        <w:rPr>
          <w:sz w:val="24"/>
          <w:szCs w:val="24"/>
        </w:rPr>
      </w:pPr>
      <w:r>
        <w:rPr>
          <w:rFonts w:hint="eastAsia"/>
          <w:sz w:val="24"/>
          <w:szCs w:val="24"/>
        </w:rPr>
        <w:t>负有投保义务的一方当事人未按合同约定办理保险，或未能使保险持续有效的，则另一方当事人可代为办理，所需费用由负有投保义务的一方当事人承担。</w:t>
      </w:r>
    </w:p>
    <w:p>
      <w:pPr>
        <w:spacing w:line="360" w:lineRule="auto"/>
        <w:ind w:firstLine="600"/>
        <w:rPr>
          <w:sz w:val="24"/>
          <w:szCs w:val="24"/>
        </w:rPr>
      </w:pPr>
      <w:r>
        <w:rPr>
          <w:rFonts w:hint="eastAsia"/>
          <w:sz w:val="24"/>
          <w:szCs w:val="24"/>
        </w:rPr>
        <w:t>负有投保</w:t>
      </w:r>
      <w:bookmarkStart w:id="755" w:name="_Toc351203619"/>
      <w:bookmarkStart w:id="756" w:name="_Toc337558834"/>
      <w:r>
        <w:rPr>
          <w:rFonts w:hint="eastAsia"/>
          <w:sz w:val="24"/>
          <w:szCs w:val="24"/>
        </w:rPr>
        <w:t>义务的一方当事人未</w:t>
      </w:r>
      <w:bookmarkEnd w:id="755"/>
      <w:r>
        <w:rPr>
          <w:rFonts w:hint="eastAsia"/>
          <w:sz w:val="24"/>
          <w:szCs w:val="24"/>
        </w:rPr>
        <w:t>按</w:t>
      </w:r>
      <w:bookmarkEnd w:id="756"/>
      <w:r>
        <w:rPr>
          <w:rFonts w:hint="eastAsia"/>
          <w:sz w:val="24"/>
          <w:szCs w:val="24"/>
        </w:rPr>
        <w:t>合同约定办理某项保险，导致受益人未能得到足额赔偿的，由负有投保义务的一方当事人负责按照原应从该项保险得到的保险金数额进行补足。</w:t>
      </w:r>
    </w:p>
    <w:p>
      <w:pPr>
        <w:pStyle w:val="66"/>
        <w:spacing w:afterLines="0"/>
        <w:ind w:left="0"/>
        <w:rPr>
          <w:rFonts w:cs="宋体"/>
          <w:szCs w:val="24"/>
        </w:rPr>
      </w:pPr>
      <w:bookmarkStart w:id="757" w:name="_Ref4692685"/>
      <w:r>
        <w:rPr>
          <w:rFonts w:cs="宋体"/>
          <w:szCs w:val="24"/>
        </w:rPr>
        <w:t xml:space="preserve">18.5.4 </w:t>
      </w:r>
      <w:r>
        <w:rPr>
          <w:rFonts w:hint="eastAsia" w:cs="宋体"/>
          <w:szCs w:val="24"/>
        </w:rPr>
        <w:t>通知义务</w:t>
      </w:r>
      <w:bookmarkEnd w:id="757"/>
    </w:p>
    <w:p>
      <w:pPr>
        <w:spacing w:line="360" w:lineRule="auto"/>
        <w:ind w:firstLine="600"/>
        <w:rPr>
          <w:sz w:val="24"/>
          <w:szCs w:val="24"/>
        </w:rPr>
      </w:pPr>
      <w:r>
        <w:rPr>
          <w:rFonts w:hint="eastAsia"/>
          <w:sz w:val="24"/>
          <w:szCs w:val="24"/>
        </w:rPr>
        <w:t>除专用合同条件另有约定外，任何一方当事人变更除工伤保险之外的保险合同时，应事先征得另一方当事人同意，并通知工程师。</w:t>
      </w:r>
    </w:p>
    <w:p>
      <w:pPr>
        <w:spacing w:line="360" w:lineRule="auto"/>
        <w:ind w:firstLine="600"/>
        <w:rPr>
          <w:sz w:val="24"/>
          <w:szCs w:val="24"/>
        </w:rPr>
      </w:pPr>
      <w:r>
        <w:rPr>
          <w:rFonts w:hint="eastAsia"/>
          <w:sz w:val="24"/>
          <w:szCs w:val="24"/>
        </w:rPr>
        <w:t>保险事故发生时，投保人应按照保险合同规定的条件和期限及时向保险人报告。发包人和承包人应当在知道保险事故发生后及时通知对方。</w:t>
      </w:r>
    </w:p>
    <w:p>
      <w:pPr>
        <w:spacing w:line="360" w:lineRule="auto"/>
        <w:ind w:firstLine="600"/>
        <w:rPr>
          <w:sz w:val="24"/>
          <w:szCs w:val="24"/>
        </w:rPr>
      </w:pPr>
      <w:r>
        <w:rPr>
          <w:rFonts w:hint="eastAsia"/>
          <w:sz w:val="24"/>
          <w:szCs w:val="24"/>
        </w:rPr>
        <w:t>双方按本条规定投保不减少双方在合同下的其他义务。</w:t>
      </w:r>
    </w:p>
    <w:p>
      <w:pPr>
        <w:pStyle w:val="64"/>
        <w:numPr>
          <w:ilvl w:val="0"/>
          <w:numId w:val="0"/>
        </w:numPr>
        <w:spacing w:before="0"/>
        <w:rPr>
          <w:rFonts w:ascii="宋体"/>
          <w:b/>
          <w:sz w:val="24"/>
          <w:szCs w:val="24"/>
        </w:rPr>
      </w:pPr>
      <w:bookmarkStart w:id="758" w:name="_Toc54862320"/>
      <w:bookmarkStart w:id="759" w:name="_Ref11874997"/>
      <w:r>
        <w:rPr>
          <w:rFonts w:hint="eastAsia" w:ascii="宋体" w:hAnsi="宋体"/>
          <w:b/>
          <w:sz w:val="24"/>
          <w:szCs w:val="24"/>
        </w:rPr>
        <w:t>第</w:t>
      </w:r>
      <w:r>
        <w:rPr>
          <w:rFonts w:ascii="宋体" w:hAnsi="宋体"/>
          <w:b/>
          <w:sz w:val="24"/>
          <w:szCs w:val="24"/>
        </w:rPr>
        <w:t>19</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索赔</w:t>
      </w:r>
      <w:bookmarkEnd w:id="694"/>
      <w:bookmarkEnd w:id="695"/>
      <w:bookmarkEnd w:id="758"/>
      <w:bookmarkEnd w:id="759"/>
      <w:r>
        <w:rPr>
          <w:rFonts w:ascii="宋体" w:hAnsi="宋体"/>
          <w:b/>
          <w:sz w:val="24"/>
          <w:szCs w:val="24"/>
        </w:rPr>
        <w:t xml:space="preserve"> </w:t>
      </w:r>
    </w:p>
    <w:p>
      <w:pPr>
        <w:pStyle w:val="65"/>
        <w:widowControl/>
        <w:spacing w:afterLines="0"/>
        <w:ind w:left="0"/>
        <w:rPr>
          <w:rFonts w:ascii="宋体" w:hAnsi="宋体" w:eastAsia="宋体" w:cs="宋体"/>
        </w:rPr>
      </w:pPr>
      <w:bookmarkStart w:id="760" w:name="_Ref4798164"/>
      <w:bookmarkStart w:id="761" w:name="_Ref4798173"/>
      <w:bookmarkStart w:id="762" w:name="_Toc54862321"/>
      <w:r>
        <w:rPr>
          <w:rFonts w:ascii="宋体" w:hAnsi="宋体" w:eastAsia="宋体" w:cs="宋体"/>
        </w:rPr>
        <w:t xml:space="preserve">19.1 </w:t>
      </w:r>
      <w:r>
        <w:rPr>
          <w:rFonts w:hint="eastAsia" w:ascii="宋体" w:hAnsi="宋体" w:eastAsia="宋体" w:cs="宋体"/>
        </w:rPr>
        <w:t>索赔</w:t>
      </w:r>
      <w:bookmarkEnd w:id="760"/>
      <w:bookmarkEnd w:id="761"/>
      <w:r>
        <w:rPr>
          <w:rFonts w:hint="eastAsia" w:ascii="宋体" w:hAnsi="宋体" w:eastAsia="宋体" w:cs="宋体"/>
        </w:rPr>
        <w:t>的提出</w:t>
      </w:r>
      <w:bookmarkEnd w:id="762"/>
    </w:p>
    <w:p>
      <w:pPr>
        <w:spacing w:line="360" w:lineRule="auto"/>
        <w:ind w:firstLine="600"/>
        <w:rPr>
          <w:sz w:val="24"/>
          <w:szCs w:val="24"/>
        </w:rPr>
      </w:pPr>
      <w:r>
        <w:rPr>
          <w:rFonts w:hint="eastAsia"/>
          <w:sz w:val="24"/>
          <w:szCs w:val="24"/>
        </w:rPr>
        <w:t>根据合同约定，任意一方认为有权得到追加</w:t>
      </w:r>
      <w:r>
        <w:rPr>
          <w:sz w:val="24"/>
          <w:szCs w:val="24"/>
        </w:rPr>
        <w:t>/</w:t>
      </w:r>
      <w:r>
        <w:rPr>
          <w:rFonts w:hint="eastAsia"/>
          <w:sz w:val="24"/>
          <w:szCs w:val="24"/>
        </w:rPr>
        <w:t>减少付款、延长缺陷责任期和（或）延长工期的，应按以下程序向对方提出索赔：</w:t>
      </w:r>
    </w:p>
    <w:p>
      <w:pPr>
        <w:spacing w:line="360" w:lineRule="auto"/>
        <w:ind w:firstLine="6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索赔方应在知道或应当知道索赔事件发生后</w:t>
      </w:r>
      <w:r>
        <w:rPr>
          <w:sz w:val="24"/>
          <w:szCs w:val="24"/>
        </w:rPr>
        <w:t>28</w:t>
      </w:r>
      <w:r>
        <w:rPr>
          <w:rFonts w:hint="eastAsia"/>
          <w:sz w:val="24"/>
          <w:szCs w:val="24"/>
        </w:rPr>
        <w:t>天内，向对方递交索赔意向通知书，并说明发生索赔事件的事由；索赔方未在前述</w:t>
      </w:r>
      <w:r>
        <w:rPr>
          <w:sz w:val="24"/>
          <w:szCs w:val="24"/>
        </w:rPr>
        <w:t>28</w:t>
      </w:r>
      <w:r>
        <w:rPr>
          <w:rFonts w:hint="eastAsia"/>
          <w:sz w:val="24"/>
          <w:szCs w:val="24"/>
        </w:rPr>
        <w:t>天内发出索赔意向通知书的，丧失要求追加</w:t>
      </w:r>
      <w:r>
        <w:rPr>
          <w:sz w:val="24"/>
          <w:szCs w:val="24"/>
        </w:rPr>
        <w:t>/</w:t>
      </w:r>
      <w:r>
        <w:rPr>
          <w:rFonts w:hint="eastAsia"/>
          <w:sz w:val="24"/>
          <w:szCs w:val="24"/>
        </w:rPr>
        <w:t>减少付款、延长缺陷责任期和（或）延长工期的权利；</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索赔方应在发出索赔意向通知书后</w:t>
      </w:r>
      <w:r>
        <w:rPr>
          <w:sz w:val="24"/>
          <w:szCs w:val="24"/>
        </w:rPr>
        <w:t>28</w:t>
      </w:r>
      <w:r>
        <w:rPr>
          <w:rFonts w:hint="eastAsia"/>
          <w:sz w:val="24"/>
          <w:szCs w:val="24"/>
        </w:rPr>
        <w:t>天内，向对方正式递交索赔报告；索赔报告应详细说明索赔理由以及要求追加的付款金额、延长缺陷责任期和（或）延长的工期，并附必要的记录和证明材料；</w:t>
      </w:r>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索赔事件具有持续影响的，索赔方应每月递交延续索赔通知，说明持续影响的实际情况和记录，列出累计的追加付款金额、延长缺陷责任期和（或）工期延长天数；</w:t>
      </w:r>
    </w:p>
    <w:p>
      <w:pPr>
        <w:spacing w:line="360" w:lineRule="auto"/>
        <w:ind w:firstLine="600"/>
        <w:rPr>
          <w:sz w:val="24"/>
          <w:szCs w:val="24"/>
        </w:rPr>
      </w:pPr>
      <w:bookmarkStart w:id="763" w:name="_Ref4796178"/>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在索赔事件影响结束后</w:t>
      </w:r>
      <w:r>
        <w:rPr>
          <w:sz w:val="24"/>
          <w:szCs w:val="24"/>
        </w:rPr>
        <w:t>28</w:t>
      </w:r>
      <w:r>
        <w:rPr>
          <w:rFonts w:hint="eastAsia"/>
          <w:sz w:val="24"/>
          <w:szCs w:val="24"/>
        </w:rPr>
        <w:t>天内，索赔方应向对方递交最终索赔报告，说明最终要求索赔的追加付款金额、延长缺陷责任期和（或）延长的工期，并附必要的记录和证明材料。</w:t>
      </w:r>
      <w:bookmarkEnd w:id="763"/>
    </w:p>
    <w:p>
      <w:pPr>
        <w:spacing w:line="360" w:lineRule="auto"/>
        <w:ind w:firstLine="6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承包人作为索赔方时，其索赔意向通知书、索赔报告及相关索赔文件应向工程师提出；发包人作为索赔方时，其索赔意向通知书、索赔报告及相关索赔文件可自行向承包人提出或由工程师向承包人提出。</w:t>
      </w:r>
    </w:p>
    <w:p>
      <w:pPr>
        <w:pStyle w:val="65"/>
        <w:widowControl/>
        <w:spacing w:afterLines="0"/>
        <w:ind w:left="0"/>
        <w:rPr>
          <w:rFonts w:ascii="宋体" w:hAnsi="宋体" w:eastAsia="宋体" w:cs="宋体"/>
        </w:rPr>
      </w:pPr>
      <w:bookmarkStart w:id="764" w:name="_Ref4796262"/>
      <w:bookmarkStart w:id="765" w:name="_Ref4796254"/>
      <w:bookmarkStart w:id="766" w:name="_Toc54862322"/>
      <w:r>
        <w:rPr>
          <w:rFonts w:ascii="宋体" w:hAnsi="宋体" w:eastAsia="宋体" w:cs="宋体"/>
        </w:rPr>
        <w:t xml:space="preserve">19.2 </w:t>
      </w:r>
      <w:r>
        <w:rPr>
          <w:rFonts w:hint="eastAsia" w:ascii="宋体" w:hAnsi="宋体" w:eastAsia="宋体" w:cs="宋体"/>
        </w:rPr>
        <w:t>承包人索赔的处理程序</w:t>
      </w:r>
      <w:bookmarkEnd w:id="764"/>
      <w:bookmarkEnd w:id="765"/>
      <w:bookmarkEnd w:id="766"/>
    </w:p>
    <w:p>
      <w:pPr>
        <w:spacing w:line="360" w:lineRule="auto"/>
        <w:ind w:firstLine="6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工程师收到承包人提交的索赔报告后，应及时审查索赔报告的内容、查验承包人的记录和证明材料，必要时工程师可要求承包人提交全部原始记录副本。</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工程师应按第</w:t>
      </w:r>
      <w:r>
        <w:rPr>
          <w:sz w:val="24"/>
          <w:szCs w:val="24"/>
        </w:rPr>
        <w:t>3.6</w:t>
      </w:r>
      <w:r>
        <w:rPr>
          <w:rFonts w:hint="eastAsia"/>
          <w:sz w:val="24"/>
          <w:szCs w:val="24"/>
        </w:rPr>
        <w:t>款</w:t>
      </w:r>
      <w:r>
        <w:rPr>
          <w:sz w:val="24"/>
          <w:szCs w:val="24"/>
        </w:rPr>
        <w:t>[</w:t>
      </w:r>
      <w:r>
        <w:rPr>
          <w:rFonts w:hint="eastAsia"/>
          <w:sz w:val="24"/>
          <w:szCs w:val="24"/>
        </w:rPr>
        <w:t>商定或确定</w:t>
      </w:r>
      <w:r>
        <w:rPr>
          <w:sz w:val="24"/>
          <w:szCs w:val="24"/>
        </w:rPr>
        <w:t>]</w:t>
      </w:r>
      <w:r>
        <w:rPr>
          <w:rFonts w:hint="eastAsia"/>
          <w:sz w:val="24"/>
          <w:szCs w:val="24"/>
        </w:rPr>
        <w:t>商定或确定追加的付款和（或）延长的工期，并在收到上述索赔报告或有关索赔的进一步证明材料后及时书面告知发包人，并在</w:t>
      </w:r>
      <w:r>
        <w:rPr>
          <w:sz w:val="24"/>
          <w:szCs w:val="24"/>
        </w:rPr>
        <w:t>42</w:t>
      </w:r>
      <w:r>
        <w:rPr>
          <w:rFonts w:hint="eastAsia"/>
          <w:sz w:val="24"/>
          <w:szCs w:val="24"/>
        </w:rPr>
        <w:t>天内，将发包人书面认可的索赔处理结果答复承包人。工程师在收到索赔报告或有关索赔的进一步证明材料后的</w:t>
      </w:r>
      <w:r>
        <w:rPr>
          <w:sz w:val="24"/>
          <w:szCs w:val="24"/>
        </w:rPr>
        <w:t>42</w:t>
      </w:r>
      <w:r>
        <w:rPr>
          <w:rFonts w:hint="eastAsia"/>
          <w:sz w:val="24"/>
          <w:szCs w:val="24"/>
        </w:rPr>
        <w:t>天内不予答复的，视为认可索赔。</w:t>
      </w:r>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承包人接受索赔处理结果的，发包人应在作出索赔处理结果答复后</w:t>
      </w:r>
      <w:r>
        <w:rPr>
          <w:sz w:val="24"/>
          <w:szCs w:val="24"/>
        </w:rPr>
        <w:t>28</w:t>
      </w:r>
      <w:r>
        <w:rPr>
          <w:rFonts w:hint="eastAsia"/>
          <w:sz w:val="24"/>
          <w:szCs w:val="24"/>
        </w:rPr>
        <w:t>天内完成支付。承包人不接受索赔处理结果的，按照第</w:t>
      </w:r>
      <w:r>
        <w:rPr>
          <w:sz w:val="24"/>
          <w:szCs w:val="24"/>
        </w:rPr>
        <w:t>20</w:t>
      </w:r>
      <w:r>
        <w:rPr>
          <w:rFonts w:hint="eastAsia"/>
          <w:sz w:val="24"/>
          <w:szCs w:val="24"/>
        </w:rPr>
        <w:t>条</w:t>
      </w:r>
      <w:r>
        <w:rPr>
          <w:sz w:val="24"/>
          <w:szCs w:val="24"/>
        </w:rPr>
        <w:t>[</w:t>
      </w:r>
      <w:r>
        <w:rPr>
          <w:rFonts w:hint="eastAsia"/>
          <w:sz w:val="24"/>
          <w:szCs w:val="24"/>
        </w:rPr>
        <w:t>争议解决</w:t>
      </w:r>
      <w:r>
        <w:rPr>
          <w:sz w:val="24"/>
          <w:szCs w:val="24"/>
        </w:rPr>
        <w:t>]</w:t>
      </w:r>
      <w:r>
        <w:rPr>
          <w:rFonts w:hint="eastAsia"/>
          <w:sz w:val="24"/>
          <w:szCs w:val="24"/>
        </w:rPr>
        <w:t>约定处理。</w:t>
      </w:r>
    </w:p>
    <w:p>
      <w:pPr>
        <w:pStyle w:val="65"/>
        <w:widowControl/>
        <w:spacing w:afterLines="0"/>
        <w:ind w:left="0"/>
        <w:rPr>
          <w:rFonts w:ascii="宋体" w:hAnsi="宋体" w:eastAsia="宋体" w:cs="宋体"/>
        </w:rPr>
      </w:pPr>
      <w:bookmarkStart w:id="767" w:name="_Toc54862323"/>
      <w:r>
        <w:rPr>
          <w:rFonts w:ascii="宋体" w:hAnsi="宋体" w:eastAsia="宋体" w:cs="宋体"/>
        </w:rPr>
        <w:t xml:space="preserve">19.3 </w:t>
      </w:r>
      <w:r>
        <w:rPr>
          <w:rFonts w:hint="eastAsia" w:ascii="宋体" w:hAnsi="宋体" w:eastAsia="宋体" w:cs="宋体"/>
        </w:rPr>
        <w:t>发包人索赔的处理程序</w:t>
      </w:r>
      <w:bookmarkEnd w:id="767"/>
    </w:p>
    <w:p>
      <w:pPr>
        <w:spacing w:line="360" w:lineRule="auto"/>
        <w:ind w:firstLine="6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承包人收到发包人提交的索赔报告后，应及时审查索赔报告的内容、查验发包人证明材料；</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承包人应在收到上述索赔报告或有关索赔的进一步证明材料后</w:t>
      </w:r>
      <w:r>
        <w:rPr>
          <w:sz w:val="24"/>
          <w:szCs w:val="24"/>
        </w:rPr>
        <w:t>42</w:t>
      </w:r>
      <w:r>
        <w:rPr>
          <w:rFonts w:hint="eastAsia"/>
          <w:sz w:val="24"/>
          <w:szCs w:val="24"/>
        </w:rPr>
        <w:t>天内，将索赔处理结果答复发包人。承包人在收到索赔通知书或有关索赔的进一步证明材料后的</w:t>
      </w:r>
      <w:r>
        <w:rPr>
          <w:sz w:val="24"/>
          <w:szCs w:val="24"/>
        </w:rPr>
        <w:t>42</w:t>
      </w:r>
      <w:r>
        <w:rPr>
          <w:rFonts w:hint="eastAsia"/>
          <w:sz w:val="24"/>
          <w:szCs w:val="24"/>
        </w:rPr>
        <w:t>天内不予答复的，视为认可索赔。</w:t>
      </w:r>
    </w:p>
    <w:p>
      <w:pPr>
        <w:spacing w:line="360" w:lineRule="auto"/>
        <w:ind w:firstLine="6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发包人接受索赔处理结果的，发包人可从应支付给承包人的合同价款中扣除赔付的金额或延长缺陷责任期；发包人不接受索赔处理结果的，按第</w:t>
      </w:r>
      <w:r>
        <w:rPr>
          <w:sz w:val="24"/>
          <w:szCs w:val="24"/>
        </w:rPr>
        <w:t>20</w:t>
      </w:r>
      <w:r>
        <w:rPr>
          <w:rFonts w:hint="eastAsia"/>
          <w:sz w:val="24"/>
          <w:szCs w:val="24"/>
        </w:rPr>
        <w:t>条</w:t>
      </w:r>
      <w:r>
        <w:rPr>
          <w:sz w:val="24"/>
          <w:szCs w:val="24"/>
        </w:rPr>
        <w:t>[</w:t>
      </w:r>
      <w:r>
        <w:rPr>
          <w:rFonts w:hint="eastAsia"/>
          <w:sz w:val="24"/>
          <w:szCs w:val="24"/>
        </w:rPr>
        <w:t>争议解决</w:t>
      </w:r>
      <w:r>
        <w:rPr>
          <w:sz w:val="24"/>
          <w:szCs w:val="24"/>
        </w:rPr>
        <w:t>]</w:t>
      </w:r>
      <w:r>
        <w:rPr>
          <w:rFonts w:hint="eastAsia"/>
          <w:sz w:val="24"/>
          <w:szCs w:val="24"/>
        </w:rPr>
        <w:t>约定处理。</w:t>
      </w:r>
    </w:p>
    <w:p>
      <w:pPr>
        <w:pStyle w:val="65"/>
        <w:widowControl/>
        <w:spacing w:afterLines="0"/>
        <w:ind w:left="0"/>
        <w:rPr>
          <w:rFonts w:ascii="宋体" w:hAnsi="宋体" w:eastAsia="宋体" w:cs="宋体"/>
        </w:rPr>
      </w:pPr>
      <w:bookmarkStart w:id="768" w:name="_Toc54862324"/>
      <w:r>
        <w:rPr>
          <w:rFonts w:ascii="宋体" w:hAnsi="宋体" w:eastAsia="宋体" w:cs="宋体"/>
        </w:rPr>
        <w:t xml:space="preserve">19.4 </w:t>
      </w:r>
      <w:r>
        <w:rPr>
          <w:rFonts w:hint="eastAsia" w:ascii="宋体" w:hAnsi="宋体" w:eastAsia="宋体" w:cs="宋体"/>
        </w:rPr>
        <w:t>提出索赔的期限</w:t>
      </w:r>
      <w:bookmarkEnd w:id="768"/>
    </w:p>
    <w:p>
      <w:pPr>
        <w:spacing w:line="360" w:lineRule="auto"/>
        <w:ind w:firstLine="6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承包人按第</w:t>
      </w:r>
      <w:r>
        <w:rPr>
          <w:sz w:val="24"/>
          <w:szCs w:val="24"/>
        </w:rPr>
        <w:t>14.5</w:t>
      </w:r>
      <w:r>
        <w:rPr>
          <w:rFonts w:hint="eastAsia"/>
          <w:sz w:val="24"/>
          <w:szCs w:val="24"/>
        </w:rPr>
        <w:t>款</w:t>
      </w:r>
      <w:r>
        <w:rPr>
          <w:sz w:val="24"/>
          <w:szCs w:val="24"/>
        </w:rPr>
        <w:t>[</w:t>
      </w:r>
      <w:r>
        <w:rPr>
          <w:rFonts w:hint="eastAsia"/>
          <w:sz w:val="24"/>
          <w:szCs w:val="24"/>
        </w:rPr>
        <w:t>竣工结算</w:t>
      </w:r>
      <w:bookmarkStart w:id="769" w:name="_Ref3826629"/>
      <w:bookmarkStart w:id="770" w:name="_Ref3826634"/>
      <w:r>
        <w:rPr>
          <w:sz w:val="24"/>
          <w:szCs w:val="24"/>
        </w:rPr>
        <w:t>]</w:t>
      </w:r>
      <w:r>
        <w:rPr>
          <w:rFonts w:hint="eastAsia"/>
          <w:sz w:val="24"/>
          <w:szCs w:val="24"/>
        </w:rPr>
        <w:t>约定接收竣工付款证书后，应被认为已无权再提出在合同工程接收证书颁发前所发生的任何索赔。</w:t>
      </w:r>
    </w:p>
    <w:p>
      <w:pPr>
        <w:spacing w:line="360" w:lineRule="auto"/>
        <w:ind w:firstLine="6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承包人按第</w:t>
      </w:r>
      <w:r>
        <w:rPr>
          <w:sz w:val="24"/>
          <w:szCs w:val="24"/>
        </w:rPr>
        <w:t>14.7</w:t>
      </w:r>
      <w:r>
        <w:rPr>
          <w:rFonts w:hint="eastAsia"/>
          <w:sz w:val="24"/>
          <w:szCs w:val="24"/>
        </w:rPr>
        <w:t>款</w:t>
      </w:r>
      <w:r>
        <w:rPr>
          <w:sz w:val="24"/>
          <w:szCs w:val="24"/>
        </w:rPr>
        <w:t>[</w:t>
      </w:r>
      <w:r>
        <w:rPr>
          <w:rFonts w:hint="eastAsia"/>
          <w:sz w:val="24"/>
          <w:szCs w:val="24"/>
        </w:rPr>
        <w:t>最终结清</w:t>
      </w:r>
      <w:r>
        <w:rPr>
          <w:sz w:val="24"/>
          <w:szCs w:val="24"/>
        </w:rPr>
        <w:t>]</w:t>
      </w:r>
      <w:r>
        <w:rPr>
          <w:rFonts w:hint="eastAsia"/>
          <w:sz w:val="24"/>
          <w:szCs w:val="24"/>
        </w:rPr>
        <w:t>提交的最终结清申请单中，只限于提出工程接收证书颁发后发生的索赔。提出索赔的期限均自接受最终结清证书时终止。</w:t>
      </w:r>
      <w:bookmarkEnd w:id="769"/>
      <w:bookmarkEnd w:id="770"/>
    </w:p>
    <w:p>
      <w:pPr>
        <w:pStyle w:val="64"/>
        <w:numPr>
          <w:ilvl w:val="0"/>
          <w:numId w:val="0"/>
        </w:numPr>
        <w:spacing w:before="0"/>
        <w:rPr>
          <w:rFonts w:ascii="宋体"/>
          <w:b/>
          <w:sz w:val="24"/>
          <w:szCs w:val="24"/>
        </w:rPr>
      </w:pPr>
      <w:bookmarkStart w:id="771" w:name="_Ref532197861"/>
      <w:bookmarkStart w:id="772" w:name="_Toc54862325"/>
      <w:bookmarkStart w:id="773" w:name="_Ref532142075"/>
      <w:r>
        <w:rPr>
          <w:rFonts w:hint="eastAsia" w:ascii="宋体" w:hAnsi="宋体"/>
          <w:b/>
          <w:sz w:val="24"/>
          <w:szCs w:val="24"/>
        </w:rPr>
        <w:t>第</w:t>
      </w:r>
      <w:r>
        <w:rPr>
          <w:rFonts w:ascii="宋体" w:hAnsi="宋体"/>
          <w:b/>
          <w:sz w:val="24"/>
          <w:szCs w:val="24"/>
        </w:rPr>
        <w:t>20</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争议解决</w:t>
      </w:r>
      <w:bookmarkEnd w:id="771"/>
      <w:bookmarkEnd w:id="772"/>
      <w:bookmarkEnd w:id="773"/>
      <w:r>
        <w:rPr>
          <w:rFonts w:ascii="宋体" w:hAnsi="宋体"/>
          <w:b/>
          <w:sz w:val="24"/>
          <w:szCs w:val="24"/>
        </w:rPr>
        <w:t xml:space="preserve"> </w:t>
      </w:r>
    </w:p>
    <w:p>
      <w:pPr>
        <w:pStyle w:val="65"/>
        <w:widowControl/>
        <w:spacing w:afterLines="0"/>
        <w:ind w:left="0"/>
        <w:rPr>
          <w:rFonts w:ascii="宋体" w:hAnsi="宋体" w:eastAsia="宋体" w:cs="宋体"/>
        </w:rPr>
      </w:pPr>
      <w:bookmarkStart w:id="774" w:name="_Ref415507198"/>
      <w:bookmarkStart w:id="775" w:name="_Toc54862326"/>
      <w:r>
        <w:rPr>
          <w:rFonts w:ascii="宋体" w:hAnsi="宋体" w:eastAsia="宋体" w:cs="宋体"/>
        </w:rPr>
        <w:t xml:space="preserve">20.1 </w:t>
      </w:r>
      <w:r>
        <w:rPr>
          <w:rFonts w:hint="eastAsia" w:ascii="宋体" w:hAnsi="宋体" w:eastAsia="宋体" w:cs="宋体"/>
        </w:rPr>
        <w:t>和解</w:t>
      </w:r>
      <w:bookmarkEnd w:id="774"/>
      <w:bookmarkEnd w:id="775"/>
    </w:p>
    <w:p>
      <w:pPr>
        <w:spacing w:line="360" w:lineRule="auto"/>
        <w:ind w:firstLine="600"/>
        <w:rPr>
          <w:sz w:val="24"/>
          <w:szCs w:val="24"/>
        </w:rPr>
      </w:pPr>
      <w:r>
        <w:rPr>
          <w:rFonts w:hint="eastAsia"/>
          <w:sz w:val="24"/>
          <w:szCs w:val="24"/>
        </w:rPr>
        <w:t>合同当事人可以就争议自行和解，自行和解达成协议的经双方签字并盖章后作为合同补充文件，双方均应遵照执行。</w:t>
      </w:r>
    </w:p>
    <w:p>
      <w:pPr>
        <w:pStyle w:val="65"/>
        <w:widowControl/>
        <w:spacing w:afterLines="0"/>
        <w:ind w:left="0"/>
        <w:rPr>
          <w:rFonts w:ascii="宋体" w:hAnsi="宋体" w:eastAsia="宋体" w:cs="宋体"/>
        </w:rPr>
      </w:pPr>
      <w:bookmarkStart w:id="776" w:name="_Toc54862327"/>
      <w:r>
        <w:rPr>
          <w:rFonts w:ascii="宋体" w:hAnsi="宋体" w:eastAsia="宋体" w:cs="宋体"/>
        </w:rPr>
        <w:t xml:space="preserve">20.2 </w:t>
      </w:r>
      <w:r>
        <w:rPr>
          <w:rFonts w:hint="eastAsia" w:ascii="宋体" w:hAnsi="宋体" w:eastAsia="宋体" w:cs="宋体"/>
        </w:rPr>
        <w:t>调解</w:t>
      </w:r>
      <w:bookmarkEnd w:id="776"/>
      <w:r>
        <w:rPr>
          <w:rFonts w:ascii="宋体" w:hAnsi="宋体" w:eastAsia="宋体" w:cs="宋体"/>
        </w:rPr>
        <w:t xml:space="preserve"> </w:t>
      </w:r>
    </w:p>
    <w:p>
      <w:pPr>
        <w:spacing w:line="360" w:lineRule="auto"/>
        <w:ind w:firstLine="600"/>
        <w:rPr>
          <w:sz w:val="24"/>
          <w:szCs w:val="24"/>
        </w:rPr>
      </w:pPr>
      <w:r>
        <w:rPr>
          <w:rFonts w:hint="eastAsia"/>
          <w:sz w:val="24"/>
          <w:szCs w:val="24"/>
        </w:rPr>
        <w:t>合同当事人可以就争议请求建设行政主管部门、行业协会或其他第三方进行调解，调解达成协议的，经双方签字盖章后作为合同补充文件，双方均应遵照执行。</w:t>
      </w:r>
    </w:p>
    <w:p>
      <w:pPr>
        <w:pStyle w:val="65"/>
        <w:widowControl/>
        <w:spacing w:afterLines="0"/>
        <w:ind w:left="0"/>
        <w:rPr>
          <w:rFonts w:ascii="宋体" w:hAnsi="宋体" w:eastAsia="宋体" w:cs="宋体"/>
        </w:rPr>
      </w:pPr>
      <w:bookmarkStart w:id="777" w:name="_Toc54862328"/>
      <w:bookmarkStart w:id="778" w:name="_Ref532221527"/>
      <w:bookmarkStart w:id="779" w:name="_Ref532221532"/>
      <w:r>
        <w:rPr>
          <w:rFonts w:ascii="宋体" w:hAnsi="宋体" w:eastAsia="宋体" w:cs="宋体"/>
        </w:rPr>
        <w:t xml:space="preserve">20.3 </w:t>
      </w:r>
      <w:r>
        <w:rPr>
          <w:rFonts w:hint="eastAsia" w:ascii="宋体" w:hAnsi="宋体" w:eastAsia="宋体" w:cs="宋体"/>
        </w:rPr>
        <w:t>争议评审</w:t>
      </w:r>
      <w:bookmarkEnd w:id="777"/>
      <w:bookmarkEnd w:id="778"/>
      <w:bookmarkEnd w:id="779"/>
    </w:p>
    <w:p>
      <w:pPr>
        <w:spacing w:line="360" w:lineRule="auto"/>
        <w:ind w:firstLine="600"/>
        <w:rPr>
          <w:sz w:val="24"/>
          <w:szCs w:val="24"/>
        </w:rPr>
      </w:pPr>
      <w:r>
        <w:rPr>
          <w:rFonts w:hint="eastAsia"/>
          <w:sz w:val="24"/>
          <w:szCs w:val="24"/>
        </w:rPr>
        <w:t>合同当事人在专用合同条件中约定采取争议评审方式及评审规则解决争议的，按下列约定执行：</w:t>
      </w:r>
    </w:p>
    <w:p>
      <w:pPr>
        <w:pStyle w:val="66"/>
        <w:spacing w:afterLines="0"/>
        <w:ind w:left="0"/>
        <w:rPr>
          <w:rFonts w:cs="宋体"/>
          <w:szCs w:val="24"/>
        </w:rPr>
      </w:pPr>
      <w:r>
        <w:rPr>
          <w:rFonts w:cs="宋体"/>
          <w:szCs w:val="24"/>
        </w:rPr>
        <w:t xml:space="preserve">20.3.1 </w:t>
      </w:r>
      <w:r>
        <w:rPr>
          <w:rFonts w:hint="eastAsia" w:cs="宋体"/>
          <w:szCs w:val="24"/>
        </w:rPr>
        <w:t>争议评审小组的确定</w:t>
      </w:r>
    </w:p>
    <w:p>
      <w:pPr>
        <w:spacing w:line="360" w:lineRule="auto"/>
        <w:ind w:firstLine="600"/>
        <w:rPr>
          <w:sz w:val="24"/>
          <w:szCs w:val="24"/>
        </w:rPr>
      </w:pPr>
      <w:r>
        <w:rPr>
          <w:rFonts w:hint="eastAsia"/>
          <w:sz w:val="24"/>
          <w:szCs w:val="24"/>
        </w:rPr>
        <w:t>合同当事人可以共同选择一名或三名争议评审员，组成争议评审小组。如专用合同条件未对成员人数进行约定，则应由三名成员组成。除专用合同条件另有约定外，合同当事人应当自合同订立后</w:t>
      </w:r>
      <w:r>
        <w:rPr>
          <w:sz w:val="24"/>
          <w:szCs w:val="24"/>
        </w:rPr>
        <w:t>28</w:t>
      </w:r>
      <w:r>
        <w:rPr>
          <w:rFonts w:hint="eastAsia"/>
          <w:sz w:val="24"/>
          <w:szCs w:val="24"/>
        </w:rPr>
        <w:t>天内，或者争议发生后</w:t>
      </w:r>
      <w:r>
        <w:rPr>
          <w:sz w:val="24"/>
          <w:szCs w:val="24"/>
        </w:rPr>
        <w:t>14</w:t>
      </w:r>
      <w:r>
        <w:rPr>
          <w:rFonts w:hint="eastAsia"/>
          <w:sz w:val="24"/>
          <w:szCs w:val="24"/>
        </w:rPr>
        <w:t>天内，选定争议评审员。</w:t>
      </w:r>
    </w:p>
    <w:p>
      <w:pPr>
        <w:spacing w:line="360" w:lineRule="auto"/>
        <w:ind w:firstLine="600"/>
        <w:rPr>
          <w:sz w:val="24"/>
          <w:szCs w:val="24"/>
        </w:rPr>
      </w:pPr>
      <w:r>
        <w:rPr>
          <w:rFonts w:hint="eastAsia"/>
          <w:sz w:val="24"/>
          <w:szCs w:val="24"/>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pPr>
        <w:spacing w:line="360" w:lineRule="auto"/>
        <w:ind w:firstLine="600"/>
        <w:rPr>
          <w:sz w:val="24"/>
          <w:szCs w:val="24"/>
        </w:rPr>
      </w:pPr>
      <w:r>
        <w:rPr>
          <w:rFonts w:hint="eastAsia"/>
          <w:sz w:val="24"/>
          <w:szCs w:val="24"/>
        </w:rPr>
        <w:t>除专用合同条件另有约定外，争议评审员报酬由发包人和承包人各承担一半。</w:t>
      </w:r>
    </w:p>
    <w:p>
      <w:pPr>
        <w:pStyle w:val="66"/>
        <w:spacing w:afterLines="0"/>
        <w:ind w:left="0"/>
        <w:rPr>
          <w:rFonts w:cs="宋体"/>
          <w:szCs w:val="24"/>
        </w:rPr>
      </w:pPr>
      <w:bookmarkStart w:id="780" w:name="_Ref532287270"/>
      <w:r>
        <w:rPr>
          <w:rFonts w:cs="宋体"/>
          <w:szCs w:val="24"/>
        </w:rPr>
        <w:t xml:space="preserve">20.3.2 </w:t>
      </w:r>
      <w:r>
        <w:rPr>
          <w:rFonts w:hint="eastAsia" w:cs="宋体"/>
          <w:szCs w:val="24"/>
        </w:rPr>
        <w:t>争议的避免</w:t>
      </w:r>
      <w:bookmarkEnd w:id="780"/>
    </w:p>
    <w:p>
      <w:pPr>
        <w:spacing w:line="360" w:lineRule="auto"/>
        <w:ind w:firstLine="600"/>
        <w:rPr>
          <w:sz w:val="24"/>
          <w:szCs w:val="24"/>
        </w:rPr>
      </w:pPr>
      <w:r>
        <w:rPr>
          <w:rFonts w:hint="eastAsia"/>
          <w:sz w:val="24"/>
          <w:szCs w:val="24"/>
        </w:rPr>
        <w:t>合同当事人协商一致，可以共同书面请求争议评审小组，就合同履行过程中可能出现争议的情况提供协助或进行非正式讨论，争议评审小组应给出公正的意见或建议。</w:t>
      </w:r>
    </w:p>
    <w:p>
      <w:pPr>
        <w:spacing w:line="360" w:lineRule="auto"/>
        <w:ind w:firstLine="600"/>
        <w:rPr>
          <w:sz w:val="24"/>
          <w:szCs w:val="24"/>
        </w:rPr>
      </w:pPr>
      <w:r>
        <w:rPr>
          <w:rFonts w:hint="eastAsia"/>
          <w:sz w:val="24"/>
          <w:szCs w:val="24"/>
        </w:rPr>
        <w:t>此类协助或非正式讨论可在任何会议、施工现场视察或其他场合进行，并且除专用合同条件另有约定外，发包人和承包人均应出席。</w:t>
      </w:r>
    </w:p>
    <w:p>
      <w:pPr>
        <w:spacing w:line="360" w:lineRule="auto"/>
        <w:ind w:firstLine="600"/>
        <w:rPr>
          <w:sz w:val="24"/>
          <w:szCs w:val="24"/>
        </w:rPr>
      </w:pPr>
      <w:r>
        <w:rPr>
          <w:rFonts w:hint="eastAsia"/>
          <w:sz w:val="24"/>
          <w:szCs w:val="24"/>
        </w:rPr>
        <w:t>争议评审小组在此类非正式讨论上给出的任何意见或建议，无论是口头还是书面的，对发包人和承包人不具有约束力，争议评审小组在之后的争议评审程序或决定中也不受此类意见或建议的约束。</w:t>
      </w:r>
    </w:p>
    <w:p>
      <w:pPr>
        <w:pStyle w:val="66"/>
        <w:spacing w:afterLines="0"/>
        <w:ind w:left="0"/>
        <w:rPr>
          <w:rFonts w:cs="宋体"/>
          <w:szCs w:val="24"/>
        </w:rPr>
      </w:pPr>
      <w:bookmarkStart w:id="781" w:name="_Ref4695594"/>
      <w:r>
        <w:rPr>
          <w:rFonts w:cs="宋体"/>
          <w:szCs w:val="24"/>
        </w:rPr>
        <w:t xml:space="preserve">20.3.3 </w:t>
      </w:r>
      <w:r>
        <w:rPr>
          <w:rFonts w:hint="eastAsia" w:cs="宋体"/>
          <w:szCs w:val="24"/>
        </w:rPr>
        <w:t>争议评审小组的决定</w:t>
      </w:r>
      <w:bookmarkEnd w:id="781"/>
    </w:p>
    <w:p>
      <w:pPr>
        <w:spacing w:line="360" w:lineRule="auto"/>
        <w:ind w:firstLine="600"/>
        <w:rPr>
          <w:sz w:val="24"/>
          <w:szCs w:val="24"/>
        </w:rPr>
      </w:pPr>
      <w:r>
        <w:rPr>
          <w:rFonts w:hint="eastAsia"/>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sz w:val="24"/>
          <w:szCs w:val="24"/>
        </w:rPr>
        <w:t>14</w:t>
      </w:r>
      <w:r>
        <w:rPr>
          <w:rFonts w:hint="eastAsia"/>
          <w:sz w:val="24"/>
          <w:szCs w:val="24"/>
        </w:rPr>
        <w:t>天或争议评审小组建议并经双方同意的其他期限内作出书面决定，并说明理由。合同当事人可以在专用合同条件中对本项事项另行约定。</w:t>
      </w:r>
    </w:p>
    <w:p>
      <w:pPr>
        <w:pStyle w:val="66"/>
        <w:spacing w:afterLines="0"/>
        <w:ind w:left="0"/>
        <w:rPr>
          <w:rFonts w:cs="宋体"/>
          <w:szCs w:val="24"/>
        </w:rPr>
      </w:pPr>
      <w:r>
        <w:rPr>
          <w:rFonts w:cs="宋体"/>
          <w:szCs w:val="24"/>
        </w:rPr>
        <w:t xml:space="preserve">20.3.4 </w:t>
      </w:r>
      <w:r>
        <w:rPr>
          <w:rFonts w:hint="eastAsia" w:cs="宋体"/>
          <w:szCs w:val="24"/>
        </w:rPr>
        <w:t>争议评审小组决定的效力</w:t>
      </w:r>
    </w:p>
    <w:p>
      <w:pPr>
        <w:spacing w:line="360" w:lineRule="auto"/>
        <w:ind w:firstLine="600"/>
        <w:rPr>
          <w:sz w:val="24"/>
          <w:szCs w:val="24"/>
        </w:rPr>
      </w:pPr>
      <w:r>
        <w:rPr>
          <w:rFonts w:hint="eastAsia"/>
          <w:sz w:val="24"/>
          <w:szCs w:val="24"/>
        </w:rPr>
        <w:t>争议评审小组作出的书面决定经合同当事人签字确认后，对双方具有约束力，双方应遵照执行。</w:t>
      </w:r>
    </w:p>
    <w:p>
      <w:pPr>
        <w:spacing w:line="360" w:lineRule="auto"/>
        <w:ind w:firstLine="600"/>
        <w:rPr>
          <w:sz w:val="24"/>
          <w:szCs w:val="24"/>
        </w:rPr>
      </w:pPr>
      <w:r>
        <w:rPr>
          <w:rFonts w:hint="eastAsia"/>
          <w:sz w:val="24"/>
          <w:szCs w:val="24"/>
        </w:rPr>
        <w:t>任何一方当事人不接受争议评审小组决定或不履行争议评审小组决定的，双方可选择采用其他争议解决方式。</w:t>
      </w:r>
    </w:p>
    <w:p>
      <w:pPr>
        <w:spacing w:line="360" w:lineRule="auto"/>
        <w:ind w:firstLine="600"/>
        <w:rPr>
          <w:sz w:val="24"/>
          <w:szCs w:val="24"/>
        </w:rPr>
      </w:pPr>
      <w:r>
        <w:rPr>
          <w:rFonts w:hint="eastAsia"/>
          <w:sz w:val="24"/>
          <w:szCs w:val="24"/>
        </w:rPr>
        <w:t>任何一方当事人不接受争议评审小组的决定，并不影响暂时执行争议评审小组的决定，直到在后续的采用其他争议解决方式中对争议评审小组的决定进行了改变。</w:t>
      </w:r>
    </w:p>
    <w:p>
      <w:pPr>
        <w:pStyle w:val="65"/>
        <w:widowControl/>
        <w:spacing w:afterLines="0"/>
        <w:ind w:left="0"/>
        <w:rPr>
          <w:rFonts w:ascii="宋体" w:hAnsi="宋体" w:eastAsia="宋体" w:cs="宋体"/>
        </w:rPr>
      </w:pPr>
      <w:bookmarkStart w:id="782" w:name="_Ref532221752"/>
      <w:bookmarkStart w:id="783" w:name="_Toc54862329"/>
      <w:bookmarkStart w:id="784" w:name="_Ref532221748"/>
      <w:r>
        <w:rPr>
          <w:rFonts w:ascii="宋体" w:hAnsi="宋体" w:eastAsia="宋体" w:cs="宋体"/>
        </w:rPr>
        <w:t xml:space="preserve">20.4 </w:t>
      </w:r>
      <w:r>
        <w:rPr>
          <w:rFonts w:hint="eastAsia" w:ascii="宋体" w:hAnsi="宋体" w:eastAsia="宋体" w:cs="宋体"/>
        </w:rPr>
        <w:t>仲裁或诉讼</w:t>
      </w:r>
      <w:bookmarkEnd w:id="782"/>
      <w:bookmarkEnd w:id="783"/>
      <w:bookmarkEnd w:id="784"/>
    </w:p>
    <w:p>
      <w:pPr>
        <w:spacing w:line="360" w:lineRule="auto"/>
        <w:ind w:firstLine="600"/>
        <w:rPr>
          <w:sz w:val="24"/>
          <w:szCs w:val="24"/>
        </w:rPr>
      </w:pPr>
      <w:r>
        <w:rPr>
          <w:rFonts w:hint="eastAsia"/>
          <w:sz w:val="24"/>
          <w:szCs w:val="24"/>
        </w:rPr>
        <w:t>因合同及合同有关事项产生的争议，合同当事人可以在专用合同条件中约定以下一种方式解决争议：</w:t>
      </w:r>
    </w:p>
    <w:p>
      <w:pPr>
        <w:pStyle w:val="68"/>
        <w:spacing w:line="360" w:lineRule="auto"/>
        <w:ind w:left="0" w:firstLine="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向约定的仲裁委员会申请仲裁；</w:t>
      </w:r>
    </w:p>
    <w:p>
      <w:pPr>
        <w:pStyle w:val="68"/>
        <w:spacing w:line="360" w:lineRule="auto"/>
        <w:ind w:left="0" w:firstLine="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向有管辖权的人民法院起诉。</w:t>
      </w:r>
    </w:p>
    <w:p>
      <w:pPr>
        <w:pStyle w:val="65"/>
        <w:widowControl/>
        <w:spacing w:afterLines="0"/>
        <w:ind w:left="0"/>
        <w:rPr>
          <w:rFonts w:ascii="宋体" w:hAnsi="宋体" w:eastAsia="宋体" w:cs="宋体"/>
        </w:rPr>
      </w:pPr>
      <w:bookmarkStart w:id="785" w:name="_Toc54862330"/>
      <w:r>
        <w:rPr>
          <w:rFonts w:ascii="宋体" w:hAnsi="宋体" w:eastAsia="宋体" w:cs="宋体"/>
        </w:rPr>
        <w:t xml:space="preserve">20.5 </w:t>
      </w:r>
      <w:r>
        <w:rPr>
          <w:rFonts w:hint="eastAsia" w:ascii="宋体" w:hAnsi="宋体" w:eastAsia="宋体" w:cs="宋体"/>
        </w:rPr>
        <w:t>争议解决条款效力</w:t>
      </w:r>
      <w:bookmarkEnd w:id="785"/>
    </w:p>
    <w:p>
      <w:pPr>
        <w:spacing w:line="360" w:lineRule="auto"/>
        <w:ind w:firstLine="480" w:firstLineChars="200"/>
        <w:rPr>
          <w:sz w:val="24"/>
          <w:szCs w:val="24"/>
        </w:rPr>
      </w:pPr>
      <w:r>
        <w:rPr>
          <w:rFonts w:hint="eastAsia"/>
          <w:sz w:val="24"/>
          <w:szCs w:val="24"/>
        </w:rPr>
        <w:t>合同有关争议解决的条款独立存在，合同的不生效、无效、被撤销或者终止的，不影响合同中有关争议解决条款的效力。</w:t>
      </w:r>
    </w:p>
    <w:p>
      <w:pPr>
        <w:spacing w:line="360" w:lineRule="auto"/>
        <w:rPr>
          <w:sz w:val="24"/>
          <w:szCs w:val="24"/>
        </w:rPr>
        <w:sectPr>
          <w:pgSz w:w="11910" w:h="16840"/>
          <w:pgMar w:top="1580" w:right="620" w:bottom="1740" w:left="1220" w:header="0" w:footer="1545" w:gutter="0"/>
          <w:cols w:space="720" w:num="1"/>
        </w:sectPr>
      </w:pPr>
    </w:p>
    <w:p>
      <w:pPr>
        <w:spacing w:before="71" w:line="360" w:lineRule="auto"/>
        <w:ind w:left="434" w:right="598"/>
        <w:jc w:val="center"/>
        <w:rPr>
          <w:b/>
          <w:bCs/>
          <w:sz w:val="36"/>
          <w:szCs w:val="36"/>
        </w:rPr>
      </w:pPr>
      <w:bookmarkStart w:id="786" w:name="_bookmark7"/>
      <w:bookmarkEnd w:id="786"/>
      <w:r>
        <w:rPr>
          <w:rFonts w:hint="eastAsia"/>
          <w:b/>
          <w:bCs/>
          <w:sz w:val="36"/>
          <w:szCs w:val="36"/>
        </w:rPr>
        <w:t>第三部分</w:t>
      </w:r>
      <w:r>
        <w:rPr>
          <w:b/>
          <w:bCs/>
          <w:sz w:val="36"/>
          <w:szCs w:val="36"/>
        </w:rPr>
        <w:t xml:space="preserve"> </w:t>
      </w:r>
      <w:r>
        <w:rPr>
          <w:rFonts w:hint="eastAsia"/>
          <w:b/>
          <w:bCs/>
          <w:sz w:val="36"/>
          <w:szCs w:val="36"/>
        </w:rPr>
        <w:t>专用合同条款</w:t>
      </w:r>
    </w:p>
    <w:p>
      <w:pPr>
        <w:pStyle w:val="58"/>
        <w:tabs>
          <w:tab w:val="left" w:pos="4409"/>
        </w:tabs>
        <w:spacing w:line="360" w:lineRule="auto"/>
        <w:ind w:left="0" w:firstLine="0"/>
        <w:rPr>
          <w:b/>
          <w:bCs/>
          <w:sz w:val="30"/>
        </w:rPr>
      </w:pPr>
      <w:bookmarkStart w:id="787" w:name="_TOC_250018"/>
      <w:bookmarkEnd w:id="787"/>
      <w:r>
        <w:rPr>
          <w:b/>
          <w:bCs/>
          <w:sz w:val="30"/>
          <w:lang w:val="en-US"/>
        </w:rPr>
        <w:t>1.</w:t>
      </w:r>
      <w:r>
        <w:rPr>
          <w:rFonts w:hint="eastAsia"/>
          <w:b/>
          <w:bCs/>
          <w:sz w:val="30"/>
        </w:rPr>
        <w:t>一般约定</w:t>
      </w:r>
    </w:p>
    <w:p>
      <w:pPr>
        <w:pStyle w:val="69"/>
        <w:autoSpaceDE/>
        <w:autoSpaceDN/>
        <w:spacing w:before="0"/>
        <w:ind w:left="0" w:firstLine="482" w:firstLineChars="200"/>
        <w:rPr>
          <w:rFonts w:cs="宋体"/>
          <w:b/>
          <w:sz w:val="24"/>
          <w:szCs w:val="24"/>
        </w:rPr>
      </w:pPr>
      <w:bookmarkStart w:id="788" w:name="_Toc54862332"/>
      <w:r>
        <w:rPr>
          <w:rFonts w:hint="eastAsia" w:cs="宋体"/>
          <w:b/>
          <w:sz w:val="24"/>
          <w:szCs w:val="24"/>
        </w:rPr>
        <w:t>第</w:t>
      </w:r>
      <w:r>
        <w:rPr>
          <w:rFonts w:cs="宋体"/>
          <w:b/>
          <w:sz w:val="24"/>
          <w:szCs w:val="24"/>
        </w:rPr>
        <w:t>1</w:t>
      </w:r>
      <w:r>
        <w:rPr>
          <w:rFonts w:hint="eastAsia" w:cs="宋体"/>
          <w:b/>
          <w:sz w:val="24"/>
          <w:szCs w:val="24"/>
        </w:rPr>
        <w:t>条</w:t>
      </w:r>
      <w:r>
        <w:rPr>
          <w:rFonts w:cs="宋体"/>
          <w:b/>
          <w:sz w:val="24"/>
          <w:szCs w:val="24"/>
        </w:rPr>
        <w:t xml:space="preserve"> </w:t>
      </w:r>
      <w:r>
        <w:rPr>
          <w:rFonts w:hint="eastAsia" w:cs="宋体"/>
          <w:b/>
          <w:sz w:val="24"/>
          <w:szCs w:val="24"/>
        </w:rPr>
        <w:t>一般约定</w:t>
      </w:r>
      <w:bookmarkEnd w:id="788"/>
    </w:p>
    <w:p>
      <w:pPr>
        <w:autoSpaceDE/>
        <w:autoSpaceDN/>
        <w:spacing w:line="360" w:lineRule="auto"/>
        <w:ind w:firstLine="482" w:firstLineChars="200"/>
        <w:rPr>
          <w:b/>
          <w:bCs/>
          <w:sz w:val="24"/>
          <w:szCs w:val="24"/>
        </w:rPr>
      </w:pPr>
      <w:r>
        <w:rPr>
          <w:b/>
          <w:bCs/>
          <w:sz w:val="24"/>
          <w:szCs w:val="24"/>
        </w:rPr>
        <w:t xml:space="preserve">1.1 </w:t>
      </w:r>
      <w:r>
        <w:rPr>
          <w:rFonts w:hint="eastAsia"/>
          <w:b/>
          <w:bCs/>
          <w:sz w:val="24"/>
          <w:szCs w:val="24"/>
        </w:rPr>
        <w:t>词语定义和解释</w:t>
      </w:r>
    </w:p>
    <w:p>
      <w:pPr>
        <w:autoSpaceDE/>
        <w:autoSpaceDN/>
        <w:spacing w:line="360" w:lineRule="auto"/>
        <w:ind w:firstLine="480" w:firstLineChars="200"/>
        <w:rPr>
          <w:sz w:val="24"/>
          <w:szCs w:val="24"/>
        </w:rPr>
      </w:pPr>
      <w:r>
        <w:rPr>
          <w:sz w:val="24"/>
          <w:szCs w:val="24"/>
        </w:rPr>
        <w:t xml:space="preserve">1.1.1 </w:t>
      </w:r>
      <w:r>
        <w:rPr>
          <w:rFonts w:hint="eastAsia"/>
          <w:sz w:val="24"/>
          <w:szCs w:val="24"/>
        </w:rPr>
        <w:t>合同</w:t>
      </w:r>
    </w:p>
    <w:p>
      <w:pPr>
        <w:autoSpaceDE/>
        <w:autoSpaceDN/>
        <w:spacing w:line="360" w:lineRule="auto"/>
        <w:ind w:firstLine="480" w:firstLineChars="200"/>
        <w:rPr>
          <w:sz w:val="24"/>
          <w:szCs w:val="24"/>
        </w:rPr>
      </w:pPr>
      <w:r>
        <w:rPr>
          <w:sz w:val="24"/>
          <w:szCs w:val="24"/>
        </w:rPr>
        <w:t xml:space="preserve">1.1.1.10 </w:t>
      </w:r>
      <w:r>
        <w:rPr>
          <w:rFonts w:hint="eastAsia"/>
          <w:sz w:val="24"/>
          <w:szCs w:val="24"/>
        </w:rPr>
        <w:t>其他合同文件：</w:t>
      </w:r>
      <w:r>
        <w:rPr>
          <w:sz w:val="24"/>
          <w:szCs w:val="24"/>
          <w:u w:val="single"/>
        </w:rPr>
        <w:t xml:space="preserve">                           </w:t>
      </w:r>
      <w:r>
        <w:rPr>
          <w:rFonts w:hint="eastAsia"/>
          <w:sz w:val="24"/>
          <w:szCs w:val="24"/>
        </w:rPr>
        <w:t>。</w:t>
      </w:r>
    </w:p>
    <w:p>
      <w:pPr>
        <w:autoSpaceDE/>
        <w:autoSpaceDN/>
        <w:spacing w:line="360" w:lineRule="auto"/>
        <w:ind w:firstLine="480" w:firstLineChars="200"/>
        <w:rPr>
          <w:sz w:val="24"/>
          <w:szCs w:val="24"/>
        </w:rPr>
      </w:pPr>
      <w:r>
        <w:rPr>
          <w:sz w:val="24"/>
          <w:szCs w:val="24"/>
        </w:rPr>
        <w:t xml:space="preserve">1.1.3 </w:t>
      </w:r>
      <w:r>
        <w:rPr>
          <w:rFonts w:hint="eastAsia"/>
          <w:sz w:val="24"/>
          <w:szCs w:val="24"/>
        </w:rPr>
        <w:t>工程和设备</w:t>
      </w:r>
    </w:p>
    <w:p>
      <w:pPr>
        <w:autoSpaceDE/>
        <w:autoSpaceDN/>
        <w:spacing w:line="360" w:lineRule="auto"/>
        <w:ind w:firstLine="480" w:firstLineChars="200"/>
        <w:rPr>
          <w:sz w:val="24"/>
          <w:szCs w:val="24"/>
        </w:rPr>
      </w:pPr>
      <w:r>
        <w:rPr>
          <w:sz w:val="24"/>
          <w:szCs w:val="24"/>
        </w:rPr>
        <w:t xml:space="preserve">1.1.3.5 </w:t>
      </w:r>
      <w:r>
        <w:rPr>
          <w:rFonts w:hint="eastAsia"/>
          <w:sz w:val="24"/>
          <w:szCs w:val="24"/>
        </w:rPr>
        <w:t>单位</w:t>
      </w:r>
      <w:r>
        <w:rPr>
          <w:sz w:val="24"/>
          <w:szCs w:val="24"/>
        </w:rPr>
        <w:t>/</w:t>
      </w:r>
      <w:r>
        <w:rPr>
          <w:rFonts w:hint="eastAsia"/>
          <w:sz w:val="24"/>
          <w:szCs w:val="24"/>
        </w:rPr>
        <w:t>区段工程的范围：</w:t>
      </w:r>
      <w:r>
        <w:rPr>
          <w:sz w:val="24"/>
          <w:szCs w:val="24"/>
          <w:u w:val="single"/>
        </w:rPr>
        <w:t xml:space="preserve">                     </w:t>
      </w:r>
      <w:r>
        <w:rPr>
          <w:rFonts w:hint="eastAsia"/>
          <w:sz w:val="24"/>
          <w:szCs w:val="24"/>
        </w:rPr>
        <w:t>。</w:t>
      </w:r>
    </w:p>
    <w:p>
      <w:pPr>
        <w:autoSpaceDE/>
        <w:autoSpaceDN/>
        <w:spacing w:line="360" w:lineRule="auto"/>
        <w:ind w:firstLine="480" w:firstLineChars="200"/>
        <w:rPr>
          <w:sz w:val="24"/>
          <w:szCs w:val="24"/>
        </w:rPr>
      </w:pPr>
      <w:r>
        <w:rPr>
          <w:sz w:val="24"/>
          <w:szCs w:val="24"/>
        </w:rPr>
        <w:t xml:space="preserve">1.1.3.9 </w:t>
      </w:r>
      <w:r>
        <w:rPr>
          <w:rFonts w:hint="eastAsia"/>
          <w:sz w:val="24"/>
          <w:szCs w:val="24"/>
        </w:rPr>
        <w:t>作为施工场所组成部分的其他场所包括：</w:t>
      </w:r>
      <w:r>
        <w:rPr>
          <w:sz w:val="24"/>
          <w:szCs w:val="24"/>
          <w:u w:val="single"/>
        </w:rPr>
        <w:t xml:space="preserve">       </w:t>
      </w:r>
      <w:r>
        <w:rPr>
          <w:rFonts w:hint="eastAsia"/>
          <w:sz w:val="24"/>
          <w:szCs w:val="24"/>
        </w:rPr>
        <w:t>。</w:t>
      </w:r>
    </w:p>
    <w:p>
      <w:pPr>
        <w:autoSpaceDE/>
        <w:autoSpaceDN/>
        <w:spacing w:line="360" w:lineRule="auto"/>
        <w:ind w:firstLine="480" w:firstLineChars="200"/>
        <w:rPr>
          <w:sz w:val="24"/>
          <w:szCs w:val="24"/>
        </w:rPr>
      </w:pPr>
      <w:r>
        <w:rPr>
          <w:sz w:val="24"/>
          <w:szCs w:val="24"/>
        </w:rPr>
        <w:t>1.1.3.</w:t>
      </w:r>
      <w:r>
        <w:rPr>
          <w:sz w:val="24"/>
          <w:szCs w:val="24"/>
          <w:lang w:val="en-US"/>
        </w:rPr>
        <w:t>10</w:t>
      </w:r>
      <w:r>
        <w:rPr>
          <w:sz w:val="24"/>
          <w:szCs w:val="24"/>
        </w:rPr>
        <w:t xml:space="preserve"> </w:t>
      </w:r>
      <w:r>
        <w:rPr>
          <w:rFonts w:hint="eastAsia"/>
          <w:sz w:val="24"/>
          <w:szCs w:val="24"/>
        </w:rPr>
        <w:t>永久占地包括：</w:t>
      </w:r>
      <w:r>
        <w:rPr>
          <w:sz w:val="24"/>
          <w:szCs w:val="24"/>
          <w:u w:val="single"/>
        </w:rPr>
        <w:t xml:space="preserve">                           </w:t>
      </w:r>
      <w:r>
        <w:rPr>
          <w:rFonts w:hint="eastAsia"/>
          <w:sz w:val="24"/>
          <w:szCs w:val="24"/>
        </w:rPr>
        <w:t>。</w:t>
      </w:r>
    </w:p>
    <w:p>
      <w:pPr>
        <w:pStyle w:val="58"/>
        <w:tabs>
          <w:tab w:val="left" w:pos="2489"/>
          <w:tab w:val="left" w:pos="8785"/>
        </w:tabs>
        <w:spacing w:line="360" w:lineRule="auto"/>
        <w:ind w:left="0" w:firstLine="480" w:firstLineChars="200"/>
        <w:rPr>
          <w:sz w:val="24"/>
          <w:szCs w:val="24"/>
        </w:rPr>
      </w:pPr>
      <w:r>
        <w:rPr>
          <w:sz w:val="24"/>
          <w:szCs w:val="24"/>
        </w:rPr>
        <w:t xml:space="preserve">1.1.3.11 </w:t>
      </w:r>
      <w:r>
        <w:rPr>
          <w:rFonts w:hint="eastAsia"/>
          <w:sz w:val="24"/>
          <w:szCs w:val="24"/>
        </w:rPr>
        <w:t>临时占地包括：</w:t>
      </w:r>
      <w:r>
        <w:rPr>
          <w:sz w:val="24"/>
          <w:szCs w:val="24"/>
          <w:u w:val="single"/>
        </w:rPr>
        <w:t xml:space="preserve">                           </w:t>
      </w:r>
      <w:r>
        <w:rPr>
          <w:rFonts w:hint="eastAsia"/>
          <w:sz w:val="24"/>
          <w:szCs w:val="24"/>
        </w:rPr>
        <w:t>。</w:t>
      </w:r>
    </w:p>
    <w:p>
      <w:pPr>
        <w:pStyle w:val="58"/>
        <w:tabs>
          <w:tab w:val="left" w:pos="2489"/>
        </w:tabs>
        <w:spacing w:line="360" w:lineRule="auto"/>
        <w:ind w:left="0" w:firstLine="468" w:firstLineChars="200"/>
        <w:rPr>
          <w:sz w:val="24"/>
          <w:szCs w:val="24"/>
        </w:rPr>
      </w:pPr>
      <w:r>
        <w:rPr>
          <w:spacing w:val="-3"/>
          <w:sz w:val="24"/>
          <w:szCs w:val="24"/>
          <w:lang w:val="en-US"/>
        </w:rPr>
        <w:t xml:space="preserve">1.1.3.12 </w:t>
      </w:r>
      <w:r>
        <w:rPr>
          <w:rFonts w:hint="eastAsia"/>
          <w:spacing w:val="-3"/>
          <w:sz w:val="24"/>
          <w:szCs w:val="24"/>
        </w:rPr>
        <w:t>园林绿化工程：是指新建、改建、扩建公园绿地、防护绿地、广场用地、附属绿地、区域绿地，以及对城市生态和</w:t>
      </w:r>
      <w:r>
        <w:rPr>
          <w:rFonts w:hint="eastAsia"/>
          <w:spacing w:val="8"/>
          <w:sz w:val="24"/>
          <w:szCs w:val="24"/>
        </w:rPr>
        <w:t>景观影响较大建设项目的配套绿化，主要包括园林绿化植物栽</w:t>
      </w:r>
      <w:r>
        <w:rPr>
          <w:rFonts w:hint="eastAsia"/>
          <w:spacing w:val="-3"/>
          <w:sz w:val="24"/>
          <w:szCs w:val="24"/>
        </w:rPr>
        <w:t>植、地形整理、园林设施设备安装及园林建筑、小品、花坛、园路、水系、喷泉、假山、雕塑、绿地广场、驳岸、园林景观桥梁等。</w:t>
      </w:r>
    </w:p>
    <w:p>
      <w:pPr>
        <w:pStyle w:val="58"/>
        <w:tabs>
          <w:tab w:val="left" w:pos="2494"/>
        </w:tabs>
        <w:spacing w:line="360" w:lineRule="auto"/>
        <w:ind w:left="0" w:firstLine="500" w:firstLineChars="200"/>
        <w:rPr>
          <w:sz w:val="24"/>
          <w:szCs w:val="24"/>
        </w:rPr>
      </w:pPr>
      <w:r>
        <w:rPr>
          <w:spacing w:val="5"/>
          <w:sz w:val="24"/>
          <w:szCs w:val="24"/>
          <w:lang w:val="en-US"/>
        </w:rPr>
        <w:t>1.1.3.13</w:t>
      </w:r>
      <w:r>
        <w:rPr>
          <w:rFonts w:hint="eastAsia"/>
          <w:spacing w:val="5"/>
          <w:sz w:val="24"/>
          <w:szCs w:val="24"/>
        </w:rPr>
        <w:t>绿化工程：是指树木、花卉、草坪、地被植物等</w:t>
      </w:r>
      <w:r>
        <w:rPr>
          <w:rFonts w:hint="eastAsia"/>
          <w:sz w:val="24"/>
          <w:szCs w:val="24"/>
        </w:rPr>
        <w:t>的种植工程。</w:t>
      </w:r>
    </w:p>
    <w:p>
      <w:pPr>
        <w:pStyle w:val="58"/>
        <w:tabs>
          <w:tab w:val="left" w:pos="2494"/>
        </w:tabs>
        <w:spacing w:line="360" w:lineRule="auto"/>
        <w:ind w:left="0" w:firstLine="492" w:firstLineChars="200"/>
        <w:rPr>
          <w:sz w:val="30"/>
        </w:rPr>
      </w:pPr>
      <w:r>
        <w:rPr>
          <w:spacing w:val="3"/>
          <w:sz w:val="24"/>
          <w:szCs w:val="24"/>
          <w:lang w:val="en-US"/>
        </w:rPr>
        <w:t>1.1.3.14</w:t>
      </w:r>
      <w:r>
        <w:rPr>
          <w:rFonts w:hint="eastAsia"/>
          <w:spacing w:val="3"/>
          <w:sz w:val="24"/>
          <w:szCs w:val="24"/>
        </w:rPr>
        <w:t>绿化养护：是指对绿地内植物采取的整形修剪、</w:t>
      </w:r>
      <w:r>
        <w:rPr>
          <w:rFonts w:hint="eastAsia"/>
          <w:spacing w:val="-4"/>
          <w:sz w:val="24"/>
          <w:szCs w:val="24"/>
        </w:rPr>
        <w:t>松土除草、灌溉与排水、施肥、有害生物防治、改植与补植、绿</w:t>
      </w:r>
      <w:r>
        <w:rPr>
          <w:rFonts w:hint="eastAsia"/>
          <w:sz w:val="24"/>
          <w:szCs w:val="24"/>
        </w:rPr>
        <w:t>地防护（如防台风、防寒）等技术措施。</w:t>
      </w:r>
    </w:p>
    <w:p>
      <w:pPr>
        <w:pStyle w:val="58"/>
        <w:tabs>
          <w:tab w:val="left" w:pos="2038"/>
        </w:tabs>
        <w:spacing w:line="360" w:lineRule="auto"/>
        <w:ind w:left="0" w:firstLine="480" w:firstLineChars="200"/>
        <w:jc w:val="both"/>
        <w:rPr>
          <w:sz w:val="24"/>
          <w:szCs w:val="24"/>
        </w:rPr>
      </w:pPr>
      <w:r>
        <w:rPr>
          <w:sz w:val="24"/>
          <w:szCs w:val="24"/>
          <w:lang w:val="en-US"/>
        </w:rPr>
        <w:t>1.1.4</w:t>
      </w:r>
      <w:r>
        <w:rPr>
          <w:rFonts w:hint="eastAsia"/>
          <w:sz w:val="24"/>
          <w:szCs w:val="24"/>
        </w:rPr>
        <w:t>日期和期限</w:t>
      </w:r>
    </w:p>
    <w:p>
      <w:pPr>
        <w:spacing w:line="360" w:lineRule="auto"/>
        <w:ind w:firstLine="480" w:firstLineChars="200"/>
        <w:jc w:val="both"/>
        <w:rPr>
          <w:sz w:val="30"/>
        </w:rPr>
      </w:pPr>
      <w:r>
        <w:rPr>
          <w:sz w:val="24"/>
          <w:szCs w:val="24"/>
        </w:rPr>
        <w:t xml:space="preserve">1.1.4.8 </w:t>
      </w:r>
      <w:r>
        <w:rPr>
          <w:rFonts w:hint="eastAsia"/>
          <w:sz w:val="24"/>
          <w:szCs w:val="24"/>
        </w:rPr>
        <w:t>绿化养护期：是指承包人按照合同约定进行绿化养护的期限，从工程竣工验收合格之日起计算。绿化养护期最长不得超过</w:t>
      </w:r>
      <w:r>
        <w:rPr>
          <w:sz w:val="24"/>
          <w:szCs w:val="24"/>
        </w:rPr>
        <w:t xml:space="preserve"> 24 </w:t>
      </w:r>
      <w:r>
        <w:rPr>
          <w:rFonts w:hint="eastAsia"/>
          <w:sz w:val="24"/>
          <w:szCs w:val="24"/>
        </w:rPr>
        <w:t>个月。</w:t>
      </w:r>
    </w:p>
    <w:p>
      <w:pPr>
        <w:autoSpaceDE/>
        <w:autoSpaceDN/>
        <w:spacing w:line="360" w:lineRule="auto"/>
        <w:ind w:firstLine="482" w:firstLineChars="200"/>
        <w:rPr>
          <w:b/>
          <w:bCs/>
          <w:sz w:val="24"/>
          <w:szCs w:val="24"/>
        </w:rPr>
      </w:pPr>
      <w:r>
        <w:rPr>
          <w:b/>
          <w:bCs/>
          <w:sz w:val="24"/>
          <w:szCs w:val="24"/>
        </w:rPr>
        <w:t xml:space="preserve">1.3 </w:t>
      </w:r>
      <w:r>
        <w:rPr>
          <w:rFonts w:hint="eastAsia"/>
          <w:b/>
          <w:bCs/>
          <w:sz w:val="24"/>
          <w:szCs w:val="24"/>
        </w:rPr>
        <w:t>法律</w:t>
      </w:r>
    </w:p>
    <w:p>
      <w:pPr>
        <w:pStyle w:val="58"/>
        <w:tabs>
          <w:tab w:val="left" w:pos="1663"/>
        </w:tabs>
        <w:spacing w:line="360" w:lineRule="auto"/>
        <w:ind w:left="0" w:firstLine="480" w:firstLineChars="200"/>
        <w:rPr>
          <w:sz w:val="24"/>
          <w:szCs w:val="24"/>
        </w:rPr>
      </w:pPr>
      <w:r>
        <w:rPr>
          <w:rFonts w:hint="eastAsia"/>
          <w:sz w:val="24"/>
          <w:szCs w:val="24"/>
        </w:rPr>
        <w:t>适用于合同的其他规范性文件：</w:t>
      </w:r>
      <w:r>
        <w:rPr>
          <w:sz w:val="24"/>
          <w:szCs w:val="24"/>
          <w:u w:val="single"/>
        </w:rPr>
        <w:t xml:space="preserve">                      </w:t>
      </w:r>
      <w:r>
        <w:rPr>
          <w:rFonts w:hint="eastAsia"/>
          <w:sz w:val="24"/>
          <w:szCs w:val="24"/>
        </w:rPr>
        <w:t>。</w:t>
      </w:r>
    </w:p>
    <w:p>
      <w:pPr>
        <w:pStyle w:val="58"/>
        <w:tabs>
          <w:tab w:val="left" w:pos="1663"/>
        </w:tabs>
        <w:spacing w:line="360" w:lineRule="auto"/>
        <w:ind w:left="0" w:firstLine="482" w:firstLineChars="200"/>
        <w:rPr>
          <w:b/>
          <w:bCs/>
          <w:sz w:val="24"/>
          <w:szCs w:val="24"/>
        </w:rPr>
      </w:pPr>
      <w:r>
        <w:rPr>
          <w:b/>
          <w:bCs/>
          <w:sz w:val="24"/>
          <w:szCs w:val="24"/>
          <w:lang w:val="en-US"/>
        </w:rPr>
        <w:t>1.4</w:t>
      </w:r>
      <w:r>
        <w:rPr>
          <w:rFonts w:hint="eastAsia"/>
          <w:b/>
          <w:bCs/>
          <w:sz w:val="24"/>
          <w:szCs w:val="24"/>
        </w:rPr>
        <w:t>标准和规范</w:t>
      </w:r>
    </w:p>
    <w:p>
      <w:pPr>
        <w:spacing w:line="360" w:lineRule="auto"/>
        <w:ind w:firstLine="480" w:firstLineChars="200"/>
        <w:rPr>
          <w:sz w:val="24"/>
          <w:szCs w:val="24"/>
        </w:rPr>
      </w:pPr>
      <w:r>
        <w:rPr>
          <w:rFonts w:hint="eastAsia"/>
          <w:sz w:val="24"/>
          <w:szCs w:val="24"/>
        </w:rPr>
        <w:t>本款修改</w:t>
      </w:r>
      <w:r>
        <w:rPr>
          <w:sz w:val="24"/>
          <w:szCs w:val="24"/>
        </w:rPr>
        <w:t xml:space="preserve"> 1.4.1</w:t>
      </w:r>
      <w:r>
        <w:rPr>
          <w:rFonts w:hint="eastAsia"/>
          <w:sz w:val="24"/>
          <w:szCs w:val="24"/>
        </w:rPr>
        <w:t>、</w:t>
      </w:r>
      <w:r>
        <w:rPr>
          <w:sz w:val="24"/>
          <w:szCs w:val="24"/>
        </w:rPr>
        <w:t>1.4.2</w:t>
      </w:r>
      <w:r>
        <w:rPr>
          <w:rFonts w:hint="eastAsia"/>
          <w:sz w:val="24"/>
          <w:szCs w:val="24"/>
        </w:rPr>
        <w:t>。</w:t>
      </w:r>
    </w:p>
    <w:p>
      <w:pPr>
        <w:pStyle w:val="58"/>
        <w:tabs>
          <w:tab w:val="left" w:pos="1958"/>
        </w:tabs>
        <w:spacing w:line="360" w:lineRule="auto"/>
        <w:ind w:left="0" w:firstLine="480" w:firstLineChars="200"/>
        <w:rPr>
          <w:sz w:val="24"/>
          <w:szCs w:val="24"/>
        </w:rPr>
      </w:pPr>
      <w:r>
        <w:rPr>
          <w:sz w:val="24"/>
          <w:szCs w:val="24"/>
          <w:lang w:val="en-US"/>
        </w:rPr>
        <w:t>1.4.1</w:t>
      </w:r>
      <w:r>
        <w:rPr>
          <w:rFonts w:hint="eastAsia"/>
          <w:sz w:val="24"/>
          <w:szCs w:val="24"/>
        </w:rPr>
        <w:t>适用于工程的标准规范包括：</w:t>
      </w:r>
    </w:p>
    <w:p>
      <w:pPr>
        <w:spacing w:line="360" w:lineRule="auto"/>
        <w:ind w:firstLine="480" w:firstLineChars="200"/>
        <w:rPr>
          <w:sz w:val="24"/>
          <w:szCs w:val="24"/>
        </w:rPr>
      </w:pPr>
      <w:r>
        <w:rPr>
          <w:rFonts w:hint="eastAsia"/>
          <w:sz w:val="24"/>
          <w:szCs w:val="24"/>
        </w:rPr>
        <w:t>园林绿化工程施工及验收规范</w:t>
      </w:r>
      <w:r>
        <w:rPr>
          <w:rFonts w:hint="eastAsia"/>
          <w:spacing w:val="1"/>
          <w:sz w:val="24"/>
          <w:szCs w:val="24"/>
        </w:rPr>
        <w:t>（</w:t>
      </w:r>
      <w:r>
        <w:rPr>
          <w:spacing w:val="-4"/>
          <w:sz w:val="24"/>
          <w:szCs w:val="24"/>
        </w:rPr>
        <w:t>C</w:t>
      </w:r>
      <w:r>
        <w:rPr>
          <w:spacing w:val="-2"/>
          <w:sz w:val="24"/>
          <w:szCs w:val="24"/>
        </w:rPr>
        <w:t>J</w:t>
      </w:r>
      <w:r>
        <w:rPr>
          <w:spacing w:val="-4"/>
          <w:sz w:val="24"/>
          <w:szCs w:val="24"/>
        </w:rPr>
        <w:t>J8</w:t>
      </w:r>
      <w:r>
        <w:rPr>
          <w:spacing w:val="-1"/>
          <w:sz w:val="24"/>
          <w:szCs w:val="24"/>
        </w:rPr>
        <w:t>2</w:t>
      </w:r>
      <w:r>
        <w:rPr>
          <w:rFonts w:hint="eastAsia"/>
          <w:spacing w:val="-154"/>
          <w:sz w:val="24"/>
          <w:szCs w:val="24"/>
        </w:rPr>
        <w:t>）；</w:t>
      </w:r>
      <w:r>
        <w:rPr>
          <w:rFonts w:hint="eastAsia"/>
          <w:sz w:val="24"/>
          <w:szCs w:val="24"/>
        </w:rPr>
        <w:t>园林绿化养护标准</w:t>
      </w:r>
      <w:r>
        <w:rPr>
          <w:rFonts w:hint="eastAsia"/>
          <w:spacing w:val="3"/>
          <w:sz w:val="24"/>
          <w:szCs w:val="24"/>
        </w:rPr>
        <w:t>（</w:t>
      </w:r>
      <w:r>
        <w:rPr>
          <w:spacing w:val="-2"/>
          <w:sz w:val="24"/>
          <w:szCs w:val="24"/>
        </w:rPr>
        <w:t>C</w:t>
      </w:r>
      <w:r>
        <w:rPr>
          <w:sz w:val="24"/>
          <w:szCs w:val="24"/>
        </w:rPr>
        <w:t>J</w:t>
      </w:r>
      <w:r>
        <w:rPr>
          <w:spacing w:val="-2"/>
          <w:sz w:val="24"/>
          <w:szCs w:val="24"/>
        </w:rPr>
        <w:t>J</w:t>
      </w:r>
      <w:r>
        <w:rPr>
          <w:sz w:val="24"/>
          <w:szCs w:val="24"/>
        </w:rPr>
        <w:t>/</w:t>
      </w:r>
      <w:r>
        <w:rPr>
          <w:spacing w:val="-2"/>
          <w:sz w:val="24"/>
          <w:szCs w:val="24"/>
        </w:rPr>
        <w:t>T</w:t>
      </w:r>
      <w:r>
        <w:rPr>
          <w:sz w:val="24"/>
          <w:szCs w:val="24"/>
        </w:rPr>
        <w:t>2</w:t>
      </w:r>
      <w:r>
        <w:rPr>
          <w:spacing w:val="-2"/>
          <w:sz w:val="24"/>
          <w:szCs w:val="24"/>
        </w:rPr>
        <w:t>8</w:t>
      </w:r>
      <w:r>
        <w:rPr>
          <w:spacing w:val="2"/>
          <w:sz w:val="24"/>
          <w:szCs w:val="24"/>
        </w:rPr>
        <w:t>7</w:t>
      </w:r>
      <w:r>
        <w:rPr>
          <w:rFonts w:hint="eastAsia"/>
          <w:spacing w:val="-152"/>
          <w:sz w:val="24"/>
          <w:szCs w:val="24"/>
        </w:rPr>
        <w:t>）；</w:t>
      </w:r>
    </w:p>
    <w:p>
      <w:pPr>
        <w:spacing w:line="360" w:lineRule="auto"/>
        <w:ind w:firstLine="480" w:firstLineChars="200"/>
        <w:rPr>
          <w:sz w:val="24"/>
          <w:szCs w:val="24"/>
        </w:rPr>
      </w:pPr>
      <w:r>
        <w:rPr>
          <w:rFonts w:hint="eastAsia"/>
          <w:sz w:val="24"/>
          <w:szCs w:val="24"/>
        </w:rPr>
        <w:t>建设工程工程量清单计价规范</w:t>
      </w:r>
      <w:r>
        <w:rPr>
          <w:rFonts w:hint="eastAsia"/>
          <w:spacing w:val="3"/>
          <w:sz w:val="24"/>
          <w:szCs w:val="24"/>
        </w:rPr>
        <w:t>（</w:t>
      </w:r>
      <w:r>
        <w:rPr>
          <w:spacing w:val="-2"/>
          <w:sz w:val="24"/>
          <w:szCs w:val="24"/>
        </w:rPr>
        <w:t>G</w:t>
      </w:r>
      <w:r>
        <w:rPr>
          <w:sz w:val="24"/>
          <w:szCs w:val="24"/>
        </w:rPr>
        <w:t>B</w:t>
      </w:r>
      <w:r>
        <w:rPr>
          <w:spacing w:val="-2"/>
          <w:sz w:val="24"/>
          <w:szCs w:val="24"/>
        </w:rPr>
        <w:t>50</w:t>
      </w:r>
      <w:r>
        <w:rPr>
          <w:sz w:val="24"/>
          <w:szCs w:val="24"/>
        </w:rPr>
        <w:t>50</w:t>
      </w:r>
      <w:r>
        <w:rPr>
          <w:spacing w:val="-1"/>
          <w:sz w:val="24"/>
          <w:szCs w:val="24"/>
        </w:rPr>
        <w:t>0</w:t>
      </w:r>
      <w:r>
        <w:rPr>
          <w:rFonts w:hint="eastAsia"/>
          <w:spacing w:val="-152"/>
          <w:sz w:val="24"/>
          <w:szCs w:val="24"/>
        </w:rPr>
        <w:t>）；</w:t>
      </w:r>
      <w:r>
        <w:rPr>
          <w:rFonts w:hint="eastAsia"/>
          <w:sz w:val="24"/>
          <w:szCs w:val="24"/>
        </w:rPr>
        <w:t>园林绿化工程工程量计算规范</w:t>
      </w:r>
      <w:r>
        <w:rPr>
          <w:rFonts w:hint="eastAsia"/>
          <w:spacing w:val="3"/>
          <w:sz w:val="24"/>
          <w:szCs w:val="24"/>
        </w:rPr>
        <w:t>（</w:t>
      </w:r>
      <w:r>
        <w:rPr>
          <w:spacing w:val="-2"/>
          <w:sz w:val="24"/>
          <w:szCs w:val="24"/>
        </w:rPr>
        <w:t>G</w:t>
      </w:r>
      <w:r>
        <w:rPr>
          <w:sz w:val="24"/>
          <w:szCs w:val="24"/>
        </w:rPr>
        <w:t>B</w:t>
      </w:r>
      <w:r>
        <w:rPr>
          <w:spacing w:val="-2"/>
          <w:sz w:val="24"/>
          <w:szCs w:val="24"/>
        </w:rPr>
        <w:t>50</w:t>
      </w:r>
      <w:r>
        <w:rPr>
          <w:sz w:val="24"/>
          <w:szCs w:val="24"/>
        </w:rPr>
        <w:t>85</w:t>
      </w:r>
      <w:r>
        <w:rPr>
          <w:spacing w:val="-1"/>
          <w:sz w:val="24"/>
          <w:szCs w:val="24"/>
        </w:rPr>
        <w:t>8</w:t>
      </w:r>
      <w:r>
        <w:rPr>
          <w:rFonts w:hint="eastAsia"/>
          <w:spacing w:val="-152"/>
          <w:sz w:val="24"/>
          <w:szCs w:val="24"/>
        </w:rPr>
        <w:t>）；</w:t>
      </w:r>
    </w:p>
    <w:p>
      <w:pPr>
        <w:tabs>
          <w:tab w:val="left" w:pos="9001"/>
        </w:tabs>
        <w:spacing w:line="360" w:lineRule="auto"/>
        <w:ind w:firstLine="480" w:firstLineChars="200"/>
        <w:rPr>
          <w:sz w:val="24"/>
          <w:szCs w:val="24"/>
        </w:rPr>
      </w:pPr>
      <w:r>
        <w:rPr>
          <w:rFonts w:hint="eastAsia"/>
          <w:sz w:val="24"/>
          <w:szCs w:val="24"/>
        </w:rPr>
        <w:t>与园林绿化行业相关的行业标准、地方标准</w:t>
      </w:r>
      <w:r>
        <w:rPr>
          <w:rFonts w:hint="eastAsia"/>
          <w:spacing w:val="3"/>
          <w:sz w:val="24"/>
          <w:szCs w:val="24"/>
        </w:rPr>
        <w:t>：</w:t>
      </w:r>
      <w:r>
        <w:rPr>
          <w:sz w:val="24"/>
          <w:szCs w:val="24"/>
          <w:u w:val="single"/>
        </w:rPr>
        <w:tab/>
      </w:r>
    </w:p>
    <w:p>
      <w:pPr>
        <w:pStyle w:val="58"/>
        <w:tabs>
          <w:tab w:val="left" w:pos="2033"/>
          <w:tab w:val="left" w:pos="9001"/>
        </w:tabs>
        <w:spacing w:line="360" w:lineRule="auto"/>
        <w:ind w:left="0" w:firstLine="480" w:firstLineChars="200"/>
        <w:rPr>
          <w:sz w:val="24"/>
          <w:szCs w:val="24"/>
        </w:rPr>
      </w:pPr>
      <w:r>
        <w:rPr>
          <w:sz w:val="24"/>
          <w:szCs w:val="24"/>
          <w:lang w:val="en-US"/>
        </w:rPr>
        <w:t>1.4.2</w:t>
      </w:r>
      <w:r>
        <w:rPr>
          <w:rFonts w:hint="eastAsia"/>
          <w:sz w:val="24"/>
          <w:szCs w:val="24"/>
        </w:rPr>
        <w:t>发包人提供国外标准、规范的名称</w:t>
      </w:r>
      <w:r>
        <w:rPr>
          <w:rFonts w:hint="eastAsia"/>
          <w:spacing w:val="3"/>
          <w:sz w:val="24"/>
          <w:szCs w:val="24"/>
        </w:rPr>
        <w:t>：</w:t>
      </w:r>
      <w:r>
        <w:rPr>
          <w:sz w:val="24"/>
          <w:szCs w:val="24"/>
          <w:u w:val="single"/>
        </w:rPr>
        <w:tab/>
      </w:r>
    </w:p>
    <w:p>
      <w:pPr>
        <w:tabs>
          <w:tab w:val="left" w:pos="8782"/>
        </w:tabs>
        <w:spacing w:line="360" w:lineRule="auto"/>
        <w:ind w:firstLine="480" w:firstLineChars="200"/>
        <w:rPr>
          <w:sz w:val="24"/>
          <w:szCs w:val="24"/>
        </w:rPr>
      </w:pPr>
      <w:r>
        <w:rPr>
          <w:rFonts w:hint="eastAsia"/>
          <w:sz w:val="24"/>
          <w:szCs w:val="24"/>
        </w:rPr>
        <w:t>发包人提供国外标准</w:t>
      </w:r>
      <w:r>
        <w:rPr>
          <w:rFonts w:hint="eastAsia"/>
          <w:spacing w:val="-5"/>
          <w:sz w:val="24"/>
          <w:szCs w:val="24"/>
        </w:rPr>
        <w:t>、</w:t>
      </w:r>
      <w:r>
        <w:rPr>
          <w:rFonts w:hint="eastAsia"/>
          <w:sz w:val="24"/>
          <w:szCs w:val="24"/>
        </w:rPr>
        <w:t>规范的份数</w:t>
      </w:r>
      <w:r>
        <w:rPr>
          <w:rFonts w:hint="eastAsia"/>
          <w:spacing w:val="-4"/>
          <w:sz w:val="24"/>
          <w:szCs w:val="24"/>
        </w:rPr>
        <w:t>：</w:t>
      </w:r>
      <w:r>
        <w:rPr>
          <w:spacing w:val="-4"/>
          <w:sz w:val="24"/>
          <w:szCs w:val="24"/>
          <w:u w:val="single"/>
        </w:rPr>
        <w:tab/>
      </w:r>
      <w:r>
        <w:rPr>
          <w:rFonts w:hint="eastAsia"/>
          <w:sz w:val="24"/>
          <w:szCs w:val="24"/>
        </w:rPr>
        <w:t>。</w:t>
      </w:r>
    </w:p>
    <w:p>
      <w:pPr>
        <w:pStyle w:val="58"/>
        <w:tabs>
          <w:tab w:val="left" w:pos="2033"/>
          <w:tab w:val="left" w:pos="9001"/>
        </w:tabs>
        <w:spacing w:line="360" w:lineRule="auto"/>
        <w:ind w:left="0" w:firstLine="480" w:firstLineChars="200"/>
        <w:rPr>
          <w:sz w:val="24"/>
          <w:szCs w:val="24"/>
        </w:rPr>
      </w:pPr>
      <w:r>
        <w:rPr>
          <w:sz w:val="24"/>
          <w:szCs w:val="24"/>
          <w:lang w:val="en-US"/>
        </w:rPr>
        <w:t>1.4.4</w:t>
      </w:r>
      <w:r>
        <w:rPr>
          <w:rFonts w:hint="eastAsia"/>
          <w:sz w:val="24"/>
          <w:szCs w:val="24"/>
        </w:rPr>
        <w:t>发包人对工程的技术标准和功能要求的特殊要求</w:t>
      </w:r>
      <w:r>
        <w:rPr>
          <w:rFonts w:hint="eastAsia"/>
          <w:spacing w:val="4"/>
          <w:sz w:val="24"/>
          <w:szCs w:val="24"/>
        </w:rPr>
        <w:t>：</w:t>
      </w:r>
      <w:r>
        <w:rPr>
          <w:sz w:val="24"/>
          <w:szCs w:val="24"/>
          <w:u w:val="single"/>
        </w:rPr>
        <w:tab/>
      </w:r>
    </w:p>
    <w:p>
      <w:pPr>
        <w:autoSpaceDE/>
        <w:autoSpaceDN/>
        <w:spacing w:line="360" w:lineRule="auto"/>
        <w:ind w:firstLine="482" w:firstLineChars="200"/>
        <w:rPr>
          <w:b/>
          <w:bCs/>
          <w:sz w:val="24"/>
          <w:szCs w:val="24"/>
        </w:rPr>
      </w:pPr>
      <w:r>
        <w:rPr>
          <w:b/>
          <w:bCs/>
          <w:sz w:val="24"/>
          <w:szCs w:val="24"/>
        </w:rPr>
        <w:t xml:space="preserve">1.5 </w:t>
      </w:r>
      <w:r>
        <w:rPr>
          <w:rFonts w:hint="eastAsia"/>
          <w:b/>
          <w:bCs/>
          <w:sz w:val="24"/>
          <w:szCs w:val="24"/>
        </w:rPr>
        <w:t>合同文件的优先顺序</w:t>
      </w:r>
    </w:p>
    <w:p>
      <w:pPr>
        <w:autoSpaceDE/>
        <w:autoSpaceDN/>
        <w:spacing w:line="360" w:lineRule="auto"/>
        <w:ind w:firstLine="480" w:firstLineChars="200"/>
        <w:rPr>
          <w:sz w:val="24"/>
          <w:szCs w:val="24"/>
        </w:rPr>
      </w:pPr>
      <w:r>
        <w:rPr>
          <w:rFonts w:hint="eastAsia"/>
          <w:sz w:val="24"/>
          <w:szCs w:val="24"/>
        </w:rPr>
        <w:t>合同文件组成及优先顺序为：</w:t>
      </w:r>
      <w:r>
        <w:rPr>
          <w:sz w:val="24"/>
          <w:szCs w:val="24"/>
          <w:u w:val="single"/>
        </w:rPr>
        <w:t xml:space="preserve">                         </w:t>
      </w:r>
      <w:r>
        <w:rPr>
          <w:rFonts w:hint="eastAsia"/>
          <w:sz w:val="24"/>
          <w:szCs w:val="24"/>
        </w:rPr>
        <w:t>。</w:t>
      </w:r>
    </w:p>
    <w:p>
      <w:pPr>
        <w:autoSpaceDE/>
        <w:autoSpaceDN/>
        <w:spacing w:line="360" w:lineRule="auto"/>
        <w:ind w:firstLine="482" w:firstLineChars="200"/>
        <w:rPr>
          <w:b/>
          <w:bCs/>
          <w:sz w:val="24"/>
          <w:szCs w:val="24"/>
        </w:rPr>
      </w:pPr>
      <w:r>
        <w:rPr>
          <w:b/>
          <w:bCs/>
          <w:sz w:val="24"/>
          <w:szCs w:val="24"/>
        </w:rPr>
        <w:t xml:space="preserve">1.6 </w:t>
      </w:r>
      <w:r>
        <w:rPr>
          <w:rFonts w:hint="eastAsia"/>
          <w:b/>
          <w:bCs/>
          <w:sz w:val="24"/>
          <w:szCs w:val="24"/>
        </w:rPr>
        <w:t>文件的提供和照管</w:t>
      </w:r>
    </w:p>
    <w:p>
      <w:pPr>
        <w:autoSpaceDE/>
        <w:autoSpaceDN/>
        <w:spacing w:line="360" w:lineRule="auto"/>
        <w:ind w:firstLine="480" w:firstLineChars="200"/>
        <w:rPr>
          <w:sz w:val="24"/>
          <w:szCs w:val="24"/>
        </w:rPr>
      </w:pPr>
      <w:r>
        <w:rPr>
          <w:sz w:val="24"/>
          <w:szCs w:val="24"/>
        </w:rPr>
        <w:t xml:space="preserve">1.6.1 </w:t>
      </w:r>
      <w:r>
        <w:rPr>
          <w:rFonts w:hint="eastAsia"/>
          <w:sz w:val="24"/>
          <w:szCs w:val="24"/>
        </w:rPr>
        <w:t>发包人文件的提供</w:t>
      </w:r>
    </w:p>
    <w:p>
      <w:pPr>
        <w:autoSpaceDE/>
        <w:autoSpaceDN/>
        <w:spacing w:line="360" w:lineRule="auto"/>
        <w:ind w:firstLine="480" w:firstLineChars="200"/>
        <w:rPr>
          <w:sz w:val="24"/>
          <w:szCs w:val="24"/>
        </w:rPr>
      </w:pPr>
      <w:r>
        <w:rPr>
          <w:rFonts w:hint="eastAsia"/>
          <w:sz w:val="24"/>
          <w:szCs w:val="24"/>
        </w:rPr>
        <w:t>发包人文件的提供期限、名称、数量和形式：</w:t>
      </w:r>
      <w:r>
        <w:rPr>
          <w:sz w:val="24"/>
          <w:szCs w:val="24"/>
          <w:u w:val="single"/>
        </w:rPr>
        <w:t xml:space="preserve">             </w:t>
      </w:r>
      <w:r>
        <w:rPr>
          <w:rFonts w:hint="eastAsia"/>
          <w:sz w:val="24"/>
          <w:szCs w:val="24"/>
        </w:rPr>
        <w:t>。</w:t>
      </w:r>
    </w:p>
    <w:p>
      <w:pPr>
        <w:autoSpaceDE/>
        <w:autoSpaceDN/>
        <w:spacing w:line="360" w:lineRule="auto"/>
        <w:ind w:firstLine="480" w:firstLineChars="200"/>
        <w:rPr>
          <w:sz w:val="24"/>
          <w:szCs w:val="24"/>
        </w:rPr>
      </w:pPr>
      <w:r>
        <w:rPr>
          <w:sz w:val="24"/>
          <w:szCs w:val="24"/>
        </w:rPr>
        <w:t xml:space="preserve">1.6.2 </w:t>
      </w:r>
      <w:r>
        <w:rPr>
          <w:rFonts w:hint="eastAsia"/>
          <w:sz w:val="24"/>
          <w:szCs w:val="24"/>
        </w:rPr>
        <w:t>承包人文件的提供</w:t>
      </w:r>
    </w:p>
    <w:p>
      <w:pPr>
        <w:autoSpaceDE/>
        <w:autoSpaceDN/>
        <w:spacing w:line="360" w:lineRule="auto"/>
        <w:ind w:firstLine="480" w:firstLineChars="200"/>
        <w:rPr>
          <w:sz w:val="24"/>
          <w:szCs w:val="24"/>
        </w:rPr>
      </w:pPr>
      <w:r>
        <w:rPr>
          <w:rFonts w:hint="eastAsia"/>
          <w:sz w:val="24"/>
          <w:szCs w:val="24"/>
        </w:rPr>
        <w:t>承包人文件的内容、提供期限、名称、数量和形式：</w:t>
      </w:r>
      <w:r>
        <w:rPr>
          <w:sz w:val="24"/>
          <w:szCs w:val="24"/>
          <w:u w:val="single"/>
        </w:rPr>
        <w:t xml:space="preserve">                                                  </w:t>
      </w:r>
      <w:r>
        <w:rPr>
          <w:rFonts w:hint="eastAsia"/>
          <w:sz w:val="24"/>
          <w:szCs w:val="24"/>
        </w:rPr>
        <w:t>。</w:t>
      </w:r>
    </w:p>
    <w:p>
      <w:pPr>
        <w:autoSpaceDE/>
        <w:autoSpaceDN/>
        <w:spacing w:line="360" w:lineRule="auto"/>
        <w:ind w:firstLine="480" w:firstLineChars="200"/>
        <w:rPr>
          <w:sz w:val="24"/>
          <w:szCs w:val="24"/>
        </w:rPr>
      </w:pPr>
      <w:r>
        <w:rPr>
          <w:sz w:val="24"/>
          <w:szCs w:val="24"/>
        </w:rPr>
        <w:t xml:space="preserve">1.6.4 </w:t>
      </w:r>
      <w:r>
        <w:rPr>
          <w:rFonts w:hint="eastAsia"/>
          <w:sz w:val="24"/>
          <w:szCs w:val="24"/>
        </w:rPr>
        <w:t>文件的照管</w:t>
      </w:r>
    </w:p>
    <w:p>
      <w:pPr>
        <w:autoSpaceDE/>
        <w:autoSpaceDN/>
        <w:spacing w:line="360" w:lineRule="auto"/>
        <w:ind w:firstLine="480" w:firstLineChars="200"/>
        <w:rPr>
          <w:sz w:val="24"/>
          <w:szCs w:val="24"/>
        </w:rPr>
      </w:pPr>
      <w:r>
        <w:rPr>
          <w:rFonts w:hint="eastAsia"/>
          <w:sz w:val="24"/>
          <w:szCs w:val="24"/>
        </w:rPr>
        <w:t>关于现场文件准备的约定：</w:t>
      </w:r>
      <w:r>
        <w:rPr>
          <w:sz w:val="24"/>
          <w:szCs w:val="24"/>
          <w:u w:val="single"/>
        </w:rPr>
        <w:t xml:space="preserve">                          </w:t>
      </w:r>
      <w:r>
        <w:rPr>
          <w:rFonts w:hint="eastAsia"/>
          <w:sz w:val="24"/>
          <w:szCs w:val="24"/>
        </w:rPr>
        <w:t>。</w:t>
      </w:r>
    </w:p>
    <w:p>
      <w:pPr>
        <w:autoSpaceDE/>
        <w:autoSpaceDN/>
        <w:spacing w:line="360" w:lineRule="auto"/>
        <w:ind w:firstLine="482" w:firstLineChars="200"/>
        <w:rPr>
          <w:b/>
          <w:bCs/>
          <w:sz w:val="24"/>
          <w:szCs w:val="24"/>
        </w:rPr>
      </w:pPr>
      <w:r>
        <w:rPr>
          <w:b/>
          <w:bCs/>
          <w:sz w:val="24"/>
          <w:szCs w:val="24"/>
        </w:rPr>
        <w:t xml:space="preserve">1.7 </w:t>
      </w:r>
      <w:r>
        <w:rPr>
          <w:rFonts w:hint="eastAsia"/>
          <w:b/>
          <w:bCs/>
          <w:sz w:val="24"/>
          <w:szCs w:val="24"/>
        </w:rPr>
        <w:t>联络</w:t>
      </w:r>
    </w:p>
    <w:p>
      <w:pPr>
        <w:autoSpaceDE/>
        <w:autoSpaceDN/>
        <w:spacing w:line="360" w:lineRule="auto"/>
        <w:ind w:firstLine="480" w:firstLineChars="200"/>
        <w:rPr>
          <w:sz w:val="24"/>
          <w:szCs w:val="24"/>
        </w:rPr>
      </w:pPr>
      <w:r>
        <w:rPr>
          <w:sz w:val="24"/>
          <w:szCs w:val="24"/>
        </w:rPr>
        <w:t xml:space="preserve">1.7.2 </w:t>
      </w:r>
      <w:r>
        <w:rPr>
          <w:rFonts w:hint="eastAsia"/>
          <w:sz w:val="24"/>
          <w:szCs w:val="24"/>
        </w:rPr>
        <w:t>发包人指定的送达方式（包括电子传输方式）：</w:t>
      </w:r>
      <w:r>
        <w:rPr>
          <w:sz w:val="24"/>
          <w:szCs w:val="24"/>
          <w:u w:val="single"/>
        </w:rPr>
        <w:t xml:space="preserve">                                                </w:t>
      </w:r>
      <w:r>
        <w:rPr>
          <w:rFonts w:hint="eastAsia"/>
          <w:sz w:val="24"/>
          <w:szCs w:val="24"/>
        </w:rPr>
        <w:t>。</w:t>
      </w:r>
    </w:p>
    <w:p>
      <w:pPr>
        <w:autoSpaceDE/>
        <w:autoSpaceDN/>
        <w:spacing w:line="360" w:lineRule="auto"/>
        <w:ind w:firstLine="480" w:firstLineChars="200"/>
        <w:rPr>
          <w:sz w:val="24"/>
          <w:szCs w:val="24"/>
        </w:rPr>
      </w:pPr>
      <w:r>
        <w:rPr>
          <w:rFonts w:hint="eastAsia"/>
          <w:sz w:val="24"/>
          <w:szCs w:val="24"/>
        </w:rPr>
        <w:t>发包人的送达地址：</w:t>
      </w:r>
      <w:r>
        <w:rPr>
          <w:sz w:val="24"/>
          <w:szCs w:val="24"/>
          <w:u w:val="single"/>
        </w:rPr>
        <w:t xml:space="preserve">                                </w:t>
      </w:r>
      <w:r>
        <w:rPr>
          <w:rFonts w:hint="eastAsia"/>
          <w:sz w:val="24"/>
          <w:szCs w:val="24"/>
        </w:rPr>
        <w:t>。</w:t>
      </w:r>
    </w:p>
    <w:p>
      <w:pPr>
        <w:autoSpaceDE/>
        <w:autoSpaceDN/>
        <w:spacing w:line="360" w:lineRule="auto"/>
        <w:ind w:firstLine="480" w:firstLineChars="200"/>
        <w:rPr>
          <w:sz w:val="24"/>
          <w:szCs w:val="24"/>
        </w:rPr>
      </w:pPr>
      <w:r>
        <w:rPr>
          <w:rFonts w:hint="eastAsia"/>
          <w:sz w:val="24"/>
          <w:szCs w:val="24"/>
        </w:rPr>
        <w:t>承包人指定的送达方式（包括电子传输方式）：</w:t>
      </w:r>
      <w:r>
        <w:rPr>
          <w:sz w:val="24"/>
          <w:szCs w:val="24"/>
        </w:rPr>
        <w:t xml:space="preserve"> </w:t>
      </w:r>
      <w:r>
        <w:rPr>
          <w:sz w:val="24"/>
          <w:szCs w:val="24"/>
          <w:u w:val="single"/>
        </w:rPr>
        <w:t xml:space="preserve">                                               </w:t>
      </w:r>
      <w:r>
        <w:rPr>
          <w:rFonts w:hint="eastAsia"/>
          <w:sz w:val="24"/>
          <w:szCs w:val="24"/>
        </w:rPr>
        <w:t>。</w:t>
      </w:r>
    </w:p>
    <w:p>
      <w:pPr>
        <w:autoSpaceDE/>
        <w:autoSpaceDN/>
        <w:spacing w:line="360" w:lineRule="auto"/>
        <w:ind w:firstLine="480" w:firstLineChars="200"/>
        <w:rPr>
          <w:sz w:val="24"/>
          <w:szCs w:val="24"/>
        </w:rPr>
      </w:pPr>
      <w:r>
        <w:rPr>
          <w:rFonts w:hint="eastAsia"/>
          <w:sz w:val="24"/>
          <w:szCs w:val="24"/>
        </w:rPr>
        <w:t>承包人的送达地址：</w:t>
      </w:r>
      <w:r>
        <w:rPr>
          <w:sz w:val="24"/>
          <w:szCs w:val="24"/>
          <w:u w:val="single"/>
        </w:rPr>
        <w:t xml:space="preserve">                                </w:t>
      </w:r>
      <w:r>
        <w:rPr>
          <w:rFonts w:hint="eastAsia"/>
          <w:sz w:val="24"/>
          <w:szCs w:val="24"/>
        </w:rPr>
        <w:t>。</w:t>
      </w:r>
    </w:p>
    <w:p>
      <w:pPr>
        <w:autoSpaceDE/>
        <w:autoSpaceDN/>
        <w:spacing w:line="360" w:lineRule="auto"/>
        <w:ind w:firstLine="480" w:firstLineChars="200"/>
        <w:rPr>
          <w:sz w:val="24"/>
          <w:szCs w:val="24"/>
        </w:rPr>
      </w:pPr>
      <w:r>
        <w:rPr>
          <w:sz w:val="24"/>
          <w:szCs w:val="24"/>
        </w:rPr>
        <w:t xml:space="preserve">1.10 </w:t>
      </w:r>
      <w:r>
        <w:rPr>
          <w:rFonts w:hint="eastAsia"/>
          <w:sz w:val="24"/>
          <w:szCs w:val="24"/>
        </w:rPr>
        <w:t>知识产权</w:t>
      </w:r>
    </w:p>
    <w:p>
      <w:pPr>
        <w:autoSpaceDE/>
        <w:autoSpaceDN/>
        <w:spacing w:line="360" w:lineRule="auto"/>
        <w:ind w:firstLine="480" w:firstLineChars="200"/>
        <w:rPr>
          <w:sz w:val="24"/>
          <w:szCs w:val="24"/>
        </w:rPr>
      </w:pPr>
      <w:r>
        <w:rPr>
          <w:sz w:val="24"/>
          <w:szCs w:val="24"/>
        </w:rPr>
        <w:t xml:space="preserve">1.10.1 </w:t>
      </w:r>
      <w:r>
        <w:rPr>
          <w:rFonts w:hint="eastAsia"/>
          <w:sz w:val="24"/>
          <w:szCs w:val="24"/>
        </w:rPr>
        <w:t>由发包人（或以发包人名义）编制的《发包人要求》和其他文件的著作权归属：</w:t>
      </w:r>
      <w:r>
        <w:rPr>
          <w:sz w:val="24"/>
          <w:szCs w:val="24"/>
          <w:u w:val="single"/>
        </w:rPr>
        <w:t xml:space="preserve">                              </w:t>
      </w:r>
      <w:r>
        <w:rPr>
          <w:rFonts w:hint="eastAsia"/>
          <w:sz w:val="24"/>
          <w:szCs w:val="24"/>
        </w:rPr>
        <w:t>。</w:t>
      </w:r>
    </w:p>
    <w:p>
      <w:pPr>
        <w:autoSpaceDE/>
        <w:autoSpaceDN/>
        <w:spacing w:line="360" w:lineRule="auto"/>
        <w:ind w:firstLine="480" w:firstLineChars="200"/>
        <w:rPr>
          <w:sz w:val="24"/>
          <w:szCs w:val="24"/>
        </w:rPr>
      </w:pPr>
      <w:r>
        <w:rPr>
          <w:sz w:val="24"/>
          <w:szCs w:val="24"/>
        </w:rPr>
        <w:t xml:space="preserve">1.10.2 </w:t>
      </w:r>
      <w:r>
        <w:rPr>
          <w:rFonts w:hint="eastAsia"/>
          <w:sz w:val="24"/>
          <w:szCs w:val="24"/>
        </w:rPr>
        <w:t>由承包人（或以承包人名义）为实施工程所编制的文件、承包人完成的设计工作成果和建造完成的建筑物的知识产权归属：</w:t>
      </w:r>
      <w:r>
        <w:rPr>
          <w:sz w:val="24"/>
          <w:szCs w:val="24"/>
          <w:u w:val="single"/>
        </w:rPr>
        <w:t xml:space="preserve">                                              </w:t>
      </w:r>
      <w:r>
        <w:rPr>
          <w:rFonts w:hint="eastAsia"/>
          <w:sz w:val="24"/>
          <w:szCs w:val="24"/>
        </w:rPr>
        <w:t>。</w:t>
      </w:r>
    </w:p>
    <w:p>
      <w:pPr>
        <w:autoSpaceDE/>
        <w:autoSpaceDN/>
        <w:spacing w:line="360" w:lineRule="auto"/>
        <w:ind w:firstLine="480" w:firstLineChars="200"/>
        <w:rPr>
          <w:sz w:val="24"/>
          <w:szCs w:val="24"/>
        </w:rPr>
      </w:pPr>
      <w:r>
        <w:rPr>
          <w:sz w:val="24"/>
          <w:szCs w:val="24"/>
        </w:rPr>
        <w:t xml:space="preserve">1.10.4 </w:t>
      </w:r>
      <w:r>
        <w:rPr>
          <w:rFonts w:hint="eastAsia"/>
          <w:sz w:val="24"/>
          <w:szCs w:val="24"/>
        </w:rPr>
        <w:t>承包人在投标文件中采用的专利、专有技术、技术秘密的使用费的承担方式</w:t>
      </w:r>
      <w:r>
        <w:rPr>
          <w:sz w:val="24"/>
          <w:szCs w:val="24"/>
          <w:u w:val="single"/>
        </w:rPr>
        <w:t xml:space="preserve">                                </w:t>
      </w:r>
      <w:r>
        <w:rPr>
          <w:rFonts w:hint="eastAsia"/>
          <w:sz w:val="24"/>
          <w:szCs w:val="24"/>
        </w:rPr>
        <w:t>。</w:t>
      </w:r>
    </w:p>
    <w:p>
      <w:pPr>
        <w:autoSpaceDE/>
        <w:autoSpaceDN/>
        <w:spacing w:line="360" w:lineRule="auto"/>
        <w:ind w:firstLine="482" w:firstLineChars="200"/>
        <w:rPr>
          <w:b/>
          <w:bCs/>
          <w:sz w:val="24"/>
          <w:szCs w:val="24"/>
        </w:rPr>
      </w:pPr>
      <w:r>
        <w:rPr>
          <w:b/>
          <w:bCs/>
          <w:sz w:val="24"/>
          <w:szCs w:val="24"/>
        </w:rPr>
        <w:t xml:space="preserve">1.11 </w:t>
      </w:r>
      <w:r>
        <w:rPr>
          <w:rFonts w:hint="eastAsia"/>
          <w:b/>
          <w:bCs/>
          <w:sz w:val="24"/>
          <w:szCs w:val="24"/>
        </w:rPr>
        <w:t>保密</w:t>
      </w:r>
    </w:p>
    <w:p>
      <w:pPr>
        <w:autoSpaceDE/>
        <w:autoSpaceDN/>
        <w:spacing w:line="360" w:lineRule="auto"/>
        <w:ind w:firstLine="480" w:firstLineChars="200"/>
        <w:rPr>
          <w:sz w:val="24"/>
          <w:szCs w:val="24"/>
        </w:rPr>
      </w:pPr>
      <w:r>
        <w:rPr>
          <w:rFonts w:hint="eastAsia"/>
          <w:sz w:val="24"/>
          <w:szCs w:val="24"/>
        </w:rPr>
        <w:t>双方订立的商业保密协议（名称）：</w:t>
      </w:r>
      <w:r>
        <w:rPr>
          <w:sz w:val="24"/>
          <w:szCs w:val="24"/>
          <w:u w:val="single"/>
        </w:rPr>
        <w:t xml:space="preserve">              </w:t>
      </w:r>
      <w:r>
        <w:rPr>
          <w:rFonts w:hint="eastAsia"/>
          <w:sz w:val="24"/>
          <w:szCs w:val="24"/>
        </w:rPr>
        <w:t>，作为本合同附件。</w:t>
      </w:r>
    </w:p>
    <w:p>
      <w:pPr>
        <w:autoSpaceDE/>
        <w:autoSpaceDN/>
        <w:spacing w:line="360" w:lineRule="auto"/>
        <w:ind w:firstLine="480" w:firstLineChars="200"/>
        <w:rPr>
          <w:sz w:val="24"/>
          <w:szCs w:val="24"/>
        </w:rPr>
      </w:pPr>
      <w:r>
        <w:rPr>
          <w:rFonts w:hint="eastAsia"/>
          <w:sz w:val="24"/>
          <w:szCs w:val="24"/>
        </w:rPr>
        <w:t>双方订立的技术保密协议（名称）：</w:t>
      </w:r>
      <w:r>
        <w:rPr>
          <w:sz w:val="24"/>
          <w:szCs w:val="24"/>
          <w:u w:val="single"/>
        </w:rPr>
        <w:t xml:space="preserve">             </w:t>
      </w:r>
      <w:r>
        <w:rPr>
          <w:rFonts w:hint="eastAsia"/>
          <w:sz w:val="24"/>
          <w:szCs w:val="24"/>
        </w:rPr>
        <w:t>，作为本合同附件。</w:t>
      </w:r>
    </w:p>
    <w:p>
      <w:pPr>
        <w:autoSpaceDE/>
        <w:autoSpaceDN/>
        <w:spacing w:line="360" w:lineRule="auto"/>
        <w:ind w:firstLine="482" w:firstLineChars="200"/>
        <w:rPr>
          <w:sz w:val="24"/>
          <w:szCs w:val="24"/>
        </w:rPr>
      </w:pPr>
      <w:r>
        <w:rPr>
          <w:b/>
          <w:bCs/>
          <w:sz w:val="24"/>
          <w:szCs w:val="24"/>
        </w:rPr>
        <w:t>1.13</w:t>
      </w:r>
      <w:r>
        <w:rPr>
          <w:sz w:val="24"/>
          <w:szCs w:val="24"/>
        </w:rPr>
        <w:t xml:space="preserve"> </w:t>
      </w:r>
      <w:r>
        <w:rPr>
          <w:rFonts w:hint="eastAsia"/>
          <w:sz w:val="24"/>
          <w:szCs w:val="24"/>
        </w:rPr>
        <w:t>责任限制</w:t>
      </w:r>
    </w:p>
    <w:p>
      <w:pPr>
        <w:autoSpaceDE/>
        <w:autoSpaceDN/>
        <w:spacing w:line="360" w:lineRule="auto"/>
        <w:ind w:firstLine="480" w:firstLineChars="200"/>
        <w:rPr>
          <w:sz w:val="24"/>
          <w:szCs w:val="24"/>
        </w:rPr>
      </w:pPr>
      <w:r>
        <w:rPr>
          <w:rFonts w:hint="eastAsia"/>
          <w:sz w:val="24"/>
          <w:szCs w:val="24"/>
        </w:rPr>
        <w:t>承包人对发包人赔偿责任的最高限额为</w:t>
      </w:r>
      <w:r>
        <w:rPr>
          <w:sz w:val="24"/>
          <w:szCs w:val="24"/>
          <w:u w:val="single"/>
        </w:rPr>
        <w:t xml:space="preserve">                </w:t>
      </w:r>
      <w:r>
        <w:rPr>
          <w:rFonts w:hint="eastAsia"/>
          <w:sz w:val="24"/>
          <w:szCs w:val="24"/>
        </w:rPr>
        <w:t>。</w:t>
      </w:r>
    </w:p>
    <w:p>
      <w:pPr>
        <w:autoSpaceDE/>
        <w:autoSpaceDN/>
        <w:spacing w:line="360" w:lineRule="auto"/>
        <w:ind w:firstLine="482" w:firstLineChars="200"/>
        <w:rPr>
          <w:sz w:val="24"/>
          <w:szCs w:val="24"/>
        </w:rPr>
      </w:pPr>
      <w:r>
        <w:rPr>
          <w:b/>
          <w:bCs/>
          <w:sz w:val="24"/>
          <w:szCs w:val="24"/>
        </w:rPr>
        <w:t>1.14</w:t>
      </w:r>
      <w:r>
        <w:rPr>
          <w:sz w:val="24"/>
          <w:szCs w:val="24"/>
        </w:rPr>
        <w:t xml:space="preserve"> </w:t>
      </w:r>
      <w:r>
        <w:rPr>
          <w:rFonts w:hint="eastAsia"/>
          <w:sz w:val="24"/>
          <w:szCs w:val="24"/>
        </w:rPr>
        <w:t>建筑信息模型技术的应用</w:t>
      </w:r>
    </w:p>
    <w:p>
      <w:pPr>
        <w:tabs>
          <w:tab w:val="left" w:pos="8780"/>
        </w:tabs>
        <w:spacing w:line="360" w:lineRule="auto"/>
        <w:ind w:firstLine="480" w:firstLineChars="200"/>
        <w:rPr>
          <w:sz w:val="30"/>
        </w:rPr>
      </w:pPr>
      <w:r>
        <w:rPr>
          <w:rFonts w:hint="eastAsia"/>
          <w:sz w:val="24"/>
          <w:szCs w:val="24"/>
        </w:rPr>
        <w:t>关于建筑信息模型技术的开发、使用、存储、传输、交付及费用约定如下：</w:t>
      </w:r>
      <w:r>
        <w:rPr>
          <w:sz w:val="24"/>
          <w:szCs w:val="24"/>
          <w:u w:val="single"/>
        </w:rPr>
        <w:t xml:space="preserve">           </w:t>
      </w:r>
      <w:r>
        <w:rPr>
          <w:rFonts w:hint="eastAsia"/>
          <w:sz w:val="24"/>
          <w:szCs w:val="24"/>
        </w:rPr>
        <w:t>。</w:t>
      </w:r>
    </w:p>
    <w:p>
      <w:pPr>
        <w:pStyle w:val="2"/>
        <w:tabs>
          <w:tab w:val="left" w:pos="4352"/>
        </w:tabs>
        <w:spacing w:line="360" w:lineRule="auto"/>
        <w:ind w:left="0" w:firstLine="458" w:firstLineChars="200"/>
        <w:rPr>
          <w:b/>
          <w:bCs/>
          <w:sz w:val="24"/>
          <w:szCs w:val="24"/>
        </w:rPr>
      </w:pPr>
      <w:bookmarkStart w:id="789" w:name="_TOC_250017"/>
      <w:bookmarkEnd w:id="789"/>
      <w:r>
        <w:rPr>
          <w:b/>
          <w:bCs/>
          <w:w w:val="95"/>
          <w:sz w:val="24"/>
          <w:szCs w:val="24"/>
          <w:lang w:val="en-US"/>
        </w:rPr>
        <w:t>2.</w:t>
      </w:r>
      <w:r>
        <w:rPr>
          <w:rFonts w:hint="eastAsia"/>
          <w:b/>
          <w:bCs/>
          <w:w w:val="95"/>
          <w:sz w:val="24"/>
          <w:szCs w:val="24"/>
        </w:rPr>
        <w:t>发包人</w:t>
      </w:r>
    </w:p>
    <w:p>
      <w:pPr>
        <w:pStyle w:val="58"/>
        <w:tabs>
          <w:tab w:val="left" w:pos="1663"/>
        </w:tabs>
        <w:spacing w:line="360" w:lineRule="auto"/>
        <w:ind w:left="0" w:firstLine="482" w:firstLineChars="200"/>
        <w:rPr>
          <w:sz w:val="24"/>
          <w:szCs w:val="24"/>
        </w:rPr>
      </w:pPr>
      <w:r>
        <w:rPr>
          <w:b/>
          <w:bCs/>
          <w:sz w:val="24"/>
          <w:szCs w:val="24"/>
          <w:lang w:val="en-US"/>
        </w:rPr>
        <w:t>2.1</w:t>
      </w:r>
      <w:r>
        <w:rPr>
          <w:rFonts w:hint="eastAsia"/>
          <w:sz w:val="24"/>
          <w:szCs w:val="24"/>
        </w:rPr>
        <w:t>许可或批准</w:t>
      </w:r>
    </w:p>
    <w:p>
      <w:pPr>
        <w:spacing w:line="360" w:lineRule="auto"/>
        <w:ind w:firstLine="480" w:firstLineChars="200"/>
        <w:rPr>
          <w:sz w:val="24"/>
          <w:szCs w:val="24"/>
        </w:rPr>
      </w:pPr>
      <w:r>
        <w:rPr>
          <w:rFonts w:hint="eastAsia"/>
          <w:sz w:val="24"/>
          <w:szCs w:val="24"/>
        </w:rPr>
        <w:t>本款补充</w:t>
      </w:r>
      <w:r>
        <w:rPr>
          <w:sz w:val="24"/>
          <w:szCs w:val="24"/>
        </w:rPr>
        <w:t xml:space="preserve"> 2.1.1</w:t>
      </w:r>
      <w:r>
        <w:rPr>
          <w:rFonts w:hint="eastAsia"/>
          <w:sz w:val="24"/>
          <w:szCs w:val="24"/>
        </w:rPr>
        <w:t>、</w:t>
      </w:r>
      <w:r>
        <w:rPr>
          <w:sz w:val="24"/>
          <w:szCs w:val="24"/>
        </w:rPr>
        <w:t>2.4.3</w:t>
      </w:r>
      <w:r>
        <w:rPr>
          <w:rFonts w:hint="eastAsia"/>
          <w:sz w:val="24"/>
          <w:szCs w:val="24"/>
        </w:rPr>
        <w:t>。</w:t>
      </w:r>
    </w:p>
    <w:p>
      <w:pPr>
        <w:pStyle w:val="58"/>
        <w:tabs>
          <w:tab w:val="left" w:pos="2038"/>
        </w:tabs>
        <w:spacing w:line="360" w:lineRule="auto"/>
        <w:ind w:left="0" w:firstLine="480" w:firstLineChars="200"/>
        <w:rPr>
          <w:sz w:val="24"/>
          <w:szCs w:val="24"/>
        </w:rPr>
      </w:pPr>
      <w:r>
        <w:rPr>
          <w:sz w:val="24"/>
          <w:szCs w:val="24"/>
          <w:lang w:val="en-US"/>
        </w:rPr>
        <w:t>2.1.1</w:t>
      </w:r>
      <w:r>
        <w:rPr>
          <w:rFonts w:hint="eastAsia"/>
          <w:sz w:val="24"/>
          <w:szCs w:val="24"/>
        </w:rPr>
        <w:t>根据相关规定提供园林绿化施工所需的许可或批准。</w:t>
      </w:r>
    </w:p>
    <w:p>
      <w:pPr>
        <w:pStyle w:val="58"/>
        <w:tabs>
          <w:tab w:val="left" w:pos="1663"/>
        </w:tabs>
        <w:spacing w:line="360" w:lineRule="auto"/>
        <w:ind w:left="0" w:firstLine="482" w:firstLineChars="200"/>
        <w:rPr>
          <w:sz w:val="24"/>
          <w:szCs w:val="24"/>
        </w:rPr>
      </w:pPr>
      <w:r>
        <w:rPr>
          <w:b/>
          <w:bCs/>
          <w:sz w:val="24"/>
          <w:szCs w:val="24"/>
          <w:lang w:val="en-US"/>
        </w:rPr>
        <w:t>2.2</w:t>
      </w:r>
      <w:r>
        <w:rPr>
          <w:rFonts w:hint="eastAsia"/>
          <w:sz w:val="24"/>
          <w:szCs w:val="24"/>
        </w:rPr>
        <w:t>发包人代表</w:t>
      </w:r>
    </w:p>
    <w:p>
      <w:pPr>
        <w:spacing w:line="360" w:lineRule="auto"/>
        <w:ind w:firstLine="480" w:firstLineChars="200"/>
        <w:rPr>
          <w:sz w:val="24"/>
          <w:szCs w:val="24"/>
        </w:rPr>
      </w:pPr>
      <w:r>
        <w:rPr>
          <w:rFonts w:hint="eastAsia"/>
          <w:sz w:val="24"/>
          <w:szCs w:val="24"/>
        </w:rPr>
        <w:t>发包人代表：</w:t>
      </w:r>
    </w:p>
    <w:p>
      <w:pPr>
        <w:tabs>
          <w:tab w:val="left" w:pos="2034"/>
          <w:tab w:val="left" w:pos="4132"/>
          <w:tab w:val="left" w:pos="8780"/>
        </w:tabs>
        <w:spacing w:line="360" w:lineRule="auto"/>
        <w:ind w:firstLine="480" w:firstLineChars="200"/>
        <w:rPr>
          <w:sz w:val="24"/>
          <w:szCs w:val="24"/>
        </w:rPr>
      </w:pPr>
      <w:r>
        <w:rPr>
          <w:rFonts w:hint="eastAsia"/>
          <w:sz w:val="24"/>
          <w:szCs w:val="24"/>
        </w:rPr>
        <w:t>姓</w:t>
      </w:r>
      <w:r>
        <w:rPr>
          <w:sz w:val="24"/>
          <w:szCs w:val="24"/>
        </w:rPr>
        <w:tab/>
      </w:r>
      <w:r>
        <w:rPr>
          <w:rFonts w:hint="eastAsia"/>
          <w:sz w:val="24"/>
          <w:szCs w:val="24"/>
        </w:rPr>
        <w:t>名：</w:t>
      </w:r>
      <w:r>
        <w:rPr>
          <w:sz w:val="24"/>
          <w:szCs w:val="24"/>
          <w:u w:val="single"/>
        </w:rPr>
        <w:tab/>
      </w:r>
      <w:r>
        <w:rPr>
          <w:rFonts w:hint="eastAsia"/>
          <w:sz w:val="24"/>
          <w:szCs w:val="24"/>
        </w:rPr>
        <w:t>；身份证号：</w:t>
      </w:r>
      <w:r>
        <w:rPr>
          <w:sz w:val="24"/>
          <w:szCs w:val="24"/>
          <w:u w:val="single"/>
        </w:rPr>
        <w:tab/>
      </w:r>
      <w:r>
        <w:rPr>
          <w:rFonts w:hint="eastAsia"/>
          <w:sz w:val="24"/>
          <w:szCs w:val="24"/>
        </w:rPr>
        <w:t>；</w:t>
      </w:r>
    </w:p>
    <w:p>
      <w:pPr>
        <w:tabs>
          <w:tab w:val="left" w:pos="2034"/>
          <w:tab w:val="left" w:pos="8780"/>
        </w:tabs>
        <w:spacing w:line="360" w:lineRule="auto"/>
        <w:ind w:firstLine="440" w:firstLineChars="200"/>
        <w:rPr>
          <w:sz w:val="24"/>
          <w:szCs w:val="24"/>
        </w:rPr>
      </w:pPr>
      <w:r>
        <w:rPr>
          <w:lang w:val="en-US"/>
        </w:rPr>
        <w:pict>
          <v:line id="直线 35" o:spid="_x0000_s1032" o:spt="20" style="position:absolute;left:0pt;margin-left:192.6pt;margin-top:19.9pt;height:0pt;width:307.35pt;mso-position-horizontal-relative:page;z-index:-251648000;mso-width-relative:page;mso-height-relative:page;" coordsize="21600,21600">
            <v:path arrowok="t"/>
            <v:fill focussize="0,0"/>
            <v:stroke weight="0.72pt"/>
            <v:imagedata o:title=""/>
            <o:lock v:ext="edit"/>
          </v:line>
        </w:pict>
      </w:r>
      <w:r>
        <w:rPr>
          <w:rFonts w:hint="eastAsia"/>
          <w:sz w:val="24"/>
          <w:szCs w:val="24"/>
        </w:rPr>
        <w:t>职</w:t>
      </w:r>
      <w:r>
        <w:rPr>
          <w:sz w:val="24"/>
          <w:szCs w:val="24"/>
        </w:rPr>
        <w:tab/>
      </w:r>
      <w:r>
        <w:rPr>
          <w:rFonts w:hint="eastAsia"/>
          <w:sz w:val="24"/>
          <w:szCs w:val="24"/>
        </w:rPr>
        <w:t>务：</w:t>
      </w:r>
      <w:r>
        <w:rPr>
          <w:sz w:val="24"/>
          <w:szCs w:val="24"/>
        </w:rPr>
        <w:tab/>
      </w:r>
      <w:r>
        <w:rPr>
          <w:rFonts w:hint="eastAsia"/>
          <w:sz w:val="24"/>
          <w:szCs w:val="24"/>
        </w:rPr>
        <w:t>；</w:t>
      </w:r>
    </w:p>
    <w:p>
      <w:pPr>
        <w:tabs>
          <w:tab w:val="left" w:pos="8780"/>
        </w:tabs>
        <w:spacing w:line="360" w:lineRule="auto"/>
        <w:ind w:firstLine="440" w:firstLineChars="200"/>
        <w:rPr>
          <w:sz w:val="24"/>
          <w:szCs w:val="24"/>
        </w:rPr>
      </w:pPr>
      <w:r>
        <w:rPr>
          <w:lang w:val="en-US"/>
        </w:rPr>
        <w:pict>
          <v:line id="直线 36" o:spid="_x0000_s1033" o:spt="20" style="position:absolute;left:0pt;margin-left:192.6pt;margin-top:19.9pt;height:0pt;width:307.35pt;mso-position-horizontal-relative:page;z-index:-251646976;mso-width-relative:page;mso-height-relative:page;" coordsize="21600,21600">
            <v:path arrowok="t"/>
            <v:fill focussize="0,0"/>
            <v:stroke weight="0.72pt"/>
            <v:imagedata o:title=""/>
            <o:lock v:ext="edit"/>
          </v:line>
        </w:pict>
      </w:r>
      <w:r>
        <w:rPr>
          <w:rFonts w:hint="eastAsia"/>
          <w:sz w:val="24"/>
          <w:szCs w:val="24"/>
        </w:rPr>
        <w:t>联系电话：</w:t>
      </w:r>
      <w:r>
        <w:rPr>
          <w:sz w:val="24"/>
          <w:szCs w:val="24"/>
        </w:rPr>
        <w:tab/>
      </w:r>
      <w:r>
        <w:rPr>
          <w:rFonts w:hint="eastAsia"/>
          <w:sz w:val="24"/>
          <w:szCs w:val="24"/>
        </w:rPr>
        <w:t>；</w:t>
      </w:r>
    </w:p>
    <w:p>
      <w:pPr>
        <w:tabs>
          <w:tab w:val="left" w:pos="8780"/>
        </w:tabs>
        <w:spacing w:line="360" w:lineRule="auto"/>
        <w:ind w:firstLine="440" w:firstLineChars="200"/>
        <w:rPr>
          <w:sz w:val="24"/>
          <w:szCs w:val="24"/>
        </w:rPr>
      </w:pPr>
      <w:r>
        <w:rPr>
          <w:lang w:val="en-US"/>
        </w:rPr>
        <w:pict>
          <v:line id="直线 37" o:spid="_x0000_s1034" o:spt="20" style="position:absolute;left:0pt;margin-left:192.6pt;margin-top:19.9pt;height:0pt;width:307.35pt;mso-position-horizontal-relative:page;z-index:-251645952;mso-width-relative:page;mso-height-relative:page;" coordsize="21600,21600">
            <v:path arrowok="t"/>
            <v:fill focussize="0,0"/>
            <v:stroke weight="0.72pt"/>
            <v:imagedata o:title=""/>
            <o:lock v:ext="edit"/>
          </v:line>
        </w:pict>
      </w:r>
      <w:r>
        <w:rPr>
          <w:rFonts w:hint="eastAsia"/>
          <w:sz w:val="24"/>
          <w:szCs w:val="24"/>
        </w:rPr>
        <w:t>电子信箱：</w:t>
      </w:r>
      <w:r>
        <w:rPr>
          <w:sz w:val="24"/>
          <w:szCs w:val="24"/>
        </w:rPr>
        <w:tab/>
      </w:r>
      <w:r>
        <w:rPr>
          <w:rFonts w:hint="eastAsia"/>
          <w:sz w:val="24"/>
          <w:szCs w:val="24"/>
        </w:rPr>
        <w:t>；</w:t>
      </w:r>
    </w:p>
    <w:p>
      <w:pPr>
        <w:tabs>
          <w:tab w:val="left" w:pos="8780"/>
        </w:tabs>
        <w:spacing w:line="360" w:lineRule="auto"/>
        <w:ind w:firstLine="440" w:firstLineChars="200"/>
        <w:rPr>
          <w:sz w:val="24"/>
          <w:szCs w:val="24"/>
        </w:rPr>
      </w:pPr>
      <w:r>
        <w:rPr>
          <w:lang w:val="en-US"/>
        </w:rPr>
        <w:pict>
          <v:line id="直线 38" o:spid="_x0000_s1035" o:spt="20" style="position:absolute;left:0pt;margin-left:192.6pt;margin-top:19.9pt;height:0pt;width:307.35pt;mso-position-horizontal-relative:page;z-index:-251644928;mso-width-relative:page;mso-height-relative:page;" coordsize="21600,21600">
            <v:path arrowok="t"/>
            <v:fill focussize="0,0"/>
            <v:stroke weight="0.72pt"/>
            <v:imagedata o:title=""/>
            <o:lock v:ext="edit"/>
          </v:line>
        </w:pict>
      </w:r>
      <w:r>
        <w:rPr>
          <w:rFonts w:hint="eastAsia"/>
          <w:sz w:val="24"/>
          <w:szCs w:val="24"/>
        </w:rPr>
        <w:t>通信地址：</w:t>
      </w:r>
      <w:r>
        <w:rPr>
          <w:sz w:val="24"/>
          <w:szCs w:val="24"/>
        </w:rPr>
        <w:tab/>
      </w:r>
      <w:r>
        <w:rPr>
          <w:rFonts w:hint="eastAsia"/>
          <w:sz w:val="24"/>
          <w:szCs w:val="24"/>
        </w:rPr>
        <w:t>；</w:t>
      </w:r>
    </w:p>
    <w:p>
      <w:pPr>
        <w:tabs>
          <w:tab w:val="left" w:pos="8780"/>
        </w:tabs>
        <w:spacing w:line="360" w:lineRule="auto"/>
        <w:ind w:firstLine="480" w:firstLineChars="200"/>
        <w:rPr>
          <w:sz w:val="24"/>
          <w:szCs w:val="24"/>
        </w:rPr>
      </w:pPr>
      <w:r>
        <w:rPr>
          <w:rFonts w:hint="eastAsia"/>
          <w:sz w:val="24"/>
          <w:szCs w:val="24"/>
        </w:rPr>
        <w:t>发包人对发包人代表的授权范围如下</w:t>
      </w:r>
      <w:r>
        <w:rPr>
          <w:rFonts w:hint="eastAsia"/>
          <w:spacing w:val="-4"/>
          <w:sz w:val="24"/>
          <w:szCs w:val="24"/>
        </w:rPr>
        <w:t>：</w:t>
      </w:r>
      <w:r>
        <w:rPr>
          <w:spacing w:val="-4"/>
          <w:sz w:val="24"/>
          <w:szCs w:val="24"/>
          <w:u w:val="single"/>
        </w:rPr>
        <w:tab/>
      </w:r>
      <w:r>
        <w:rPr>
          <w:rFonts w:hint="eastAsia"/>
          <w:sz w:val="24"/>
          <w:szCs w:val="24"/>
        </w:rPr>
        <w:t>。</w:t>
      </w:r>
    </w:p>
    <w:p>
      <w:pPr>
        <w:pStyle w:val="66"/>
        <w:spacing w:afterLines="0"/>
        <w:ind w:left="0" w:firstLine="480" w:firstLineChars="200"/>
        <w:rPr>
          <w:rFonts w:cs="宋体"/>
          <w:szCs w:val="24"/>
        </w:rPr>
      </w:pPr>
      <w:r>
        <w:rPr>
          <w:rFonts w:cs="宋体"/>
          <w:szCs w:val="24"/>
        </w:rPr>
        <w:t xml:space="preserve">2.2.1 </w:t>
      </w:r>
      <w:r>
        <w:rPr>
          <w:rFonts w:hint="eastAsia" w:cs="宋体"/>
          <w:szCs w:val="24"/>
        </w:rPr>
        <w:t>提供施工现场</w:t>
      </w:r>
    </w:p>
    <w:p>
      <w:pPr>
        <w:spacing w:line="360" w:lineRule="auto"/>
        <w:ind w:firstLine="480" w:firstLineChars="200"/>
        <w:rPr>
          <w:color w:val="000000"/>
          <w:sz w:val="24"/>
          <w:szCs w:val="24"/>
        </w:rPr>
      </w:pPr>
      <w:r>
        <w:rPr>
          <w:rFonts w:hint="eastAsia"/>
          <w:sz w:val="24"/>
          <w:szCs w:val="24"/>
        </w:rPr>
        <w:t>发包人应按专用合同条件约定向承包人移交施工现场，给承包人进入和占用施工现场各部分的权利，并明确与承包人的交接界面，上述进入和占用权可不为承包人独享。如专用合同条件没有约定移交时间的，则发包人应最迟于计划开始现场施工日期</w:t>
      </w:r>
      <w:r>
        <w:rPr>
          <w:sz w:val="24"/>
          <w:szCs w:val="24"/>
        </w:rPr>
        <w:t>7</w:t>
      </w:r>
      <w:r>
        <w:rPr>
          <w:rFonts w:hint="eastAsia"/>
          <w:sz w:val="24"/>
          <w:szCs w:val="24"/>
        </w:rPr>
        <w:t>天前向承包人移交施工现场，但承包人未能按照第</w:t>
      </w:r>
      <w:r>
        <w:rPr>
          <w:sz w:val="24"/>
          <w:szCs w:val="24"/>
        </w:rPr>
        <w:t>4.2</w:t>
      </w:r>
      <w:r>
        <w:rPr>
          <w:rFonts w:hint="eastAsia"/>
          <w:sz w:val="24"/>
          <w:szCs w:val="24"/>
        </w:rPr>
        <w:t>款</w:t>
      </w:r>
      <w:r>
        <w:rPr>
          <w:sz w:val="24"/>
          <w:szCs w:val="24"/>
        </w:rPr>
        <w:t>[</w:t>
      </w:r>
      <w:r>
        <w:rPr>
          <w:rFonts w:hint="eastAsia"/>
          <w:sz w:val="24"/>
          <w:szCs w:val="24"/>
        </w:rPr>
        <w:t>履约担保</w:t>
      </w:r>
      <w:r>
        <w:rPr>
          <w:sz w:val="24"/>
          <w:szCs w:val="24"/>
        </w:rPr>
        <w:t>]</w:t>
      </w:r>
      <w:r>
        <w:rPr>
          <w:rFonts w:hint="eastAsia"/>
          <w:sz w:val="24"/>
          <w:szCs w:val="24"/>
        </w:rPr>
        <w:t>提供履约担保的除外。</w:t>
      </w:r>
    </w:p>
    <w:p>
      <w:pPr>
        <w:pStyle w:val="66"/>
        <w:spacing w:afterLines="0"/>
        <w:ind w:left="0" w:firstLine="480" w:firstLineChars="200"/>
        <w:rPr>
          <w:rFonts w:cs="宋体"/>
          <w:szCs w:val="24"/>
        </w:rPr>
      </w:pPr>
      <w:r>
        <w:rPr>
          <w:rFonts w:cs="宋体"/>
          <w:szCs w:val="24"/>
        </w:rPr>
        <w:t xml:space="preserve">2.2.2 </w:t>
      </w:r>
      <w:r>
        <w:rPr>
          <w:rFonts w:hint="eastAsia" w:cs="宋体"/>
          <w:szCs w:val="24"/>
        </w:rPr>
        <w:t>提供工作条件</w:t>
      </w:r>
    </w:p>
    <w:p>
      <w:pPr>
        <w:spacing w:line="360" w:lineRule="auto"/>
        <w:ind w:firstLine="480" w:firstLineChars="200"/>
        <w:rPr>
          <w:sz w:val="24"/>
          <w:szCs w:val="24"/>
        </w:rPr>
      </w:pPr>
      <w:r>
        <w:rPr>
          <w:rFonts w:hint="eastAsia"/>
          <w:sz w:val="24"/>
          <w:szCs w:val="24"/>
        </w:rPr>
        <w:t>发包人应按专用合同条件约定向承包人提供工作条件。专用合同条件对此没有约定的，发包人应负责提供开展本合同相关工作所需要的条件，包括：</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将施工用水、电力、通讯线路等施工所必需的条件接至施工现场内；</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保证向承包人提供正常施工所需要的进入施工现场的交通条件；</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协调处理施工现场周围地下管线和邻近建筑物、构筑物、古树名木、文物、化石及坟墓等的保护工作，并承担相关费用；</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对工程现场临近发包人正在使用、运行、或由发包人用于生产的建筑物、构筑物、生产装置、设施、设备等，设置隔离设施，竖立禁止入内、禁止动火的明显标志，</w:t>
      </w:r>
      <w:r>
        <w:rPr>
          <w:sz w:val="24"/>
          <w:szCs w:val="24"/>
        </w:rPr>
        <w:t xml:space="preserve"> </w:t>
      </w:r>
      <w:r>
        <w:rPr>
          <w:rFonts w:hint="eastAsia"/>
          <w:sz w:val="24"/>
          <w:szCs w:val="24"/>
        </w:rPr>
        <w:t>并以书面形式通知承包人须遵守的安全规定和位置范围；</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按照专用合同条件约定应提供的其他设施和条件。</w:t>
      </w:r>
    </w:p>
    <w:p>
      <w:pPr>
        <w:pStyle w:val="66"/>
        <w:spacing w:afterLines="0"/>
        <w:ind w:left="0" w:firstLine="480" w:firstLineChars="200"/>
        <w:rPr>
          <w:rFonts w:cs="宋体"/>
          <w:szCs w:val="24"/>
        </w:rPr>
      </w:pPr>
      <w:r>
        <w:rPr>
          <w:rFonts w:cs="宋体"/>
          <w:szCs w:val="24"/>
        </w:rPr>
        <w:t xml:space="preserve">2.2.3 </w:t>
      </w:r>
      <w:r>
        <w:rPr>
          <w:rFonts w:hint="eastAsia" w:cs="宋体"/>
          <w:szCs w:val="24"/>
        </w:rPr>
        <w:t>逾期提供的责任</w:t>
      </w:r>
    </w:p>
    <w:p>
      <w:pPr>
        <w:spacing w:line="360" w:lineRule="auto"/>
        <w:ind w:firstLine="480" w:firstLineChars="200"/>
        <w:rPr>
          <w:sz w:val="24"/>
          <w:szCs w:val="24"/>
        </w:rPr>
      </w:pPr>
      <w:r>
        <w:rPr>
          <w:rFonts w:hint="eastAsia"/>
          <w:sz w:val="24"/>
          <w:szCs w:val="24"/>
        </w:rPr>
        <w:t>因发包人原因未能按合同约定及时向承包人提供施工现场和施工条件的，由发包人承担由此增加的费用和（或）延误的工期。</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2.3 </w:t>
      </w:r>
      <w:r>
        <w:rPr>
          <w:rFonts w:hint="eastAsia" w:ascii="宋体" w:hAnsi="宋体" w:eastAsia="宋体" w:cs="宋体"/>
        </w:rPr>
        <w:t>提供基础资料</w:t>
      </w:r>
    </w:p>
    <w:p>
      <w:pPr>
        <w:spacing w:line="360" w:lineRule="auto"/>
        <w:ind w:firstLine="480" w:firstLineChars="200"/>
        <w:rPr>
          <w:sz w:val="24"/>
          <w:szCs w:val="24"/>
        </w:rPr>
      </w:pPr>
      <w:r>
        <w:rPr>
          <w:rFonts w:hint="eastAsia"/>
          <w:sz w:val="24"/>
          <w:szCs w:val="24"/>
        </w:rPr>
        <w:t>发包人应按专用合同条件和《发包人要求》中的约定向承包人提供施工现场及工程实施所必需的毗邻区域内的供水、排水、供电、供气、供热、通信、广播电视等地上、地下管线和设施资料，气象和水文观测资料，地质勘察资料，相邻建筑物、构筑物和地下工程等有关基础资料，并根据第</w:t>
      </w:r>
      <w:r>
        <w:rPr>
          <w:sz w:val="24"/>
          <w:szCs w:val="24"/>
        </w:rPr>
        <w:t>1.12</w:t>
      </w:r>
      <w:r>
        <w:rPr>
          <w:rFonts w:hint="eastAsia"/>
          <w:sz w:val="24"/>
          <w:szCs w:val="24"/>
        </w:rPr>
        <w:t>款</w:t>
      </w:r>
      <w:r>
        <w:rPr>
          <w:sz w:val="24"/>
          <w:szCs w:val="24"/>
        </w:rPr>
        <w:t>[</w:t>
      </w:r>
      <w:r>
        <w:rPr>
          <w:rFonts w:hint="eastAsia"/>
          <w:sz w:val="24"/>
          <w:szCs w:val="24"/>
        </w:rPr>
        <w:t>《发包人要求》和基础资料中的错误</w:t>
      </w:r>
      <w:r>
        <w:rPr>
          <w:sz w:val="24"/>
          <w:szCs w:val="24"/>
        </w:rPr>
        <w:t>]</w:t>
      </w:r>
      <w:r>
        <w:rPr>
          <w:rFonts w:hint="eastAsia"/>
          <w:sz w:val="24"/>
          <w:szCs w:val="24"/>
        </w:rPr>
        <w:t>承担基础资料错误造成的责任。按照法律规定确需在开工后方能提供的基础资料，发包人应尽其努力及时地在相应工程实施前的合理期限内提供，合理期限应以不影响承包人的正常履约为限。因发包人原因未能在合理期限内提供相应基础资料的，由发包人承担由此增加的费用和延误的工期。</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2.4 </w:t>
      </w:r>
      <w:r>
        <w:rPr>
          <w:rFonts w:hint="eastAsia" w:ascii="宋体" w:hAnsi="宋体" w:eastAsia="宋体" w:cs="宋体"/>
        </w:rPr>
        <w:t>办理许可和批准</w:t>
      </w:r>
    </w:p>
    <w:p>
      <w:pPr>
        <w:pStyle w:val="66"/>
        <w:spacing w:afterLines="0"/>
        <w:ind w:left="0" w:firstLine="480" w:firstLineChars="200"/>
        <w:rPr>
          <w:rFonts w:cs="宋体"/>
          <w:szCs w:val="24"/>
        </w:rPr>
      </w:pPr>
      <w:r>
        <w:rPr>
          <w:rFonts w:cs="宋体"/>
          <w:szCs w:val="24"/>
        </w:rPr>
        <w:t xml:space="preserve">2.4.1 </w:t>
      </w:r>
      <w:r>
        <w:rPr>
          <w:rFonts w:hint="eastAsia" w:cs="宋体"/>
          <w:szCs w:val="24"/>
        </w:rPr>
        <w:t>发包人在履行合同过程中应遵守法律，并办理法律规定或合同约定由其办理的许可、批准或备案，包括但不限于建设用地规划许可证、建设工程规划许可证、建设工程施工许可证等许可和批准。对于法律规定或合同约定由承包人负责的有关设计、施工证件、批件或备案，发包人应给予必要的协助。</w:t>
      </w:r>
    </w:p>
    <w:p>
      <w:pPr>
        <w:pStyle w:val="66"/>
        <w:spacing w:afterLines="0"/>
        <w:ind w:left="0" w:firstLine="480" w:firstLineChars="200"/>
        <w:rPr>
          <w:rFonts w:cs="宋体"/>
          <w:szCs w:val="24"/>
        </w:rPr>
      </w:pPr>
      <w:r>
        <w:rPr>
          <w:rFonts w:cs="宋体"/>
          <w:szCs w:val="24"/>
        </w:rPr>
        <w:t xml:space="preserve">2.4.2 </w:t>
      </w:r>
      <w:r>
        <w:rPr>
          <w:rFonts w:hint="eastAsia" w:cs="宋体"/>
          <w:szCs w:val="24"/>
        </w:rPr>
        <w:t>因发包人原因未能及时办理完毕前述许可、批准或备案，由发包人承担由此增加的费用和（或）延误的工期，并支付承包人合理的利润。</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2.5 </w:t>
      </w:r>
      <w:r>
        <w:rPr>
          <w:rFonts w:hint="eastAsia" w:ascii="宋体" w:hAnsi="宋体" w:eastAsia="宋体" w:cs="宋体"/>
        </w:rPr>
        <w:t>支付合同价款</w:t>
      </w:r>
    </w:p>
    <w:p>
      <w:pPr>
        <w:pStyle w:val="66"/>
        <w:spacing w:afterLines="0"/>
        <w:ind w:left="0" w:firstLine="480" w:firstLineChars="200"/>
        <w:rPr>
          <w:rFonts w:cs="宋体"/>
          <w:szCs w:val="24"/>
        </w:rPr>
      </w:pPr>
      <w:r>
        <w:rPr>
          <w:rFonts w:cs="宋体"/>
          <w:szCs w:val="24"/>
        </w:rPr>
        <w:t xml:space="preserve">2.5.1 </w:t>
      </w:r>
      <w:r>
        <w:rPr>
          <w:rFonts w:hint="eastAsia" w:cs="宋体"/>
          <w:szCs w:val="24"/>
        </w:rPr>
        <w:t>发包人应按合同约定向承包人及时支付合同价款。</w:t>
      </w:r>
    </w:p>
    <w:p>
      <w:pPr>
        <w:pStyle w:val="66"/>
        <w:spacing w:afterLines="0"/>
        <w:ind w:left="0" w:firstLine="480" w:firstLineChars="200"/>
        <w:rPr>
          <w:rFonts w:cs="宋体"/>
          <w:szCs w:val="24"/>
        </w:rPr>
      </w:pPr>
      <w:r>
        <w:rPr>
          <w:rFonts w:cs="宋体"/>
          <w:szCs w:val="24"/>
        </w:rPr>
        <w:t xml:space="preserve">2.5.2 </w:t>
      </w:r>
      <w:r>
        <w:rPr>
          <w:rFonts w:hint="eastAsia" w:cs="宋体"/>
          <w:szCs w:val="24"/>
        </w:rPr>
        <w:t>发包人应当制定资金安排计划，除专用合同条件另有约定外，如发包人拟对资金安排做任何重要变更，应将变更的详细情况通知承包人。如发生承包人收到价格大于签约合同价</w:t>
      </w:r>
      <w:r>
        <w:rPr>
          <w:rFonts w:cs="宋体"/>
          <w:szCs w:val="24"/>
        </w:rPr>
        <w:t>10%</w:t>
      </w:r>
      <w:r>
        <w:rPr>
          <w:rFonts w:hint="eastAsia" w:cs="宋体"/>
          <w:szCs w:val="24"/>
        </w:rPr>
        <w:t>的变更指示或累计变更的总价超过签约合同价</w:t>
      </w:r>
      <w:r>
        <w:rPr>
          <w:rFonts w:cs="宋体"/>
          <w:szCs w:val="24"/>
        </w:rPr>
        <w:t>30%</w:t>
      </w:r>
      <w:r>
        <w:rPr>
          <w:rFonts w:hint="eastAsia" w:cs="宋体"/>
          <w:szCs w:val="24"/>
        </w:rPr>
        <w:t>；或承包人未能根据第</w:t>
      </w:r>
      <w:r>
        <w:rPr>
          <w:rFonts w:cs="宋体"/>
          <w:szCs w:val="24"/>
        </w:rPr>
        <w:t>14</w:t>
      </w:r>
      <w:r>
        <w:rPr>
          <w:rFonts w:hint="eastAsia" w:cs="宋体"/>
          <w:szCs w:val="24"/>
        </w:rPr>
        <w:t>条</w:t>
      </w:r>
      <w:r>
        <w:rPr>
          <w:rFonts w:cs="宋体"/>
          <w:szCs w:val="24"/>
        </w:rPr>
        <w:t>[</w:t>
      </w:r>
      <w:r>
        <w:rPr>
          <w:rFonts w:hint="eastAsia" w:cs="宋体"/>
          <w:szCs w:val="24"/>
        </w:rPr>
        <w:t>合同价格与支付</w:t>
      </w:r>
      <w:r>
        <w:rPr>
          <w:rFonts w:cs="宋体"/>
          <w:szCs w:val="24"/>
        </w:rPr>
        <w:t>]</w:t>
      </w:r>
      <w:r>
        <w:rPr>
          <w:rFonts w:hint="eastAsia" w:cs="宋体"/>
          <w:szCs w:val="24"/>
        </w:rPr>
        <w:t>收到付款，或承包人得知发包人的资金安排发生重要变更但并未收到发包人上述重要变更通知的情况，则承包人可随时要求发包人在</w:t>
      </w:r>
      <w:r>
        <w:rPr>
          <w:rFonts w:cs="宋体"/>
          <w:szCs w:val="24"/>
        </w:rPr>
        <w:t>28</w:t>
      </w:r>
      <w:r>
        <w:rPr>
          <w:rFonts w:hint="eastAsia" w:cs="宋体"/>
          <w:szCs w:val="24"/>
        </w:rPr>
        <w:t>天内补充提供能够按照合同约定支付合同价款的相应资金来源证明。</w:t>
      </w:r>
    </w:p>
    <w:p>
      <w:pPr>
        <w:pStyle w:val="66"/>
        <w:spacing w:afterLines="0"/>
        <w:ind w:left="0" w:firstLine="480" w:firstLineChars="200"/>
        <w:rPr>
          <w:rFonts w:cs="宋体"/>
          <w:szCs w:val="24"/>
        </w:rPr>
      </w:pPr>
      <w:r>
        <w:rPr>
          <w:rFonts w:cs="宋体"/>
          <w:szCs w:val="24"/>
        </w:rPr>
        <w:t xml:space="preserve">2.5.3 </w:t>
      </w:r>
      <w:r>
        <w:rPr>
          <w:rFonts w:hint="eastAsia" w:cs="宋体"/>
          <w:szCs w:val="24"/>
        </w:rPr>
        <w:t>发包人应当向承包人提供支付担保。支付担保可以采用银行保函或担保公司担保等形式，具体由合同当事人在专用合同条件中约定。</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2.6 </w:t>
      </w:r>
      <w:r>
        <w:rPr>
          <w:rFonts w:hint="eastAsia" w:ascii="宋体" w:hAnsi="宋体" w:eastAsia="宋体" w:cs="宋体"/>
        </w:rPr>
        <w:t>现场管理配合</w:t>
      </w:r>
    </w:p>
    <w:p>
      <w:pPr>
        <w:spacing w:line="360" w:lineRule="auto"/>
        <w:ind w:firstLine="480" w:firstLineChars="200"/>
        <w:rPr>
          <w:sz w:val="24"/>
          <w:szCs w:val="24"/>
        </w:rPr>
      </w:pPr>
      <w:r>
        <w:rPr>
          <w:rFonts w:hint="eastAsia"/>
          <w:sz w:val="24"/>
          <w:szCs w:val="24"/>
        </w:rPr>
        <w:t>发包人应负责保证在现场或现场附近的发包人人员和发包人的其他承包人（如有）：</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根据第</w:t>
      </w:r>
      <w:r>
        <w:rPr>
          <w:sz w:val="24"/>
          <w:szCs w:val="24"/>
        </w:rPr>
        <w:t>7.3</w:t>
      </w:r>
      <w:r>
        <w:rPr>
          <w:rFonts w:hint="eastAsia"/>
          <w:sz w:val="24"/>
          <w:szCs w:val="24"/>
        </w:rPr>
        <w:t>款</w:t>
      </w:r>
      <w:r>
        <w:rPr>
          <w:sz w:val="24"/>
          <w:szCs w:val="24"/>
        </w:rPr>
        <w:t>[</w:t>
      </w:r>
      <w:r>
        <w:rPr>
          <w:rFonts w:hint="eastAsia"/>
          <w:sz w:val="24"/>
          <w:szCs w:val="24"/>
        </w:rPr>
        <w:t>现场合作</w:t>
      </w:r>
      <w:r>
        <w:rPr>
          <w:sz w:val="24"/>
          <w:szCs w:val="24"/>
        </w:rPr>
        <w:t>]</w:t>
      </w:r>
      <w:r>
        <w:rPr>
          <w:rFonts w:hint="eastAsia"/>
          <w:sz w:val="24"/>
          <w:szCs w:val="24"/>
        </w:rPr>
        <w:t>的约定，与承包人进行合作；</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遵守第</w:t>
      </w:r>
      <w:r>
        <w:rPr>
          <w:sz w:val="24"/>
          <w:szCs w:val="24"/>
        </w:rPr>
        <w:t>7.5</w:t>
      </w:r>
      <w:r>
        <w:rPr>
          <w:rFonts w:hint="eastAsia"/>
          <w:sz w:val="24"/>
          <w:szCs w:val="24"/>
        </w:rPr>
        <w:t>款</w:t>
      </w:r>
      <w:r>
        <w:rPr>
          <w:sz w:val="24"/>
          <w:szCs w:val="24"/>
        </w:rPr>
        <w:t>[</w:t>
      </w:r>
      <w:r>
        <w:rPr>
          <w:rFonts w:hint="eastAsia"/>
          <w:sz w:val="24"/>
          <w:szCs w:val="24"/>
        </w:rPr>
        <w:t>现场劳动用工</w:t>
      </w:r>
      <w:r>
        <w:rPr>
          <w:sz w:val="24"/>
          <w:szCs w:val="24"/>
        </w:rPr>
        <w:t>]</w:t>
      </w:r>
      <w:r>
        <w:rPr>
          <w:rFonts w:hint="eastAsia"/>
          <w:sz w:val="24"/>
          <w:szCs w:val="24"/>
        </w:rPr>
        <w:t>、第</w:t>
      </w:r>
      <w:r>
        <w:rPr>
          <w:sz w:val="24"/>
          <w:szCs w:val="24"/>
        </w:rPr>
        <w:t>7.6</w:t>
      </w:r>
      <w:r>
        <w:rPr>
          <w:rFonts w:hint="eastAsia"/>
          <w:sz w:val="24"/>
          <w:szCs w:val="24"/>
        </w:rPr>
        <w:t>款</w:t>
      </w:r>
      <w:r>
        <w:rPr>
          <w:sz w:val="24"/>
          <w:szCs w:val="24"/>
        </w:rPr>
        <w:t>[</w:t>
      </w:r>
      <w:r>
        <w:rPr>
          <w:rFonts w:hint="eastAsia"/>
          <w:sz w:val="24"/>
          <w:szCs w:val="24"/>
        </w:rPr>
        <w:t>安全文明施工</w:t>
      </w:r>
      <w:r>
        <w:rPr>
          <w:sz w:val="24"/>
          <w:szCs w:val="24"/>
        </w:rPr>
        <w:t>]</w:t>
      </w:r>
      <w:r>
        <w:rPr>
          <w:rFonts w:hint="eastAsia"/>
          <w:sz w:val="24"/>
          <w:szCs w:val="24"/>
        </w:rPr>
        <w:t>、第</w:t>
      </w:r>
      <w:r>
        <w:rPr>
          <w:sz w:val="24"/>
          <w:szCs w:val="24"/>
        </w:rPr>
        <w:t>7.7</w:t>
      </w:r>
      <w:r>
        <w:rPr>
          <w:rFonts w:hint="eastAsia"/>
          <w:sz w:val="24"/>
          <w:szCs w:val="24"/>
        </w:rPr>
        <w:t>款</w:t>
      </w:r>
      <w:r>
        <w:rPr>
          <w:sz w:val="24"/>
          <w:szCs w:val="24"/>
        </w:rPr>
        <w:t>[</w:t>
      </w:r>
      <w:r>
        <w:rPr>
          <w:rFonts w:hint="eastAsia"/>
          <w:sz w:val="24"/>
          <w:szCs w:val="24"/>
        </w:rPr>
        <w:t>职业健康</w:t>
      </w:r>
      <w:r>
        <w:rPr>
          <w:sz w:val="24"/>
          <w:szCs w:val="24"/>
        </w:rPr>
        <w:t>]</w:t>
      </w:r>
      <w:r>
        <w:rPr>
          <w:rFonts w:hint="eastAsia"/>
          <w:sz w:val="24"/>
          <w:szCs w:val="24"/>
        </w:rPr>
        <w:t>和第</w:t>
      </w:r>
      <w:r>
        <w:rPr>
          <w:sz w:val="24"/>
          <w:szCs w:val="24"/>
        </w:rPr>
        <w:t>7.8</w:t>
      </w:r>
      <w:r>
        <w:rPr>
          <w:rFonts w:hint="eastAsia"/>
          <w:sz w:val="24"/>
          <w:szCs w:val="24"/>
        </w:rPr>
        <w:t>款</w:t>
      </w:r>
      <w:r>
        <w:rPr>
          <w:sz w:val="24"/>
          <w:szCs w:val="24"/>
        </w:rPr>
        <w:t>[</w:t>
      </w:r>
      <w:r>
        <w:rPr>
          <w:rFonts w:hint="eastAsia"/>
          <w:sz w:val="24"/>
          <w:szCs w:val="24"/>
        </w:rPr>
        <w:t>环境保护</w:t>
      </w:r>
      <w:r>
        <w:rPr>
          <w:sz w:val="24"/>
          <w:szCs w:val="24"/>
        </w:rPr>
        <w:t>]</w:t>
      </w:r>
      <w:r>
        <w:rPr>
          <w:rFonts w:hint="eastAsia"/>
          <w:sz w:val="24"/>
          <w:szCs w:val="24"/>
        </w:rPr>
        <w:t>的相关约定。</w:t>
      </w:r>
    </w:p>
    <w:p>
      <w:pPr>
        <w:spacing w:line="360" w:lineRule="auto"/>
        <w:ind w:firstLine="480" w:firstLineChars="200"/>
        <w:rPr>
          <w:sz w:val="24"/>
          <w:szCs w:val="24"/>
        </w:rPr>
      </w:pPr>
      <w:r>
        <w:rPr>
          <w:rFonts w:hint="eastAsia"/>
          <w:sz w:val="24"/>
          <w:szCs w:val="24"/>
        </w:rPr>
        <w:t>发包人应与承包人、由发包人直接发包的其他承包人（如有）订立施工现场统一管理协议，明确各方的权利义务。</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2.7 </w:t>
      </w:r>
      <w:r>
        <w:rPr>
          <w:rFonts w:hint="eastAsia" w:ascii="宋体" w:hAnsi="宋体" w:eastAsia="宋体" w:cs="宋体"/>
        </w:rPr>
        <w:t>其他义务</w:t>
      </w:r>
    </w:p>
    <w:p>
      <w:pPr>
        <w:spacing w:line="360" w:lineRule="auto"/>
        <w:ind w:firstLine="480" w:firstLineChars="200"/>
        <w:rPr>
          <w:sz w:val="24"/>
          <w:szCs w:val="24"/>
        </w:rPr>
      </w:pPr>
      <w:r>
        <w:rPr>
          <w:rFonts w:hint="eastAsia"/>
          <w:sz w:val="24"/>
          <w:szCs w:val="24"/>
        </w:rPr>
        <w:t>发包人应履行合同约定的其他义务，双方可在专用合同条件内对发包人应履行的其他义务进行补充约定。</w:t>
      </w:r>
    </w:p>
    <w:p>
      <w:pPr>
        <w:pStyle w:val="64"/>
        <w:numPr>
          <w:ilvl w:val="0"/>
          <w:numId w:val="0"/>
        </w:numPr>
        <w:spacing w:before="0"/>
        <w:ind w:firstLine="482" w:firstLineChars="200"/>
        <w:rPr>
          <w:rFonts w:ascii="宋体"/>
          <w:b/>
          <w:sz w:val="24"/>
          <w:szCs w:val="24"/>
        </w:rPr>
      </w:pPr>
      <w:bookmarkStart w:id="790" w:name="_TOC_250016"/>
      <w:bookmarkEnd w:id="790"/>
      <w:r>
        <w:rPr>
          <w:rFonts w:hint="eastAsia" w:ascii="宋体" w:hAnsi="宋体"/>
          <w:b/>
          <w:sz w:val="24"/>
          <w:szCs w:val="24"/>
        </w:rPr>
        <w:t>第</w:t>
      </w:r>
      <w:r>
        <w:rPr>
          <w:rFonts w:ascii="宋体" w:hAnsi="宋体"/>
          <w:b/>
          <w:sz w:val="24"/>
          <w:szCs w:val="24"/>
        </w:rPr>
        <w:t>3</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发包人的管理</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3.1 </w:t>
      </w:r>
      <w:r>
        <w:rPr>
          <w:rFonts w:hint="eastAsia" w:ascii="宋体" w:hAnsi="宋体" w:eastAsia="宋体" w:cs="宋体"/>
        </w:rPr>
        <w:t>发包人代表</w:t>
      </w:r>
    </w:p>
    <w:p>
      <w:pPr>
        <w:spacing w:line="360" w:lineRule="auto"/>
        <w:ind w:firstLine="480" w:firstLineChars="200"/>
        <w:rPr>
          <w:sz w:val="24"/>
          <w:szCs w:val="24"/>
        </w:rPr>
      </w:pPr>
      <w:r>
        <w:rPr>
          <w:rFonts w:hint="eastAsia"/>
          <w:sz w:val="24"/>
          <w:szCs w:val="24"/>
        </w:rPr>
        <w:t>发包人应任命发包人代表，并在专用合同条件中明确发包人代表的姓名、职务、联系方式及授权范围等事项。发包人代表应在发包人的授权范围内，负责处理合同履行过程中与发包人有关的具体事宜。发包人代表在授权范围内的行为由发包人承担法律责任。</w:t>
      </w:r>
    </w:p>
    <w:p>
      <w:pPr>
        <w:spacing w:line="360" w:lineRule="auto"/>
        <w:ind w:firstLine="480" w:firstLineChars="200"/>
        <w:rPr>
          <w:sz w:val="24"/>
          <w:szCs w:val="24"/>
        </w:rPr>
      </w:pPr>
      <w:r>
        <w:rPr>
          <w:rFonts w:hint="eastAsia"/>
          <w:sz w:val="24"/>
          <w:szCs w:val="24"/>
        </w:rPr>
        <w:t>除非发包人另行通知承包人，发包人代表应被授予并且被认为具有发包人在授权范围内享有的相应权利，涉及第</w:t>
      </w:r>
      <w:r>
        <w:rPr>
          <w:sz w:val="24"/>
          <w:szCs w:val="24"/>
        </w:rPr>
        <w:t>16.1</w:t>
      </w:r>
      <w:r>
        <w:rPr>
          <w:rFonts w:hint="eastAsia"/>
          <w:sz w:val="24"/>
          <w:szCs w:val="24"/>
        </w:rPr>
        <w:t>款</w:t>
      </w:r>
      <w:r>
        <w:rPr>
          <w:sz w:val="24"/>
          <w:szCs w:val="24"/>
        </w:rPr>
        <w:t>[</w:t>
      </w:r>
      <w:r>
        <w:rPr>
          <w:rFonts w:hint="eastAsia"/>
          <w:sz w:val="24"/>
          <w:szCs w:val="24"/>
        </w:rPr>
        <w:t>由发包人解除合同</w:t>
      </w:r>
      <w:r>
        <w:rPr>
          <w:sz w:val="24"/>
          <w:szCs w:val="24"/>
        </w:rPr>
        <w:t>]</w:t>
      </w:r>
      <w:r>
        <w:rPr>
          <w:rFonts w:hint="eastAsia"/>
          <w:sz w:val="24"/>
          <w:szCs w:val="24"/>
        </w:rPr>
        <w:t>的权利除外。</w:t>
      </w:r>
    </w:p>
    <w:p>
      <w:pPr>
        <w:spacing w:line="360" w:lineRule="auto"/>
        <w:ind w:firstLine="480" w:firstLineChars="200"/>
        <w:rPr>
          <w:sz w:val="24"/>
          <w:szCs w:val="24"/>
        </w:rPr>
      </w:pPr>
      <w:r>
        <w:rPr>
          <w:rFonts w:hint="eastAsia"/>
          <w:sz w:val="24"/>
          <w:szCs w:val="24"/>
        </w:rPr>
        <w:t>发包人代表（或者在其为法人的情况下，被任命代表其行事的自然人）应：</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履行指派给其的职责，行使发包人托付给的权利；</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具备履行这些职责、行使这些权利的能力；</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作为熟练的专业人员行事。</w:t>
      </w:r>
    </w:p>
    <w:p>
      <w:pPr>
        <w:spacing w:line="360" w:lineRule="auto"/>
        <w:ind w:firstLine="480" w:firstLineChars="200"/>
        <w:rPr>
          <w:sz w:val="24"/>
          <w:szCs w:val="24"/>
        </w:rPr>
      </w:pPr>
      <w:r>
        <w:rPr>
          <w:rFonts w:hint="eastAsia"/>
          <w:sz w:val="24"/>
          <w:szCs w:val="24"/>
        </w:rPr>
        <w:t>如果发包人代表为法人且在签订本合同时未能确定授权代表的，发包人代表应在本合同签订之日起</w:t>
      </w:r>
      <w:r>
        <w:rPr>
          <w:sz w:val="24"/>
          <w:szCs w:val="24"/>
        </w:rPr>
        <w:t>3</w:t>
      </w:r>
      <w:r>
        <w:rPr>
          <w:rFonts w:hint="eastAsia"/>
          <w:sz w:val="24"/>
          <w:szCs w:val="24"/>
        </w:rPr>
        <w:t>日内向双方发出书面通知，告知被任命和授权的自然人以及任何替代人员。此授权在双方收到本通知后生效。发包人代表撤销该授权或者变更授权代表时也应同样发出该通知。</w:t>
      </w:r>
    </w:p>
    <w:p>
      <w:pPr>
        <w:spacing w:line="360" w:lineRule="auto"/>
        <w:ind w:firstLine="480" w:firstLineChars="200"/>
        <w:rPr>
          <w:sz w:val="24"/>
          <w:szCs w:val="24"/>
        </w:rPr>
      </w:pPr>
      <w:r>
        <w:rPr>
          <w:rFonts w:hint="eastAsia"/>
          <w:sz w:val="24"/>
          <w:szCs w:val="24"/>
        </w:rPr>
        <w:t>发包人更换发包人代表的，应提前</w:t>
      </w:r>
      <w:r>
        <w:rPr>
          <w:sz w:val="24"/>
          <w:szCs w:val="24"/>
        </w:rPr>
        <w:t>14</w:t>
      </w:r>
      <w:r>
        <w:rPr>
          <w:rFonts w:hint="eastAsia"/>
          <w:sz w:val="24"/>
          <w:szCs w:val="24"/>
        </w:rPr>
        <w:t>天将更换人的姓名、地址、任务和权利、以及任命的日期书面通知承包人。发包人不得将发包人代表更换为承包人根据本款发出通知提出合理反对意见的人员，不论是法人还是自然人。</w:t>
      </w:r>
    </w:p>
    <w:p>
      <w:pPr>
        <w:spacing w:line="360" w:lineRule="auto"/>
        <w:ind w:firstLine="480" w:firstLineChars="200"/>
        <w:rPr>
          <w:sz w:val="24"/>
          <w:szCs w:val="24"/>
        </w:rPr>
      </w:pPr>
      <w:r>
        <w:rPr>
          <w:rFonts w:hint="eastAsia"/>
          <w:sz w:val="24"/>
          <w:szCs w:val="24"/>
        </w:rPr>
        <w:t>发包人代表不能按照合同约定履行其职责及义务，并导致合同无法继续正常履行的，承包人可以要求发包人撤换发包人代表。</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3.2 </w:t>
      </w:r>
      <w:r>
        <w:rPr>
          <w:rFonts w:hint="eastAsia" w:ascii="宋体" w:hAnsi="宋体" w:eastAsia="宋体" w:cs="宋体"/>
        </w:rPr>
        <w:t>发包人人员</w:t>
      </w:r>
    </w:p>
    <w:p>
      <w:pPr>
        <w:spacing w:line="360" w:lineRule="auto"/>
        <w:ind w:firstLine="480" w:firstLineChars="200"/>
        <w:rPr>
          <w:sz w:val="24"/>
          <w:szCs w:val="24"/>
        </w:rPr>
      </w:pPr>
      <w:r>
        <w:rPr>
          <w:rFonts w:hint="eastAsia"/>
          <w:sz w:val="24"/>
          <w:szCs w:val="24"/>
        </w:rPr>
        <w:t>发包人人员包括发包人代表、工程师及其他由发包人派驻施工现场的人员，发包人可以在专用合同条件中明确发包人人员的姓名、职务及职责等事项。发包人或发包人代表可随时对一些助手指派和托付一定的任务和权利，也可撤销这些指派和托付。这些助手可包括驻地工程师或担任检验、试验各项工程设备和材料的独立检查员。这些助手应具有适当的资质、履行其任务和权利的能力。以上指派、托付或撤销，在承包人收到通知后生效。承包人对于可能影响正常履约或工程安全质量的发包人人员保有随时提出沟通的权利。</w:t>
      </w:r>
    </w:p>
    <w:p>
      <w:pPr>
        <w:spacing w:line="360" w:lineRule="auto"/>
        <w:ind w:firstLine="480" w:firstLineChars="200"/>
        <w:rPr>
          <w:sz w:val="24"/>
          <w:szCs w:val="24"/>
        </w:rPr>
      </w:pPr>
      <w:r>
        <w:rPr>
          <w:rFonts w:hint="eastAsia"/>
          <w:sz w:val="24"/>
          <w:szCs w:val="24"/>
        </w:rPr>
        <w:t>发包人应要求在施工现场的发包人人员遵守法律及有关安全、质量、环境保护、文明施工等规定，因发包人人员未遵守上述要求给承包人造成的损失和责任由发包人承担。</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3.3 </w:t>
      </w:r>
      <w:r>
        <w:rPr>
          <w:rFonts w:hint="eastAsia" w:ascii="宋体" w:hAnsi="宋体" w:eastAsia="宋体" w:cs="宋体"/>
        </w:rPr>
        <w:t>工程师</w:t>
      </w:r>
      <w:r>
        <w:rPr>
          <w:rFonts w:ascii="宋体" w:hAnsi="宋体" w:eastAsia="宋体" w:cs="宋体"/>
        </w:rPr>
        <w:t xml:space="preserve"> </w:t>
      </w:r>
    </w:p>
    <w:p>
      <w:pPr>
        <w:pStyle w:val="66"/>
        <w:spacing w:afterLines="0"/>
        <w:ind w:left="0" w:firstLine="480" w:firstLineChars="200"/>
        <w:rPr>
          <w:rFonts w:cs="宋体"/>
          <w:szCs w:val="24"/>
        </w:rPr>
      </w:pPr>
      <w:r>
        <w:rPr>
          <w:rFonts w:cs="宋体"/>
          <w:szCs w:val="24"/>
        </w:rPr>
        <w:t xml:space="preserve">3.3.1 </w:t>
      </w:r>
      <w:r>
        <w:rPr>
          <w:rFonts w:hint="eastAsia" w:cs="宋体"/>
          <w:szCs w:val="24"/>
        </w:rPr>
        <w:t>发包人需对承包人的设计、采购、施工、服务等工作过程或过程节点实施监督管理的，有权委任工程师。工程师的名称、监督管理范围、内容和权限在专用合同条件中写明。根据国家相关法律法规规定，如本合同工程属于强制监理项目的，由工程师履行法定的监理相关职责，但发包人另行授权第三方进行监理的除外。</w:t>
      </w:r>
    </w:p>
    <w:p>
      <w:pPr>
        <w:pStyle w:val="66"/>
        <w:spacing w:afterLines="0"/>
        <w:ind w:left="0" w:firstLine="480" w:firstLineChars="200"/>
        <w:rPr>
          <w:rFonts w:cs="宋体"/>
          <w:szCs w:val="24"/>
        </w:rPr>
      </w:pPr>
      <w:r>
        <w:rPr>
          <w:rFonts w:cs="宋体"/>
          <w:szCs w:val="24"/>
        </w:rPr>
        <w:t xml:space="preserve">3.3.2 </w:t>
      </w:r>
      <w:r>
        <w:rPr>
          <w:rFonts w:hint="eastAsia" w:cs="宋体"/>
          <w:szCs w:val="24"/>
        </w:rPr>
        <w:t>工程师按发包人委托的范围、内容、职权和权限，代表发包人对承包人实施监督管理。若承包人认为工程师行使的职权不在发包人委托的授权范围之内的，则其有权拒绝执行工程师的相关指示，同时应及时通知发包人，发包人书面确认工程师相关指示的，承包人应遵照执行。</w:t>
      </w:r>
    </w:p>
    <w:p>
      <w:pPr>
        <w:pStyle w:val="66"/>
        <w:spacing w:afterLines="0"/>
        <w:ind w:left="0" w:firstLine="480" w:firstLineChars="200"/>
        <w:rPr>
          <w:rFonts w:cs="宋体"/>
          <w:szCs w:val="24"/>
        </w:rPr>
      </w:pPr>
      <w:r>
        <w:rPr>
          <w:rFonts w:cs="宋体"/>
          <w:szCs w:val="24"/>
        </w:rPr>
        <w:t xml:space="preserve">3.3.3 </w:t>
      </w:r>
      <w:r>
        <w:rPr>
          <w:rFonts w:hint="eastAsia" w:cs="宋体"/>
          <w:szCs w:val="24"/>
        </w:rPr>
        <w:t>在发包人和承包人之间提供证明、行使决定权或处理权时，工程师应作为独立专业的第三方，根据自己的专业技能和判断进行工作。但工程师或其人员均无权修改合同，且无权减轻或免除合同当事人的任何责任与义务。</w:t>
      </w:r>
    </w:p>
    <w:p>
      <w:pPr>
        <w:pStyle w:val="66"/>
        <w:spacing w:afterLines="0"/>
        <w:ind w:left="0" w:firstLine="480" w:firstLineChars="200"/>
        <w:rPr>
          <w:rFonts w:cs="宋体"/>
          <w:szCs w:val="24"/>
        </w:rPr>
      </w:pPr>
      <w:r>
        <w:rPr>
          <w:rFonts w:cs="宋体"/>
          <w:szCs w:val="24"/>
        </w:rPr>
        <w:t xml:space="preserve">3.3.4 </w:t>
      </w:r>
      <w:r>
        <w:rPr>
          <w:rFonts w:hint="eastAsia" w:cs="宋体"/>
          <w:szCs w:val="24"/>
        </w:rPr>
        <w:t>通用合同条件中约定由工程师行使的职权如不在发包人对工程师的授权范围内的，则视为没有取得授权，该职权应由发包人或发包人指定的其他人员行使。若承包人认为工程师的职权与发包人（包括其人员）的职权相重叠或不明确时，应及时通知发包人，由发包人予以协调和明确并以书面形式通知承包人。</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3.4 </w:t>
      </w:r>
      <w:r>
        <w:rPr>
          <w:rFonts w:hint="eastAsia" w:ascii="宋体" w:hAnsi="宋体" w:eastAsia="宋体" w:cs="宋体"/>
        </w:rPr>
        <w:t>任命和授权</w:t>
      </w:r>
    </w:p>
    <w:p>
      <w:pPr>
        <w:pStyle w:val="66"/>
        <w:spacing w:afterLines="0"/>
        <w:ind w:left="0" w:firstLine="480" w:firstLineChars="200"/>
        <w:rPr>
          <w:rFonts w:cs="宋体"/>
          <w:szCs w:val="24"/>
        </w:rPr>
      </w:pPr>
      <w:r>
        <w:rPr>
          <w:rFonts w:cs="宋体"/>
          <w:szCs w:val="24"/>
        </w:rPr>
        <w:t xml:space="preserve">3.4.1 </w:t>
      </w:r>
      <w:r>
        <w:rPr>
          <w:rFonts w:hint="eastAsia" w:cs="宋体"/>
          <w:szCs w:val="24"/>
        </w:rPr>
        <w:t>发包人应在发出开始工作通知前将工程师的任命通知承包人。更换工程师的，发包人应提前</w:t>
      </w:r>
      <w:r>
        <w:rPr>
          <w:rFonts w:cs="宋体"/>
          <w:szCs w:val="24"/>
        </w:rPr>
        <w:t>7</w:t>
      </w:r>
      <w:r>
        <w:rPr>
          <w:rFonts w:hint="eastAsia" w:cs="宋体"/>
          <w:szCs w:val="24"/>
        </w:rPr>
        <w:t>天以书面形式通知承包人，并在通知中写明替换者的姓名、职务、职权、权限和任命时间。工程师超过</w:t>
      </w:r>
      <w:r>
        <w:rPr>
          <w:rFonts w:cs="宋体"/>
          <w:szCs w:val="24"/>
        </w:rPr>
        <w:t>2</w:t>
      </w:r>
      <w:r>
        <w:rPr>
          <w:rFonts w:hint="eastAsia" w:cs="宋体"/>
          <w:szCs w:val="24"/>
        </w:rPr>
        <w:t>天不能履行职责的，应委派代表代行其职责，并通知承包人。</w:t>
      </w:r>
    </w:p>
    <w:p>
      <w:pPr>
        <w:pStyle w:val="66"/>
        <w:spacing w:afterLines="0"/>
        <w:ind w:left="0" w:firstLine="480" w:firstLineChars="200"/>
        <w:rPr>
          <w:rFonts w:cs="宋体"/>
          <w:szCs w:val="24"/>
        </w:rPr>
      </w:pPr>
      <w:r>
        <w:rPr>
          <w:rFonts w:cs="宋体"/>
          <w:szCs w:val="24"/>
        </w:rPr>
        <w:t xml:space="preserve">3.4.2 </w:t>
      </w:r>
      <w:r>
        <w:rPr>
          <w:rFonts w:hint="eastAsia" w:cs="宋体"/>
          <w:szCs w:val="24"/>
        </w:rPr>
        <w:t>工程师可以授权其他人员负责执行其指派的一项或多项工作，但第</w:t>
      </w:r>
      <w:r>
        <w:rPr>
          <w:rFonts w:cs="宋体"/>
          <w:szCs w:val="24"/>
        </w:rPr>
        <w:t>3.6</w:t>
      </w:r>
      <w:r>
        <w:rPr>
          <w:rFonts w:hint="eastAsia" w:cs="宋体"/>
          <w:szCs w:val="24"/>
        </w:rPr>
        <w:t>款</w:t>
      </w:r>
      <w:r>
        <w:rPr>
          <w:rFonts w:cs="宋体"/>
          <w:szCs w:val="24"/>
        </w:rPr>
        <w:t>[</w:t>
      </w:r>
      <w:r>
        <w:rPr>
          <w:rFonts w:hint="eastAsia" w:cs="宋体"/>
          <w:szCs w:val="24"/>
        </w:rPr>
        <w:t>商定或确定</w:t>
      </w:r>
      <w:r>
        <w:rPr>
          <w:rFonts w:cs="宋体"/>
          <w:szCs w:val="24"/>
        </w:rPr>
        <w:t>]</w:t>
      </w:r>
      <w:r>
        <w:rPr>
          <w:rFonts w:hint="eastAsia" w:cs="宋体"/>
          <w:szCs w:val="24"/>
        </w:rPr>
        <w:t>下的权利除外。工程师应将被授权人员的姓名及其授权范围通知承包人。被授权的人员在授权范围内发出的指示视为已得到工程师的同意，与工程师发出的指示具有同等效力。工程师撤销某项授权时，应将撤销授权的决定及时通知承包人。</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3.5 </w:t>
      </w:r>
      <w:r>
        <w:rPr>
          <w:rFonts w:hint="eastAsia" w:ascii="宋体" w:hAnsi="宋体" w:eastAsia="宋体" w:cs="宋体"/>
        </w:rPr>
        <w:t>指示</w:t>
      </w:r>
    </w:p>
    <w:p>
      <w:pPr>
        <w:pStyle w:val="66"/>
        <w:spacing w:afterLines="0"/>
        <w:ind w:left="0" w:firstLine="480" w:firstLineChars="200"/>
        <w:rPr>
          <w:rFonts w:cs="宋体"/>
          <w:szCs w:val="24"/>
        </w:rPr>
      </w:pPr>
      <w:r>
        <w:rPr>
          <w:rFonts w:cs="宋体"/>
          <w:szCs w:val="24"/>
        </w:rPr>
        <w:t xml:space="preserve">3.5.1 </w:t>
      </w:r>
      <w:r>
        <w:rPr>
          <w:rFonts w:hint="eastAsia" w:cs="宋体"/>
          <w:szCs w:val="24"/>
        </w:rPr>
        <w:t>工程师应按照发包人的授权发出指示。工程师的指示应采用书面形式，盖有工程师授权的项目管理机构章，并由工程师的授权人员签字。在紧急情况下，工程师的授权人员可以口头形式发出指示或当场签发临时书面指示，承包人应遵照执行。工程师应在授权人员发出口头指示或临时书面指示后</w:t>
      </w:r>
      <w:r>
        <w:rPr>
          <w:rFonts w:cs="宋体"/>
          <w:szCs w:val="24"/>
        </w:rPr>
        <w:t>24</w:t>
      </w:r>
      <w:r>
        <w:rPr>
          <w:rFonts w:hint="eastAsia" w:cs="宋体"/>
          <w:szCs w:val="24"/>
        </w:rPr>
        <w:t>小时内发出书面确认函，在</w:t>
      </w:r>
      <w:r>
        <w:rPr>
          <w:rFonts w:cs="宋体"/>
          <w:szCs w:val="24"/>
        </w:rPr>
        <w:t>24</w:t>
      </w:r>
      <w:r>
        <w:rPr>
          <w:rFonts w:hint="eastAsia" w:cs="宋体"/>
          <w:szCs w:val="24"/>
        </w:rPr>
        <w:t>小时内未发出书面确认函的，该口头指示或临时书面指示应被视为工程师的正式指示。</w:t>
      </w:r>
    </w:p>
    <w:p>
      <w:pPr>
        <w:pStyle w:val="66"/>
        <w:spacing w:afterLines="0"/>
        <w:ind w:left="0" w:firstLine="480" w:firstLineChars="200"/>
        <w:rPr>
          <w:rFonts w:cs="宋体"/>
          <w:szCs w:val="24"/>
        </w:rPr>
      </w:pPr>
      <w:r>
        <w:rPr>
          <w:rFonts w:cs="宋体"/>
          <w:szCs w:val="24"/>
        </w:rPr>
        <w:t xml:space="preserve">3.5.2 </w:t>
      </w:r>
      <w:r>
        <w:rPr>
          <w:rFonts w:hint="eastAsia" w:cs="宋体"/>
          <w:szCs w:val="24"/>
        </w:rPr>
        <w:t>承包人收到工程师作出的指示后应遵照执行。如果任何此类指示构成一项变更时，应按照第</w:t>
      </w:r>
      <w:r>
        <w:rPr>
          <w:rFonts w:cs="宋体"/>
          <w:szCs w:val="24"/>
        </w:rPr>
        <w:t>13</w:t>
      </w:r>
      <w:r>
        <w:rPr>
          <w:rFonts w:hint="eastAsia" w:cs="宋体"/>
          <w:szCs w:val="24"/>
        </w:rPr>
        <w:t>条</w:t>
      </w:r>
      <w:r>
        <w:rPr>
          <w:rFonts w:cs="宋体"/>
          <w:szCs w:val="24"/>
        </w:rPr>
        <w:t>[</w:t>
      </w:r>
      <w:r>
        <w:rPr>
          <w:rFonts w:hint="eastAsia" w:cs="宋体"/>
          <w:szCs w:val="24"/>
        </w:rPr>
        <w:t>变更与调整</w:t>
      </w:r>
      <w:r>
        <w:rPr>
          <w:rFonts w:cs="宋体"/>
          <w:szCs w:val="24"/>
        </w:rPr>
        <w:t>]</w:t>
      </w:r>
      <w:r>
        <w:rPr>
          <w:rFonts w:hint="eastAsia" w:cs="宋体"/>
          <w:szCs w:val="24"/>
        </w:rPr>
        <w:t>的约定办理。</w:t>
      </w:r>
    </w:p>
    <w:p>
      <w:pPr>
        <w:pStyle w:val="66"/>
        <w:spacing w:afterLines="0"/>
        <w:ind w:left="0" w:firstLine="480" w:firstLineChars="200"/>
        <w:rPr>
          <w:rFonts w:cs="宋体"/>
          <w:szCs w:val="24"/>
        </w:rPr>
      </w:pPr>
      <w:r>
        <w:rPr>
          <w:rFonts w:cs="宋体"/>
          <w:szCs w:val="24"/>
        </w:rPr>
        <w:t xml:space="preserve">3.5.3 </w:t>
      </w:r>
      <w:r>
        <w:rPr>
          <w:rFonts w:hint="eastAsia" w:cs="宋体"/>
          <w:szCs w:val="24"/>
        </w:rPr>
        <w:t>由于工程师未能按合同约定发出指示、指示延误或指示错误而导致承包人费用增加和（或）工期延误的，发包人应承担由此增加的费用和（或）工期延误，并向承包人支付合理利润。</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3.6 </w:t>
      </w:r>
      <w:r>
        <w:rPr>
          <w:rFonts w:hint="eastAsia" w:ascii="宋体" w:hAnsi="宋体" w:eastAsia="宋体" w:cs="宋体"/>
        </w:rPr>
        <w:t>商定或确定</w:t>
      </w:r>
    </w:p>
    <w:p>
      <w:pPr>
        <w:pStyle w:val="66"/>
        <w:spacing w:afterLines="0"/>
        <w:ind w:left="0" w:firstLine="480" w:firstLineChars="200"/>
        <w:rPr>
          <w:rFonts w:cs="宋体"/>
          <w:szCs w:val="24"/>
        </w:rPr>
      </w:pPr>
      <w:r>
        <w:rPr>
          <w:rFonts w:cs="宋体"/>
          <w:szCs w:val="24"/>
        </w:rPr>
        <w:t xml:space="preserve">3.6.1 </w:t>
      </w:r>
      <w:r>
        <w:rPr>
          <w:rFonts w:hint="eastAsia" w:cs="宋体"/>
          <w:szCs w:val="24"/>
        </w:rPr>
        <w:t>合同约定工程师应按照本款对任何事项进行商定或确定时，工程师应及时与合同当事人协商，尽量达成一致。工程师应将商定的结果以书面形式通知发包人和承包人，并由双方签署确认。</w:t>
      </w:r>
    </w:p>
    <w:p>
      <w:pPr>
        <w:pStyle w:val="66"/>
        <w:spacing w:afterLines="0"/>
        <w:ind w:left="0" w:firstLine="480" w:firstLineChars="200"/>
        <w:rPr>
          <w:rFonts w:cs="宋体"/>
          <w:szCs w:val="24"/>
        </w:rPr>
      </w:pPr>
      <w:r>
        <w:rPr>
          <w:rFonts w:cs="宋体"/>
          <w:szCs w:val="24"/>
        </w:rPr>
        <w:t xml:space="preserve">3.6.2 </w:t>
      </w:r>
      <w:r>
        <w:rPr>
          <w:rFonts w:hint="eastAsia" w:cs="宋体"/>
          <w:szCs w:val="24"/>
        </w:rPr>
        <w:t>除专用合同条件另有约定外，商定的期限应为工程师收到任何一方就商定事由发出的通知后</w:t>
      </w:r>
      <w:r>
        <w:rPr>
          <w:rFonts w:cs="宋体"/>
          <w:szCs w:val="24"/>
        </w:rPr>
        <w:t>42</w:t>
      </w:r>
      <w:r>
        <w:rPr>
          <w:rFonts w:hint="eastAsia" w:cs="宋体"/>
          <w:szCs w:val="24"/>
        </w:rPr>
        <w:t>天内或工程师提出并经双方同意的其他期限。未能在该期限内达成一致的，由工程师按照合同约定审慎做出公正的确定。确定的期限应为商定的期限届满后</w:t>
      </w:r>
      <w:r>
        <w:rPr>
          <w:rFonts w:cs="宋体"/>
          <w:szCs w:val="24"/>
        </w:rPr>
        <w:t>42</w:t>
      </w:r>
      <w:r>
        <w:rPr>
          <w:rFonts w:hint="eastAsia" w:cs="宋体"/>
          <w:szCs w:val="24"/>
        </w:rPr>
        <w:t>天内或工程师提出并经双方同意的其他期限。工程师应将确定的结果以书面形式通知发包人和承包人，并附详细依据。</w:t>
      </w:r>
    </w:p>
    <w:p>
      <w:pPr>
        <w:pStyle w:val="66"/>
        <w:spacing w:afterLines="0"/>
        <w:ind w:left="0" w:firstLine="480" w:firstLineChars="200"/>
        <w:rPr>
          <w:rFonts w:cs="宋体"/>
          <w:szCs w:val="24"/>
        </w:rPr>
      </w:pPr>
      <w:r>
        <w:rPr>
          <w:rFonts w:cs="宋体"/>
          <w:szCs w:val="24"/>
        </w:rPr>
        <w:t xml:space="preserve">3.6.3 </w:t>
      </w:r>
      <w:r>
        <w:rPr>
          <w:rFonts w:hint="eastAsia" w:cs="宋体"/>
          <w:szCs w:val="24"/>
        </w:rPr>
        <w:t>任何一方对工程师的确定有异议的，应在收到确定的结果后</w:t>
      </w:r>
      <w:r>
        <w:rPr>
          <w:rFonts w:cs="宋体"/>
          <w:szCs w:val="24"/>
        </w:rPr>
        <w:t>28</w:t>
      </w:r>
      <w:r>
        <w:rPr>
          <w:rFonts w:hint="eastAsia" w:cs="宋体"/>
          <w:szCs w:val="24"/>
        </w:rPr>
        <w:t>天内向另一方发出书面异议通知并抄送工程师。除第</w:t>
      </w:r>
      <w:r>
        <w:rPr>
          <w:rFonts w:cs="宋体"/>
          <w:szCs w:val="24"/>
        </w:rPr>
        <w:t>19.2</w:t>
      </w:r>
      <w:r>
        <w:rPr>
          <w:rFonts w:hint="eastAsia" w:cs="宋体"/>
          <w:szCs w:val="24"/>
        </w:rPr>
        <w:t>款</w:t>
      </w:r>
      <w:r>
        <w:rPr>
          <w:rFonts w:cs="宋体"/>
          <w:szCs w:val="24"/>
        </w:rPr>
        <w:t>[</w:t>
      </w:r>
      <w:r>
        <w:rPr>
          <w:rFonts w:hint="eastAsia" w:cs="宋体"/>
          <w:szCs w:val="24"/>
        </w:rPr>
        <w:t>承包人索赔的处理程序</w:t>
      </w:r>
      <w:r>
        <w:rPr>
          <w:rFonts w:cs="宋体"/>
          <w:szCs w:val="24"/>
        </w:rPr>
        <w:t>]</w:t>
      </w:r>
      <w:r>
        <w:rPr>
          <w:rFonts w:hint="eastAsia" w:cs="宋体"/>
          <w:szCs w:val="24"/>
        </w:rPr>
        <w:t>另有约定外，工程师未能在确定的期限内发出确定的结果通知的，或者任何一方发出对确定的结果有异议的通知的，则构成争议并应按照第</w:t>
      </w:r>
      <w:r>
        <w:rPr>
          <w:rFonts w:cs="宋体"/>
          <w:szCs w:val="24"/>
        </w:rPr>
        <w:t>20</w:t>
      </w:r>
      <w:r>
        <w:rPr>
          <w:rFonts w:hint="eastAsia" w:cs="宋体"/>
          <w:szCs w:val="24"/>
        </w:rPr>
        <w:t>条</w:t>
      </w:r>
      <w:r>
        <w:rPr>
          <w:rFonts w:cs="宋体"/>
          <w:szCs w:val="24"/>
        </w:rPr>
        <w:t>[</w:t>
      </w:r>
      <w:r>
        <w:rPr>
          <w:rFonts w:hint="eastAsia" w:cs="宋体"/>
          <w:szCs w:val="24"/>
        </w:rPr>
        <w:t>争议解决</w:t>
      </w:r>
      <w:r>
        <w:rPr>
          <w:rFonts w:cs="宋体"/>
          <w:szCs w:val="24"/>
        </w:rPr>
        <w:t>]</w:t>
      </w:r>
      <w:r>
        <w:rPr>
          <w:rFonts w:hint="eastAsia" w:cs="宋体"/>
          <w:szCs w:val="24"/>
        </w:rPr>
        <w:t>的约定处理。如未在</w:t>
      </w:r>
      <w:r>
        <w:rPr>
          <w:rFonts w:cs="宋体"/>
          <w:szCs w:val="24"/>
        </w:rPr>
        <w:t>28</w:t>
      </w:r>
      <w:r>
        <w:rPr>
          <w:rFonts w:hint="eastAsia" w:cs="宋体"/>
          <w:szCs w:val="24"/>
        </w:rPr>
        <w:t>天内发出上述通知的，工程师的确定应被视为已被双方接受并对双方具有约束力，但专用合同条件另有约定的除外。</w:t>
      </w:r>
    </w:p>
    <w:p>
      <w:pPr>
        <w:pStyle w:val="66"/>
        <w:spacing w:afterLines="0"/>
        <w:ind w:left="0" w:firstLine="480" w:firstLineChars="200"/>
        <w:rPr>
          <w:rFonts w:cs="宋体"/>
          <w:szCs w:val="24"/>
        </w:rPr>
      </w:pPr>
      <w:r>
        <w:rPr>
          <w:rFonts w:cs="宋体"/>
          <w:szCs w:val="24"/>
        </w:rPr>
        <w:t xml:space="preserve">3.6.4 </w:t>
      </w:r>
      <w:r>
        <w:rPr>
          <w:rFonts w:hint="eastAsia" w:cs="宋体"/>
          <w:szCs w:val="24"/>
        </w:rPr>
        <w:t>在该争议解决前，双方应暂按工程师的确定执行。按照第</w:t>
      </w:r>
      <w:r>
        <w:rPr>
          <w:rFonts w:cs="宋体"/>
          <w:szCs w:val="24"/>
        </w:rPr>
        <w:t>20</w:t>
      </w:r>
      <w:r>
        <w:rPr>
          <w:rFonts w:hint="eastAsia" w:cs="宋体"/>
          <w:szCs w:val="24"/>
        </w:rPr>
        <w:t>条</w:t>
      </w:r>
      <w:r>
        <w:rPr>
          <w:rFonts w:cs="宋体"/>
          <w:szCs w:val="24"/>
        </w:rPr>
        <w:t>[</w:t>
      </w:r>
      <w:r>
        <w:rPr>
          <w:rFonts w:hint="eastAsia" w:cs="宋体"/>
          <w:szCs w:val="24"/>
        </w:rPr>
        <w:t>争议解决</w:t>
      </w:r>
      <w:r>
        <w:rPr>
          <w:rFonts w:cs="宋体"/>
          <w:szCs w:val="24"/>
        </w:rPr>
        <w:t>]</w:t>
      </w:r>
      <w:r>
        <w:rPr>
          <w:rFonts w:hint="eastAsia" w:cs="宋体"/>
          <w:szCs w:val="24"/>
        </w:rPr>
        <w:t>的约定对工程师的确定作出修改的，按修改后的结果执行，由此导致承包人增加的费用和延误的工期由责任方承担。</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3.7 </w:t>
      </w:r>
      <w:r>
        <w:rPr>
          <w:rFonts w:hint="eastAsia" w:ascii="宋体" w:hAnsi="宋体" w:eastAsia="宋体" w:cs="宋体"/>
        </w:rPr>
        <w:t>会议</w:t>
      </w:r>
    </w:p>
    <w:p>
      <w:pPr>
        <w:pStyle w:val="66"/>
        <w:spacing w:afterLines="0"/>
        <w:ind w:left="0" w:firstLine="480" w:firstLineChars="200"/>
        <w:rPr>
          <w:rFonts w:cs="宋体"/>
          <w:szCs w:val="24"/>
        </w:rPr>
      </w:pPr>
      <w:r>
        <w:rPr>
          <w:rFonts w:cs="宋体"/>
          <w:szCs w:val="24"/>
        </w:rPr>
        <w:t xml:space="preserve">3.7.1 </w:t>
      </w:r>
      <w:r>
        <w:rPr>
          <w:rFonts w:hint="eastAsia" w:cs="宋体"/>
          <w:szCs w:val="24"/>
        </w:rPr>
        <w:t>除专用合同条件另有约定外，任何一方可向另一方发出通知，要求另一方出席会议，讨论工程的实施安排或与本合同履行有关的其他事项。发包人的其他承包人、承包人的分包人和其他第三方可应任何一方的请求出席任何此类会议。</w:t>
      </w:r>
    </w:p>
    <w:p>
      <w:pPr>
        <w:tabs>
          <w:tab w:val="left" w:pos="6120"/>
        </w:tabs>
        <w:spacing w:line="360" w:lineRule="auto"/>
        <w:ind w:firstLine="480" w:firstLineChars="200"/>
        <w:jc w:val="both"/>
        <w:rPr>
          <w:sz w:val="30"/>
        </w:rPr>
      </w:pPr>
      <w:r>
        <w:rPr>
          <w:sz w:val="24"/>
          <w:szCs w:val="24"/>
        </w:rPr>
        <w:t xml:space="preserve">3.7.2 </w:t>
      </w:r>
      <w:r>
        <w:rPr>
          <w:rFonts w:hint="eastAsia"/>
          <w:sz w:val="24"/>
          <w:szCs w:val="24"/>
        </w:rPr>
        <w:t>除专用合同条件另有约定外，发包人应保存每次会议参加人签名的记录，并将会议纪要提供给出席会议的人员。任何根据此类会议以及会议纪要采取的行动应符合本合同的约定。</w:t>
      </w:r>
    </w:p>
    <w:p>
      <w:pPr>
        <w:pStyle w:val="64"/>
        <w:numPr>
          <w:ilvl w:val="0"/>
          <w:numId w:val="0"/>
        </w:numPr>
        <w:spacing w:before="0"/>
        <w:ind w:firstLine="482" w:firstLineChars="200"/>
        <w:rPr>
          <w:rFonts w:ascii="宋体"/>
          <w:b/>
          <w:sz w:val="24"/>
          <w:szCs w:val="24"/>
        </w:rPr>
      </w:pPr>
      <w:bookmarkStart w:id="791" w:name="_TOC_250015"/>
      <w:bookmarkEnd w:id="791"/>
      <w:r>
        <w:rPr>
          <w:rFonts w:hint="eastAsia" w:ascii="宋体" w:hAnsi="宋体"/>
          <w:b/>
          <w:sz w:val="24"/>
          <w:szCs w:val="24"/>
        </w:rPr>
        <w:t>第</w:t>
      </w:r>
      <w:r>
        <w:rPr>
          <w:rFonts w:ascii="宋体" w:hAnsi="宋体"/>
          <w:b/>
          <w:sz w:val="24"/>
          <w:szCs w:val="24"/>
        </w:rPr>
        <w:t>4</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承包人</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4.1 </w:t>
      </w:r>
      <w:r>
        <w:rPr>
          <w:rFonts w:hint="eastAsia" w:ascii="宋体" w:hAnsi="宋体" w:eastAsia="宋体" w:cs="宋体"/>
        </w:rPr>
        <w:t>承包人的一般义务</w:t>
      </w:r>
      <w:r>
        <w:rPr>
          <w:rFonts w:ascii="宋体" w:hAnsi="宋体" w:eastAsia="宋体" w:cs="宋体"/>
        </w:rPr>
        <w:t xml:space="preserve"> </w:t>
      </w:r>
    </w:p>
    <w:p>
      <w:pPr>
        <w:spacing w:line="360" w:lineRule="auto"/>
        <w:ind w:firstLine="480" w:firstLineChars="200"/>
        <w:rPr>
          <w:sz w:val="24"/>
          <w:szCs w:val="24"/>
        </w:rPr>
      </w:pPr>
      <w:r>
        <w:rPr>
          <w:rFonts w:hint="eastAsia"/>
          <w:sz w:val="24"/>
          <w:szCs w:val="24"/>
        </w:rPr>
        <w:t>除专用合同条件另有约定外，承包人在履行合同过程中应遵守法律和工程建设标准规范，并履行以下义务：</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办理法律规定和合同约定由承包人办理的许可和批准，将办理结果书面报送发包人留存，并承担因承包人违反法律或合同约定给发包人造成的任何费用和损失；</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按合同约定完成全部工作并在缺陷责任期和保修期内承担缺陷保证责任和保修义务，对工作中的任何缺陷进行整改、完善和修补，使其满足合同约定的目的；</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提供合同约定的工程设备和承包人文件，以及为完成合同工作所需的劳务、材料、施工设备和其他物品，并按合同约定负责临时设施的设计、施工、运行、维护、管理和拆除；</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按合同约定的工作内容和进度要求，编制设计、施工的组织和实施计划，保证项目进度计划的实现，并对所有设计、施工作业和施工方法，以及全部工程的完备性和安全可靠性负责；</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按法律规定和合同约定采取安全文明施工、职业健康和环境保护措施，办理员工工伤保险等相关保险，确保工程及人员、材料、设备和设施的安全，防止因工程实施造成的人身伤害和财产损失；</w:t>
      </w:r>
    </w:p>
    <w:p>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将发包人按合同约定支付的各项价款专用于合同工程，且应及时支付其雇用人员（包括建筑工人）工资，并及时向分包人支付合同价款；</w:t>
      </w:r>
    </w:p>
    <w:p>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w:t>
      </w:r>
      <w:r>
        <w:rPr>
          <w:sz w:val="24"/>
          <w:szCs w:val="24"/>
        </w:rPr>
        <w:t xml:space="preserve"> </w:t>
      </w:r>
      <w:r>
        <w:rPr>
          <w:rFonts w:hint="eastAsia"/>
          <w:sz w:val="24"/>
          <w:szCs w:val="24"/>
        </w:rPr>
        <w:t>在进行合同约定的各项工作时，不得侵害发包人与他人使用公用道路、水源、市政管网等公共设施的权利，避免对邻近的公共设施产生干扰。</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4.2 </w:t>
      </w:r>
      <w:r>
        <w:rPr>
          <w:rFonts w:hint="eastAsia" w:ascii="宋体" w:hAnsi="宋体" w:eastAsia="宋体" w:cs="宋体"/>
        </w:rPr>
        <w:t>履约担保</w:t>
      </w:r>
    </w:p>
    <w:p>
      <w:pPr>
        <w:spacing w:line="360" w:lineRule="auto"/>
        <w:ind w:firstLine="480" w:firstLineChars="200"/>
        <w:rPr>
          <w:sz w:val="24"/>
          <w:szCs w:val="24"/>
        </w:rPr>
      </w:pPr>
      <w:r>
        <w:rPr>
          <w:rFonts w:hint="eastAsia"/>
          <w:sz w:val="24"/>
          <w:szCs w:val="24"/>
        </w:rPr>
        <w:t>发包人需要承包人提供履约担保的，由合同当事人在专用合同条件中约定履约担保的方式、金额及提交的时间等，并应符合第</w:t>
      </w:r>
      <w:r>
        <w:rPr>
          <w:sz w:val="24"/>
          <w:szCs w:val="24"/>
        </w:rPr>
        <w:t>2.5</w:t>
      </w:r>
      <w:r>
        <w:rPr>
          <w:rFonts w:hint="eastAsia"/>
          <w:sz w:val="24"/>
          <w:szCs w:val="24"/>
        </w:rPr>
        <w:t>款</w:t>
      </w:r>
      <w:r>
        <w:rPr>
          <w:sz w:val="24"/>
          <w:szCs w:val="24"/>
        </w:rPr>
        <w:t>[</w:t>
      </w:r>
      <w:r>
        <w:rPr>
          <w:rFonts w:hint="eastAsia"/>
          <w:sz w:val="24"/>
          <w:szCs w:val="24"/>
        </w:rPr>
        <w:t>支付合同价款</w:t>
      </w:r>
      <w:r>
        <w:rPr>
          <w:sz w:val="24"/>
          <w:szCs w:val="24"/>
        </w:rPr>
        <w:t>]</w:t>
      </w:r>
      <w:r>
        <w:rPr>
          <w:rFonts w:hint="eastAsia"/>
          <w:sz w:val="24"/>
          <w:szCs w:val="24"/>
        </w:rPr>
        <w:t>的规定。履约担保可以采用银行保函或担保公司担保等形式，承包人为联合体的，其履约担保由联合体各方或者联合体中牵头人的名义代表联合体提交，具体由合同当事人在专用合同条件中约定。</w:t>
      </w:r>
    </w:p>
    <w:p>
      <w:pPr>
        <w:spacing w:line="360" w:lineRule="auto"/>
        <w:ind w:firstLine="480" w:firstLineChars="200"/>
        <w:rPr>
          <w:sz w:val="24"/>
          <w:szCs w:val="24"/>
        </w:rPr>
      </w:pPr>
      <w:r>
        <w:rPr>
          <w:rFonts w:hint="eastAsia"/>
          <w:sz w:val="24"/>
          <w:szCs w:val="24"/>
        </w:rPr>
        <w:t>承包人应保证其履约担保在发包人竣工验收前一直有效，发包人应在竣工验收合格后</w:t>
      </w:r>
      <w:r>
        <w:rPr>
          <w:sz w:val="24"/>
          <w:szCs w:val="24"/>
        </w:rPr>
        <w:t>7</w:t>
      </w:r>
      <w:r>
        <w:rPr>
          <w:rFonts w:hint="eastAsia"/>
          <w:sz w:val="24"/>
          <w:szCs w:val="24"/>
        </w:rPr>
        <w:t>天内将履约担保款项退还给承包人或者解除履约担保。</w:t>
      </w:r>
    </w:p>
    <w:p>
      <w:pPr>
        <w:spacing w:line="360" w:lineRule="auto"/>
        <w:ind w:firstLine="480" w:firstLineChars="200"/>
        <w:rPr>
          <w:sz w:val="24"/>
          <w:szCs w:val="24"/>
        </w:rPr>
      </w:pPr>
      <w:r>
        <w:rPr>
          <w:rFonts w:hint="eastAsia"/>
          <w:sz w:val="24"/>
          <w:szCs w:val="24"/>
        </w:rPr>
        <w:t>因承包人原因导致工期延长的，继续提供履约担保所增加的费用由承包人承担；非因承包人原因导致工期延长的，继续提供履约担保所增加的费用由发包人承担。</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4.3 </w:t>
      </w:r>
      <w:r>
        <w:rPr>
          <w:rFonts w:hint="eastAsia" w:ascii="宋体" w:hAnsi="宋体" w:eastAsia="宋体" w:cs="宋体"/>
        </w:rPr>
        <w:t>工程总承包项目经理</w:t>
      </w:r>
    </w:p>
    <w:p>
      <w:pPr>
        <w:pStyle w:val="66"/>
        <w:spacing w:afterLines="0"/>
        <w:ind w:left="0" w:firstLine="480" w:firstLineChars="200"/>
        <w:rPr>
          <w:rFonts w:cs="宋体"/>
          <w:szCs w:val="24"/>
        </w:rPr>
      </w:pPr>
      <w:r>
        <w:rPr>
          <w:rFonts w:cs="宋体"/>
          <w:szCs w:val="24"/>
        </w:rPr>
        <w:t xml:space="preserve">4.3.1 </w:t>
      </w:r>
      <w:r>
        <w:rPr>
          <w:rFonts w:hint="eastAsia" w:cs="宋体"/>
          <w:szCs w:val="24"/>
        </w:rPr>
        <w:t>工程总承包项目经理应为合同当事人所确认的人选，并在专用合同条件中明确工程总承包项目经理的姓名、注册执业资格或职称、联系方式及授权范围等事项。工程总承包项目经理应具备履行其职责所需的资格、经验和能力，并为承包人正式聘用的员工，承包人应向发包人提交工程总承包项目经理与承包人之间的劳动合同，以及承包人为工程总承包项目经理缴纳社会保险的有效证明。承包人不提交上述文件的，工程总承包项目经理无权履行职责，发包人有权要求更换工程总承包项目经理，由此增加的费用和（或）延误的工期由承包人承担。同时，发包人有权根据专用合同条件约定要求承包人承担违约责任。</w:t>
      </w:r>
    </w:p>
    <w:p>
      <w:pPr>
        <w:pStyle w:val="66"/>
        <w:spacing w:afterLines="0"/>
        <w:ind w:left="0" w:firstLine="480" w:firstLineChars="200"/>
        <w:rPr>
          <w:rFonts w:cs="宋体"/>
          <w:szCs w:val="24"/>
        </w:rPr>
      </w:pPr>
      <w:r>
        <w:rPr>
          <w:rFonts w:cs="宋体"/>
          <w:szCs w:val="24"/>
        </w:rPr>
        <w:t xml:space="preserve">4.3.2 </w:t>
      </w:r>
      <w:r>
        <w:rPr>
          <w:rFonts w:hint="eastAsia" w:cs="宋体"/>
          <w:szCs w:val="24"/>
        </w:rPr>
        <w:t>承包人应按合同协议书的约定指派工程总承包项目经理，并在约定的期限内到职。工程总承包项目经理不得同时担任其他工程项目的工程总承包项目经理或施工工程总承包项目经理（含施工总承包工程、专业承包工程）。工程在现场实施的全部时间内，工程总承包项目经理每月在施工现场时间不得少于专用合同条件约定的天数。工程总承包项目经理确需离开施工现场时，应事先通知工程师，并取得发包人的书面同意。工程总承包项目经理未经批准擅自离开施工现场的，承包人应按照专用合同条件的约定承担违约责任。工程总承包项目经理的通知中应当载明临时代行其职责的人员的注册执业资格、管理经验等资料，该人员应具备履行相应职责的资格、经验和能力。</w:t>
      </w:r>
    </w:p>
    <w:p>
      <w:pPr>
        <w:pStyle w:val="66"/>
        <w:spacing w:afterLines="0"/>
        <w:ind w:left="0" w:firstLine="480" w:firstLineChars="200"/>
        <w:rPr>
          <w:rFonts w:cs="宋体"/>
          <w:szCs w:val="24"/>
        </w:rPr>
      </w:pPr>
      <w:r>
        <w:rPr>
          <w:rFonts w:cs="宋体"/>
          <w:szCs w:val="24"/>
        </w:rPr>
        <w:t xml:space="preserve">4.3.3 </w:t>
      </w:r>
      <w:r>
        <w:rPr>
          <w:rFonts w:hint="eastAsia" w:cs="宋体"/>
          <w:szCs w:val="24"/>
        </w:rPr>
        <w:t>承包人应根据本合同的约定授予工程总承包项目经理代表承包人履行合同所需的权利，工程总承包项目经理权限以专用合同条件中约定的权限为准。经承包人授权后，工程总承包项目经理应按合同约定以及工程师按第</w:t>
      </w:r>
      <w:r>
        <w:rPr>
          <w:rFonts w:cs="宋体"/>
          <w:szCs w:val="24"/>
        </w:rPr>
        <w:t>3.5</w:t>
      </w:r>
      <w:r>
        <w:rPr>
          <w:rFonts w:hint="eastAsia" w:cs="宋体"/>
          <w:szCs w:val="24"/>
        </w:rPr>
        <w:t>款</w:t>
      </w:r>
      <w:r>
        <w:rPr>
          <w:rFonts w:cs="宋体"/>
          <w:szCs w:val="24"/>
        </w:rPr>
        <w:t>[</w:t>
      </w:r>
      <w:r>
        <w:rPr>
          <w:rFonts w:hint="eastAsia" w:cs="宋体"/>
          <w:szCs w:val="24"/>
        </w:rPr>
        <w:t>指示</w:t>
      </w:r>
      <w:r>
        <w:rPr>
          <w:rFonts w:cs="宋体"/>
          <w:szCs w:val="24"/>
        </w:rPr>
        <w:t>]</w:t>
      </w:r>
      <w:r>
        <w:rPr>
          <w:rFonts w:hint="eastAsia" w:cs="宋体"/>
          <w:szCs w:val="24"/>
        </w:rPr>
        <w:t>作出的指示，代表承包人负责组织合同的实施。在紧急情况下，且无法与发包人和工程师取得联系时，工程总承包项目经理有权采取必要的措施保证人身、工程和财产的安全，但须在事后</w:t>
      </w:r>
      <w:r>
        <w:rPr>
          <w:rFonts w:cs="宋体"/>
          <w:szCs w:val="24"/>
        </w:rPr>
        <w:t>48</w:t>
      </w:r>
      <w:r>
        <w:rPr>
          <w:rFonts w:hint="eastAsia" w:cs="宋体"/>
          <w:szCs w:val="24"/>
        </w:rPr>
        <w:t>小时内向工程师送交书面报告。</w:t>
      </w:r>
    </w:p>
    <w:p>
      <w:pPr>
        <w:pStyle w:val="66"/>
        <w:spacing w:afterLines="0"/>
        <w:ind w:left="0" w:firstLine="480" w:firstLineChars="200"/>
        <w:rPr>
          <w:rFonts w:cs="宋体"/>
          <w:szCs w:val="24"/>
        </w:rPr>
      </w:pPr>
      <w:r>
        <w:rPr>
          <w:rFonts w:cs="宋体"/>
          <w:szCs w:val="24"/>
        </w:rPr>
        <w:t xml:space="preserve">4.3.4 </w:t>
      </w:r>
      <w:r>
        <w:rPr>
          <w:rFonts w:hint="eastAsia" w:cs="宋体"/>
          <w:szCs w:val="24"/>
        </w:rPr>
        <w:t>承包人需要更换工程总承包项目经理的，应提前</w:t>
      </w:r>
      <w:r>
        <w:rPr>
          <w:rFonts w:cs="宋体"/>
          <w:szCs w:val="24"/>
        </w:rPr>
        <w:t>14</w:t>
      </w:r>
      <w:r>
        <w:rPr>
          <w:rFonts w:hint="eastAsia" w:cs="宋体"/>
          <w:szCs w:val="24"/>
        </w:rPr>
        <w:t>天书面通知发包人并抄送工程师，征得发包人书面同意。通知中应当载明继任工程总承包项目经理的注册执业资格、管理经验等资料，继任工程总承包项目经理继续履行本合同约定的职责。未经发包人书面同意，承包人不得擅自更换工程总承包项目经理，在发包人未予以书面回复期间内，工程总承包项目经理将继续履行其职责。工程总承包项目经理突发丧失履行职务能力的，承包人应当及时委派一位具有相应资格能力的人员担任临时工程总承包项目经理，履行工程总承包项目经理的职责，临时工程总承包项目经理将履行职责直至发包人同意新的工程总承包项目经理的任命之日止。承包人擅自更换工程总承包项目经理的，应按照专用合同条件的约定承担违约责任。</w:t>
      </w:r>
    </w:p>
    <w:p>
      <w:pPr>
        <w:pStyle w:val="66"/>
        <w:spacing w:afterLines="0"/>
        <w:ind w:left="0" w:firstLine="480" w:firstLineChars="200"/>
        <w:rPr>
          <w:rFonts w:cs="宋体"/>
          <w:szCs w:val="24"/>
        </w:rPr>
      </w:pPr>
      <w:r>
        <w:rPr>
          <w:rFonts w:cs="宋体"/>
          <w:szCs w:val="24"/>
        </w:rPr>
        <w:t xml:space="preserve">4.3.5 </w:t>
      </w:r>
      <w:r>
        <w:rPr>
          <w:rFonts w:hint="eastAsia" w:cs="宋体"/>
          <w:szCs w:val="24"/>
        </w:rPr>
        <w:t>发包人有权书面通知承包人要求更换其认为不称职的工程总承包项目经理，通知中应当载明要求更换的理由。承包人应在接到更换通知后</w:t>
      </w:r>
      <w:r>
        <w:rPr>
          <w:rFonts w:cs="宋体"/>
          <w:szCs w:val="24"/>
        </w:rPr>
        <w:t>14</w:t>
      </w:r>
      <w:r>
        <w:rPr>
          <w:rFonts w:hint="eastAsia" w:cs="宋体"/>
          <w:szCs w:val="24"/>
        </w:rPr>
        <w:t>天内向发包人提出书面的改进报告。如承包人没有提出改进报告，应在收到更换通知后</w:t>
      </w:r>
      <w:r>
        <w:rPr>
          <w:rFonts w:cs="宋体"/>
          <w:szCs w:val="24"/>
        </w:rPr>
        <w:t>28</w:t>
      </w:r>
      <w:r>
        <w:rPr>
          <w:rFonts w:hint="eastAsia" w:cs="宋体"/>
          <w:szCs w:val="24"/>
        </w:rPr>
        <w:t>天内更换项目经理。发包人收到改进报告后仍要求更换的，承包人应在接到第二次更换通知的</w:t>
      </w:r>
      <w:r>
        <w:rPr>
          <w:rFonts w:cs="宋体"/>
          <w:szCs w:val="24"/>
        </w:rPr>
        <w:t>28</w:t>
      </w:r>
      <w:r>
        <w:rPr>
          <w:rFonts w:hint="eastAsia" w:cs="宋体"/>
          <w:szCs w:val="24"/>
        </w:rPr>
        <w:t>天内进行更换，并将新任命的工程总承包项目经理的注册执业资格、管理经验等资料书面通知发包人。继任工程总承包项目经理继续履行本合同约定的职责。承包人无正当理由拒绝更换工程总承包项目经理的，应按照专用合同条件的约定承担违约责任。</w:t>
      </w:r>
    </w:p>
    <w:p>
      <w:pPr>
        <w:pStyle w:val="66"/>
        <w:spacing w:afterLines="0"/>
        <w:ind w:left="0" w:firstLine="480" w:firstLineChars="200"/>
        <w:rPr>
          <w:rFonts w:cs="宋体"/>
          <w:szCs w:val="24"/>
        </w:rPr>
      </w:pPr>
      <w:r>
        <w:rPr>
          <w:rFonts w:cs="宋体"/>
          <w:szCs w:val="24"/>
        </w:rPr>
        <w:t xml:space="preserve">4.3.6 </w:t>
      </w:r>
      <w:r>
        <w:rPr>
          <w:rFonts w:hint="eastAsia" w:cs="宋体"/>
          <w:szCs w:val="24"/>
        </w:rPr>
        <w:t>工程总承包项目经理因特殊情况授权其下属人员履行其某项工作职责的，该下属人员应具备履行相应职责的能力，并应事先将上述人员的姓名、注册执业资格、管理经验等信息和授权范围书面通知发包人并抄送工程师，征得发包人书面同意。</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4.4 </w:t>
      </w:r>
      <w:r>
        <w:rPr>
          <w:rFonts w:hint="eastAsia" w:ascii="宋体" w:hAnsi="宋体" w:eastAsia="宋体" w:cs="宋体"/>
        </w:rPr>
        <w:t>承包人人员</w:t>
      </w:r>
    </w:p>
    <w:p>
      <w:pPr>
        <w:pStyle w:val="66"/>
        <w:spacing w:afterLines="0"/>
        <w:ind w:left="0" w:firstLine="480" w:firstLineChars="200"/>
        <w:rPr>
          <w:rFonts w:cs="宋体"/>
          <w:szCs w:val="24"/>
        </w:rPr>
      </w:pPr>
      <w:r>
        <w:rPr>
          <w:rFonts w:cs="宋体"/>
          <w:szCs w:val="24"/>
        </w:rPr>
        <w:t xml:space="preserve">4.4.1 </w:t>
      </w:r>
      <w:r>
        <w:rPr>
          <w:rFonts w:hint="eastAsia" w:cs="宋体"/>
          <w:szCs w:val="24"/>
        </w:rPr>
        <w:t>人员安排</w:t>
      </w:r>
    </w:p>
    <w:p>
      <w:pPr>
        <w:spacing w:line="360" w:lineRule="auto"/>
        <w:ind w:firstLine="480" w:firstLineChars="200"/>
        <w:rPr>
          <w:sz w:val="24"/>
          <w:szCs w:val="24"/>
        </w:rPr>
      </w:pPr>
      <w:r>
        <w:rPr>
          <w:rFonts w:hint="eastAsia"/>
          <w:sz w:val="24"/>
          <w:szCs w:val="24"/>
        </w:rPr>
        <w:t>承包人人员的资质、数量、配置和管理应能满足工程实施的需要。除专用合同条件另有约定外，承包人应在接到开始工作通知之日起</w:t>
      </w:r>
      <w:r>
        <w:rPr>
          <w:sz w:val="24"/>
          <w:szCs w:val="24"/>
        </w:rPr>
        <w:t>14</w:t>
      </w:r>
      <w:r>
        <w:rPr>
          <w:rFonts w:hint="eastAsia"/>
          <w:sz w:val="24"/>
          <w:szCs w:val="24"/>
        </w:rPr>
        <w:t>天内，向工程师提交承包人的项目管理机构以及人员安排的报告，其内容应包括管理机构的设置、各主要岗位的关键人员名单及注册执业资格等证明其具备担任关键人员能力的相关文件，以及设计人员和各工种技术负责人的安排状况。</w:t>
      </w:r>
    </w:p>
    <w:p>
      <w:pPr>
        <w:spacing w:line="360" w:lineRule="auto"/>
        <w:ind w:firstLine="480" w:firstLineChars="200"/>
        <w:rPr>
          <w:sz w:val="24"/>
          <w:szCs w:val="24"/>
        </w:rPr>
      </w:pPr>
      <w:r>
        <w:rPr>
          <w:rFonts w:hint="eastAsia"/>
          <w:sz w:val="24"/>
          <w:szCs w:val="24"/>
        </w:rPr>
        <w:t>关键人员是发包人及承包人一致认为对工程建设起重要作用的承包人主要管理人员或技术人员。关键人员的具体范围由发包人及承包人在附件</w:t>
      </w:r>
      <w:r>
        <w:rPr>
          <w:sz w:val="24"/>
          <w:szCs w:val="24"/>
        </w:rPr>
        <w:t>5[</w:t>
      </w:r>
      <w:r>
        <w:rPr>
          <w:rFonts w:hint="eastAsia"/>
          <w:sz w:val="24"/>
          <w:szCs w:val="24"/>
        </w:rPr>
        <w:t>承包人主要管理人员表</w:t>
      </w:r>
      <w:r>
        <w:rPr>
          <w:sz w:val="24"/>
          <w:szCs w:val="24"/>
        </w:rPr>
        <w:t>]</w:t>
      </w:r>
      <w:r>
        <w:rPr>
          <w:rFonts w:hint="eastAsia"/>
          <w:sz w:val="24"/>
          <w:szCs w:val="24"/>
        </w:rPr>
        <w:t>中另行约定。</w:t>
      </w:r>
    </w:p>
    <w:p>
      <w:pPr>
        <w:pStyle w:val="66"/>
        <w:spacing w:afterLines="0"/>
        <w:ind w:left="0" w:firstLine="480" w:firstLineChars="200"/>
        <w:rPr>
          <w:rFonts w:cs="宋体"/>
          <w:szCs w:val="24"/>
        </w:rPr>
      </w:pPr>
      <w:r>
        <w:rPr>
          <w:rFonts w:cs="宋体"/>
          <w:szCs w:val="24"/>
        </w:rPr>
        <w:t xml:space="preserve">4.4.2 </w:t>
      </w:r>
      <w:r>
        <w:rPr>
          <w:rFonts w:hint="eastAsia" w:cs="宋体"/>
          <w:szCs w:val="24"/>
        </w:rPr>
        <w:t>关键人员更换</w:t>
      </w:r>
    </w:p>
    <w:p>
      <w:pPr>
        <w:spacing w:line="360" w:lineRule="auto"/>
        <w:ind w:firstLine="480" w:firstLineChars="200"/>
        <w:rPr>
          <w:sz w:val="24"/>
          <w:szCs w:val="24"/>
        </w:rPr>
      </w:pPr>
      <w:r>
        <w:rPr>
          <w:rFonts w:hint="eastAsia"/>
          <w:sz w:val="24"/>
          <w:szCs w:val="24"/>
        </w:rPr>
        <w:t>承包人派驻到施工现场的关键人员应相对稳定。承包人更换关键人员时，应提前</w:t>
      </w:r>
      <w:r>
        <w:rPr>
          <w:sz w:val="24"/>
          <w:szCs w:val="24"/>
        </w:rPr>
        <w:t>14</w:t>
      </w:r>
      <w:r>
        <w:rPr>
          <w:rFonts w:hint="eastAsia"/>
          <w:sz w:val="24"/>
          <w:szCs w:val="24"/>
        </w:rPr>
        <w:t>天将继任关键人员信息及相关证明文件提交给工程师，并由工程师报发包人征求同意。在发包人未予以书面回复期间内，关键人员将继续履行其职务。关键人员突发丧失履行职务能力的，承包人应当及时委派一位具有相应资格能力的人员临时继任该关键人员职位，履行该关键人员职责，临时继任关键人员将履行职责直至发包人同意新的关键人员任命之日止。承包人擅自更换关键人员，应按照专用合同条件约定承担违约责任。</w:t>
      </w:r>
    </w:p>
    <w:p>
      <w:pPr>
        <w:spacing w:line="360" w:lineRule="auto"/>
        <w:ind w:firstLine="480" w:firstLineChars="200"/>
        <w:rPr>
          <w:sz w:val="24"/>
          <w:szCs w:val="24"/>
        </w:rPr>
      </w:pPr>
      <w:r>
        <w:rPr>
          <w:rFonts w:hint="eastAsia"/>
          <w:sz w:val="24"/>
          <w:szCs w:val="24"/>
        </w:rPr>
        <w:t>工程师对于承包人关键人员的资格或能力有异议的，承包人应提供资料证明被质疑人员有能力完成其岗位工作或不存在工程师所质疑的情形。工程师指示撤换不能按照合同约定履行职责及义务的主要施工管理人员的，承包人应当撤换。承包人无正当理由拒绝撤换的，应按照专用合同条件的约定承担违约责任。</w:t>
      </w:r>
    </w:p>
    <w:p>
      <w:pPr>
        <w:pStyle w:val="66"/>
        <w:spacing w:afterLines="0"/>
        <w:ind w:left="0" w:firstLine="480" w:firstLineChars="200"/>
        <w:rPr>
          <w:rFonts w:cs="宋体"/>
          <w:szCs w:val="24"/>
        </w:rPr>
      </w:pPr>
      <w:r>
        <w:rPr>
          <w:rFonts w:cs="宋体"/>
          <w:szCs w:val="24"/>
        </w:rPr>
        <w:t xml:space="preserve">4.4.3 </w:t>
      </w:r>
      <w:r>
        <w:rPr>
          <w:rFonts w:hint="eastAsia" w:cs="宋体"/>
          <w:szCs w:val="24"/>
        </w:rPr>
        <w:t>现场管理关键人员在岗要求</w:t>
      </w:r>
    </w:p>
    <w:p>
      <w:pPr>
        <w:spacing w:line="360" w:lineRule="auto"/>
        <w:ind w:firstLine="480" w:firstLineChars="200"/>
        <w:rPr>
          <w:sz w:val="24"/>
          <w:szCs w:val="24"/>
        </w:rPr>
      </w:pPr>
      <w:r>
        <w:rPr>
          <w:rFonts w:hint="eastAsia"/>
          <w:sz w:val="24"/>
          <w:szCs w:val="24"/>
        </w:rPr>
        <w:t>除专用合同条件另有约定外，承包人的现场管理关键人员离开施工现场每月累计不超过</w:t>
      </w:r>
      <w:r>
        <w:rPr>
          <w:sz w:val="24"/>
          <w:szCs w:val="24"/>
        </w:rPr>
        <w:t>7</w:t>
      </w:r>
      <w:r>
        <w:rPr>
          <w:rFonts w:hint="eastAsia"/>
          <w:sz w:val="24"/>
          <w:szCs w:val="24"/>
        </w:rPr>
        <w:t>天的，应报工程师同意；离开施工现场每月累计超过</w:t>
      </w:r>
      <w:r>
        <w:rPr>
          <w:sz w:val="24"/>
          <w:szCs w:val="24"/>
        </w:rPr>
        <w:t>7</w:t>
      </w:r>
      <w:r>
        <w:rPr>
          <w:rFonts w:hint="eastAsia"/>
          <w:sz w:val="24"/>
          <w:szCs w:val="24"/>
        </w:rPr>
        <w:t>天的，应书面通知发包人并抄送工程师，征得发包人书面同意。现场管理关键人员因故离开施工现场的，可授权有经验的人员临时代行其职责，但承包人应将被授权人员信息及授权范围书面通知发包人并取得其同意。现场管理关键人员未经工程师或发包人同意擅自离开施工现场的，应按照专用合同条件约定承担违约责任。</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4.5 </w:t>
      </w:r>
      <w:r>
        <w:rPr>
          <w:rFonts w:hint="eastAsia" w:ascii="宋体" w:hAnsi="宋体" w:eastAsia="宋体" w:cs="宋体"/>
        </w:rPr>
        <w:t>分包</w:t>
      </w:r>
      <w:r>
        <w:rPr>
          <w:rFonts w:ascii="宋体" w:hAnsi="宋体" w:eastAsia="宋体" w:cs="宋体"/>
        </w:rPr>
        <w:t xml:space="preserve"> </w:t>
      </w:r>
    </w:p>
    <w:p>
      <w:pPr>
        <w:pStyle w:val="66"/>
        <w:spacing w:afterLines="0"/>
        <w:ind w:left="0" w:firstLine="480" w:firstLineChars="200"/>
        <w:rPr>
          <w:rFonts w:cs="宋体"/>
          <w:szCs w:val="24"/>
        </w:rPr>
      </w:pPr>
      <w:r>
        <w:rPr>
          <w:rFonts w:cs="宋体"/>
          <w:szCs w:val="24"/>
        </w:rPr>
        <w:t xml:space="preserve">4.5.1 </w:t>
      </w:r>
      <w:r>
        <w:rPr>
          <w:rFonts w:hint="eastAsia" w:cs="宋体"/>
          <w:szCs w:val="24"/>
        </w:rPr>
        <w:t>一般约定</w:t>
      </w:r>
    </w:p>
    <w:p>
      <w:pPr>
        <w:spacing w:line="360" w:lineRule="auto"/>
        <w:ind w:firstLine="480" w:firstLineChars="200"/>
        <w:rPr>
          <w:sz w:val="24"/>
          <w:szCs w:val="24"/>
        </w:rPr>
      </w:pPr>
      <w:r>
        <w:rPr>
          <w:rFonts w:hint="eastAsia"/>
          <w:sz w:val="24"/>
          <w:szCs w:val="24"/>
        </w:rPr>
        <w:t>承包人不得将其承包的全部工程转包给第三人，或将其承包的全部工程支解后以分包的名义转包给第三人。承包人不得将法律或专用合同条件中禁止分包的工作事项分包给第三人，不得以劳务分包的名义转包或违法分包工程。</w:t>
      </w:r>
    </w:p>
    <w:p>
      <w:pPr>
        <w:pStyle w:val="66"/>
        <w:spacing w:afterLines="0"/>
        <w:ind w:left="0" w:firstLine="480" w:firstLineChars="200"/>
        <w:rPr>
          <w:rFonts w:cs="宋体"/>
          <w:szCs w:val="24"/>
        </w:rPr>
      </w:pPr>
      <w:r>
        <w:rPr>
          <w:rFonts w:cs="宋体"/>
          <w:szCs w:val="24"/>
        </w:rPr>
        <w:t xml:space="preserve">4.5.2 </w:t>
      </w:r>
      <w:r>
        <w:rPr>
          <w:rFonts w:hint="eastAsia" w:cs="宋体"/>
          <w:szCs w:val="24"/>
        </w:rPr>
        <w:t>分包的确定</w:t>
      </w:r>
    </w:p>
    <w:p>
      <w:pPr>
        <w:spacing w:line="360" w:lineRule="auto"/>
        <w:ind w:firstLine="480" w:firstLineChars="200"/>
        <w:rPr>
          <w:sz w:val="24"/>
          <w:szCs w:val="24"/>
        </w:rPr>
      </w:pPr>
      <w:r>
        <w:rPr>
          <w:rFonts w:hint="eastAsia"/>
          <w:sz w:val="24"/>
          <w:szCs w:val="24"/>
        </w:rPr>
        <w:t>承包人应按照专用合同条件约定对工作事项进行分包，确定分包人。</w:t>
      </w:r>
    </w:p>
    <w:p>
      <w:pPr>
        <w:spacing w:line="360" w:lineRule="auto"/>
        <w:ind w:firstLine="480" w:firstLineChars="200"/>
        <w:rPr>
          <w:sz w:val="24"/>
          <w:szCs w:val="24"/>
        </w:rPr>
      </w:pPr>
      <w:r>
        <w:rPr>
          <w:rFonts w:hint="eastAsia"/>
          <w:sz w:val="24"/>
          <w:szCs w:val="24"/>
        </w:rPr>
        <w:t>专用合同条件未列出的分包事项，承包人可在工程实施阶段分批分期就分包事项向发包人提交申请，发包人在接到分包事项申请后的</w:t>
      </w:r>
      <w:r>
        <w:rPr>
          <w:sz w:val="24"/>
          <w:szCs w:val="24"/>
        </w:rPr>
        <w:t>14</w:t>
      </w:r>
      <w:r>
        <w:rPr>
          <w:rFonts w:hint="eastAsia"/>
          <w:sz w:val="24"/>
          <w:szCs w:val="24"/>
        </w:rPr>
        <w:t>天内，予以批准或提出意见。未经发包人同意，承包人不得将提出的拟分包事项对外分包。发包人未能在</w:t>
      </w:r>
      <w:r>
        <w:rPr>
          <w:sz w:val="24"/>
          <w:szCs w:val="24"/>
        </w:rPr>
        <w:t>14</w:t>
      </w:r>
      <w:r>
        <w:rPr>
          <w:rFonts w:hint="eastAsia"/>
          <w:sz w:val="24"/>
          <w:szCs w:val="24"/>
        </w:rPr>
        <w:t>天内批准亦未提出意见的，承包人有权将提出的拟分包事项对外分包，但应在分包人确定后通知发包人。</w:t>
      </w:r>
    </w:p>
    <w:p>
      <w:pPr>
        <w:pStyle w:val="66"/>
        <w:spacing w:afterLines="0"/>
        <w:ind w:left="0" w:firstLine="480" w:firstLineChars="200"/>
        <w:rPr>
          <w:rFonts w:cs="宋体"/>
          <w:szCs w:val="24"/>
        </w:rPr>
      </w:pPr>
      <w:r>
        <w:rPr>
          <w:rFonts w:cs="宋体"/>
          <w:szCs w:val="24"/>
        </w:rPr>
        <w:t xml:space="preserve">4.5.3 </w:t>
      </w:r>
      <w:r>
        <w:rPr>
          <w:rFonts w:hint="eastAsia" w:cs="宋体"/>
          <w:szCs w:val="24"/>
        </w:rPr>
        <w:t>分包人资质</w:t>
      </w:r>
    </w:p>
    <w:p>
      <w:pPr>
        <w:spacing w:line="360" w:lineRule="auto"/>
        <w:ind w:firstLine="480" w:firstLineChars="200"/>
        <w:rPr>
          <w:sz w:val="24"/>
          <w:szCs w:val="24"/>
        </w:rPr>
      </w:pPr>
      <w:r>
        <w:rPr>
          <w:rFonts w:hint="eastAsia"/>
          <w:sz w:val="24"/>
          <w:szCs w:val="24"/>
        </w:rPr>
        <w:t>分包人应符合国家法律规定的资质等级，否则不能作为分包人。承包人有义务对分包人的资质进行审查。</w:t>
      </w:r>
    </w:p>
    <w:p>
      <w:pPr>
        <w:pStyle w:val="66"/>
        <w:spacing w:afterLines="0"/>
        <w:ind w:left="0" w:firstLine="480" w:firstLineChars="200"/>
        <w:rPr>
          <w:rFonts w:cs="宋体"/>
          <w:szCs w:val="24"/>
        </w:rPr>
      </w:pPr>
      <w:r>
        <w:rPr>
          <w:rFonts w:cs="宋体"/>
          <w:szCs w:val="24"/>
        </w:rPr>
        <w:t xml:space="preserve">4.5.4 </w:t>
      </w:r>
      <w:r>
        <w:rPr>
          <w:rFonts w:hint="eastAsia" w:cs="宋体"/>
          <w:szCs w:val="24"/>
        </w:rPr>
        <w:t>分包管理</w:t>
      </w:r>
    </w:p>
    <w:p>
      <w:pPr>
        <w:spacing w:line="360" w:lineRule="auto"/>
        <w:ind w:firstLine="480" w:firstLineChars="200"/>
        <w:rPr>
          <w:sz w:val="24"/>
          <w:szCs w:val="24"/>
        </w:rPr>
      </w:pPr>
      <w:r>
        <w:rPr>
          <w:rFonts w:hint="eastAsia"/>
          <w:sz w:val="24"/>
          <w:szCs w:val="24"/>
        </w:rPr>
        <w:t>承包人应当对分包人的工作进行必要的协调与管理，确保分包人严格执行国家有关分包事项的管理规定。承包人应向工程师提交分包人的主要管理人员表，并对分包人的工作人员进行实名制管理，包括但不限于进出场管理、登记造册以及各种证照的办理。</w:t>
      </w:r>
    </w:p>
    <w:p>
      <w:pPr>
        <w:pStyle w:val="66"/>
        <w:spacing w:afterLines="0"/>
        <w:ind w:left="0" w:firstLine="480" w:firstLineChars="200"/>
        <w:rPr>
          <w:rFonts w:cs="宋体"/>
          <w:szCs w:val="24"/>
        </w:rPr>
      </w:pPr>
      <w:r>
        <w:rPr>
          <w:rFonts w:cs="宋体"/>
          <w:szCs w:val="24"/>
        </w:rPr>
        <w:t xml:space="preserve">4.5.5 </w:t>
      </w:r>
      <w:r>
        <w:rPr>
          <w:rFonts w:hint="eastAsia" w:cs="宋体"/>
          <w:szCs w:val="24"/>
        </w:rPr>
        <w:t>分包合同价款支付</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除本项第（</w:t>
      </w:r>
      <w:r>
        <w:rPr>
          <w:sz w:val="24"/>
          <w:szCs w:val="24"/>
        </w:rPr>
        <w:t>2</w:t>
      </w:r>
      <w:r>
        <w:rPr>
          <w:rFonts w:hint="eastAsia"/>
          <w:sz w:val="24"/>
          <w:szCs w:val="24"/>
        </w:rPr>
        <w:t>）目约定的情况或专用合同条件另有约定外，分包合同价款由承包人与分包人结算，未经承包人同意，发包人不得向分包人支付分包合同价款；</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生效法律文书要求发包人向分包人支付分包合同价款的，发包人有权从应付承包人工程款中扣除该部分款项，将扣款直接支付给分包人，并书面通知承包人。</w:t>
      </w:r>
    </w:p>
    <w:p>
      <w:pPr>
        <w:pStyle w:val="66"/>
        <w:spacing w:afterLines="0"/>
        <w:ind w:left="0" w:firstLine="480" w:firstLineChars="200"/>
        <w:rPr>
          <w:rFonts w:cs="宋体"/>
          <w:szCs w:val="24"/>
        </w:rPr>
      </w:pPr>
      <w:r>
        <w:rPr>
          <w:rFonts w:cs="宋体"/>
          <w:szCs w:val="24"/>
        </w:rPr>
        <w:t xml:space="preserve">4.5.6 </w:t>
      </w:r>
      <w:r>
        <w:rPr>
          <w:rFonts w:hint="eastAsia" w:cs="宋体"/>
          <w:szCs w:val="24"/>
        </w:rPr>
        <w:t>责任承担</w:t>
      </w:r>
    </w:p>
    <w:p>
      <w:pPr>
        <w:spacing w:line="360" w:lineRule="auto"/>
        <w:ind w:firstLine="480" w:firstLineChars="200"/>
        <w:rPr>
          <w:sz w:val="24"/>
          <w:szCs w:val="24"/>
        </w:rPr>
      </w:pPr>
      <w:r>
        <w:rPr>
          <w:rFonts w:hint="eastAsia"/>
          <w:sz w:val="24"/>
          <w:szCs w:val="24"/>
        </w:rPr>
        <w:t>承包人对分包人的行为向发包人负责，承包人和分包人就分包工作向发包人承担连带责任。</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4.6 </w:t>
      </w:r>
      <w:r>
        <w:rPr>
          <w:rFonts w:hint="eastAsia" w:ascii="宋体" w:hAnsi="宋体" w:eastAsia="宋体" w:cs="宋体"/>
        </w:rPr>
        <w:t>联合体</w:t>
      </w:r>
    </w:p>
    <w:p>
      <w:pPr>
        <w:pStyle w:val="66"/>
        <w:spacing w:afterLines="0"/>
        <w:ind w:left="0" w:firstLine="480" w:firstLineChars="200"/>
        <w:rPr>
          <w:rFonts w:cs="宋体"/>
          <w:szCs w:val="24"/>
        </w:rPr>
      </w:pPr>
      <w:r>
        <w:rPr>
          <w:rFonts w:cs="宋体"/>
          <w:szCs w:val="24"/>
        </w:rPr>
        <w:t xml:space="preserve">4.6.1 </w:t>
      </w:r>
      <w:r>
        <w:rPr>
          <w:rFonts w:hint="eastAsia" w:cs="宋体"/>
          <w:szCs w:val="24"/>
        </w:rPr>
        <w:t>经发包人同意，以联合体方式承包工程的，联合体各方应共同与发包人订立合同协议书。联合体各方应为履行合同向发包人承担连带责任。</w:t>
      </w:r>
    </w:p>
    <w:p>
      <w:pPr>
        <w:pStyle w:val="66"/>
        <w:spacing w:afterLines="0"/>
        <w:ind w:left="0" w:firstLine="480" w:firstLineChars="200"/>
        <w:rPr>
          <w:rFonts w:cs="宋体"/>
          <w:szCs w:val="24"/>
        </w:rPr>
      </w:pPr>
      <w:r>
        <w:rPr>
          <w:rFonts w:cs="宋体"/>
          <w:szCs w:val="24"/>
        </w:rPr>
        <w:t xml:space="preserve">4.6.2 </w:t>
      </w:r>
      <w:r>
        <w:rPr>
          <w:rFonts w:hint="eastAsia" w:cs="宋体"/>
          <w:szCs w:val="24"/>
        </w:rPr>
        <w:t>承包人应在专用合同条件中明确联合体各成员的分工、费用收取、发票开具等事项。联合体各成员分工承担的工作内容必须与适用法律规定的该成员的资质资格相适应，并应具有相应的项目管理体系和项目管理能力，且不应根据其就承包工作的分工而减免对发包人的任何合同责任。</w:t>
      </w:r>
    </w:p>
    <w:p>
      <w:pPr>
        <w:pStyle w:val="66"/>
        <w:spacing w:afterLines="0"/>
        <w:ind w:left="0" w:firstLine="480" w:firstLineChars="200"/>
        <w:rPr>
          <w:rFonts w:cs="宋体"/>
          <w:szCs w:val="24"/>
        </w:rPr>
      </w:pPr>
      <w:r>
        <w:rPr>
          <w:rFonts w:cs="宋体"/>
          <w:szCs w:val="24"/>
        </w:rPr>
        <w:t xml:space="preserve">4.6.3 </w:t>
      </w:r>
      <w:r>
        <w:rPr>
          <w:rFonts w:hint="eastAsia" w:cs="宋体"/>
          <w:szCs w:val="24"/>
        </w:rPr>
        <w:t>联合体协议经发包人确认后作为合同附件。在履行合同过程中，未经发包人同意，不得变更联合体成员和其负责的工作范围，或者修改联合体协议中与本合同履行相关的内容。</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4.7 </w:t>
      </w:r>
      <w:r>
        <w:rPr>
          <w:rFonts w:hint="eastAsia" w:ascii="宋体" w:hAnsi="宋体" w:eastAsia="宋体" w:cs="宋体"/>
        </w:rPr>
        <w:t>承包人现场查勘</w:t>
      </w:r>
    </w:p>
    <w:p>
      <w:pPr>
        <w:pStyle w:val="66"/>
        <w:spacing w:afterLines="0"/>
        <w:ind w:left="0" w:firstLine="480" w:firstLineChars="200"/>
        <w:rPr>
          <w:rFonts w:cs="宋体"/>
          <w:szCs w:val="24"/>
        </w:rPr>
      </w:pPr>
      <w:r>
        <w:rPr>
          <w:rFonts w:cs="宋体"/>
          <w:szCs w:val="24"/>
        </w:rPr>
        <w:t xml:space="preserve">4.7.1 </w:t>
      </w:r>
      <w:r>
        <w:rPr>
          <w:rFonts w:hint="eastAsia" w:cs="宋体"/>
          <w:szCs w:val="24"/>
        </w:rPr>
        <w:t>除专用合同条件另有约定外，承包人应对基于发包人提交的基础资料所做出的解释和推断负责，因基础资料存在错误、遗漏导致承包人解释或推断失实的，按照第</w:t>
      </w:r>
      <w:r>
        <w:rPr>
          <w:rFonts w:cs="宋体"/>
          <w:szCs w:val="24"/>
        </w:rPr>
        <w:t>2.3</w:t>
      </w:r>
      <w:r>
        <w:rPr>
          <w:rFonts w:hint="eastAsia" w:cs="宋体"/>
          <w:szCs w:val="24"/>
        </w:rPr>
        <w:t>项</w:t>
      </w:r>
      <w:r>
        <w:rPr>
          <w:rFonts w:cs="宋体"/>
          <w:szCs w:val="24"/>
        </w:rPr>
        <w:t>[</w:t>
      </w:r>
      <w:r>
        <w:rPr>
          <w:rFonts w:hint="eastAsia" w:cs="宋体"/>
          <w:szCs w:val="24"/>
        </w:rPr>
        <w:t>提供基础资料</w:t>
      </w:r>
      <w:r>
        <w:rPr>
          <w:rFonts w:cs="宋体"/>
          <w:szCs w:val="24"/>
        </w:rPr>
        <w:t>]</w:t>
      </w:r>
      <w:r>
        <w:rPr>
          <w:rFonts w:hint="eastAsia" w:cs="宋体"/>
          <w:szCs w:val="24"/>
        </w:rPr>
        <w:t>的规定承担责任。承包人发现基础资料中存在明显错误或疏忽的，应及时书面通知发包人。</w:t>
      </w:r>
    </w:p>
    <w:p>
      <w:pPr>
        <w:pStyle w:val="66"/>
        <w:spacing w:afterLines="0"/>
        <w:ind w:left="0" w:firstLine="480" w:firstLineChars="200"/>
        <w:rPr>
          <w:rFonts w:cs="宋体"/>
          <w:szCs w:val="24"/>
        </w:rPr>
      </w:pPr>
      <w:r>
        <w:rPr>
          <w:rFonts w:cs="宋体"/>
          <w:szCs w:val="24"/>
        </w:rPr>
        <w:t xml:space="preserve">4.7.2 </w:t>
      </w:r>
      <w:r>
        <w:rPr>
          <w:rFonts w:hint="eastAsia" w:cs="宋体"/>
          <w:szCs w:val="24"/>
        </w:rPr>
        <w:t>承包人应对现场和工程实施条件进行查勘，并充分了解工程所在地的气象条件、交通条件、风俗习惯以及其他与完成合同工作有关的其他资料。承包人提交投标文件，视为承包人已对施工现场及周围环境进行了踏勘，并已充分了解评估施工现场及周围环境对工程可能产生的影响，自愿承担相应风险与责任。在全部合同工作中，视为承包人已充分估计了应承担的责任和风险，但属于</w:t>
      </w:r>
      <w:r>
        <w:rPr>
          <w:rFonts w:cs="宋体"/>
          <w:szCs w:val="24"/>
        </w:rPr>
        <w:t>4.8</w:t>
      </w:r>
      <w:r>
        <w:rPr>
          <w:rFonts w:hint="eastAsia" w:cs="宋体"/>
          <w:szCs w:val="24"/>
        </w:rPr>
        <w:t>款</w:t>
      </w:r>
      <w:r>
        <w:rPr>
          <w:rFonts w:cs="宋体"/>
          <w:szCs w:val="24"/>
        </w:rPr>
        <w:t>[</w:t>
      </w:r>
      <w:r>
        <w:rPr>
          <w:rFonts w:hint="eastAsia" w:cs="宋体"/>
          <w:szCs w:val="24"/>
        </w:rPr>
        <w:t>不可预见的困难</w:t>
      </w:r>
      <w:r>
        <w:rPr>
          <w:rFonts w:cs="宋体"/>
          <w:szCs w:val="24"/>
        </w:rPr>
        <w:t>]</w:t>
      </w:r>
      <w:r>
        <w:rPr>
          <w:rFonts w:hint="eastAsia" w:cs="宋体"/>
          <w:szCs w:val="24"/>
        </w:rPr>
        <w:t>约定的情形除外。</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4.8 </w:t>
      </w:r>
      <w:r>
        <w:rPr>
          <w:rFonts w:hint="eastAsia" w:ascii="宋体" w:hAnsi="宋体" w:eastAsia="宋体" w:cs="宋体"/>
        </w:rPr>
        <w:t>不可预见的困难</w:t>
      </w:r>
      <w:r>
        <w:rPr>
          <w:rFonts w:ascii="宋体" w:hAnsi="宋体" w:eastAsia="宋体" w:cs="宋体"/>
        </w:rPr>
        <w:t xml:space="preserve"> </w:t>
      </w:r>
    </w:p>
    <w:p>
      <w:pPr>
        <w:spacing w:line="360" w:lineRule="auto"/>
        <w:ind w:firstLine="480" w:firstLineChars="200"/>
        <w:rPr>
          <w:sz w:val="24"/>
          <w:szCs w:val="24"/>
        </w:rPr>
      </w:pPr>
      <w:r>
        <w:rPr>
          <w:rFonts w:hint="eastAsia"/>
          <w:sz w:val="24"/>
          <w:szCs w:val="24"/>
        </w:rPr>
        <w:t>不可预见的困难是指有经验的承包人在施工现场遇到的不可预见的自然物质条件、非自然的物质障碍和污染物，包括地表以下物质条件和水文条件以及专用合同条件约定的其他情形，但不包括气候条件。</w:t>
      </w:r>
    </w:p>
    <w:p>
      <w:pPr>
        <w:spacing w:line="360" w:lineRule="auto"/>
        <w:ind w:firstLine="480" w:firstLineChars="200"/>
        <w:rPr>
          <w:sz w:val="24"/>
          <w:szCs w:val="24"/>
        </w:rPr>
      </w:pPr>
      <w:r>
        <w:rPr>
          <w:rFonts w:hint="eastAsia"/>
          <w:sz w:val="24"/>
          <w:szCs w:val="24"/>
        </w:rPr>
        <w:t>承包人遇到不可预见的困难时，应采取克服不可预见的困难的合理措施继续施工，并及时通知工程师并抄送发包人。通知应载明不可预见的困难的内容、承包人认为不可预见的理由以及承包人制定的处理方案。工程师应当及时发出指示，指示构成变更的，按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约定执行。承包人因采取合理措施而增加的费用和（或）延误的工期由发包人承担。</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4.9 </w:t>
      </w:r>
      <w:r>
        <w:rPr>
          <w:rFonts w:hint="eastAsia" w:ascii="宋体" w:hAnsi="宋体" w:eastAsia="宋体" w:cs="宋体"/>
        </w:rPr>
        <w:t>工程质量管理</w:t>
      </w:r>
    </w:p>
    <w:p>
      <w:pPr>
        <w:pStyle w:val="66"/>
        <w:spacing w:afterLines="0"/>
        <w:ind w:left="0" w:firstLine="480" w:firstLineChars="200"/>
        <w:rPr>
          <w:rFonts w:cs="宋体"/>
          <w:szCs w:val="24"/>
        </w:rPr>
      </w:pPr>
      <w:r>
        <w:rPr>
          <w:rFonts w:cs="宋体"/>
          <w:szCs w:val="24"/>
        </w:rPr>
        <w:t xml:space="preserve">4.9.1 </w:t>
      </w:r>
      <w:r>
        <w:rPr>
          <w:rFonts w:hint="eastAsia" w:cs="宋体"/>
          <w:szCs w:val="24"/>
        </w:rPr>
        <w:t>承包人应按合同约定的质量标准规范，建立有效的质量管理系统，确保设计、采购、加工制造、施工、竣工试验等各项工作的质量，并按照国家有关规定，通过质量保修责任书的形式约定保修范围、保修期限和保修责任。</w:t>
      </w:r>
    </w:p>
    <w:p>
      <w:pPr>
        <w:pStyle w:val="66"/>
        <w:spacing w:afterLines="0"/>
        <w:ind w:left="0" w:firstLine="480" w:firstLineChars="200"/>
        <w:rPr>
          <w:rFonts w:cs="宋体"/>
          <w:szCs w:val="24"/>
        </w:rPr>
      </w:pPr>
      <w:r>
        <w:rPr>
          <w:rFonts w:cs="宋体"/>
          <w:szCs w:val="24"/>
        </w:rPr>
        <w:t xml:space="preserve">4.9.2 </w:t>
      </w:r>
      <w:r>
        <w:rPr>
          <w:rFonts w:hint="eastAsia" w:cs="宋体"/>
          <w:szCs w:val="24"/>
        </w:rPr>
        <w:t>承包人按照第</w:t>
      </w:r>
      <w:r>
        <w:rPr>
          <w:rFonts w:cs="宋体"/>
          <w:szCs w:val="24"/>
        </w:rPr>
        <w:t>8.4</w:t>
      </w:r>
      <w:r>
        <w:rPr>
          <w:rFonts w:hint="eastAsia" w:cs="宋体"/>
          <w:szCs w:val="24"/>
        </w:rPr>
        <w:t>款</w:t>
      </w:r>
      <w:r>
        <w:rPr>
          <w:rFonts w:cs="宋体"/>
          <w:szCs w:val="24"/>
        </w:rPr>
        <w:t>[</w:t>
      </w:r>
      <w:r>
        <w:rPr>
          <w:rFonts w:hint="eastAsia" w:cs="宋体"/>
          <w:szCs w:val="24"/>
        </w:rPr>
        <w:t>项目进度计划</w:t>
      </w:r>
      <w:r>
        <w:rPr>
          <w:rFonts w:cs="宋体"/>
          <w:szCs w:val="24"/>
        </w:rPr>
        <w:t>]</w:t>
      </w:r>
      <w:r>
        <w:rPr>
          <w:rFonts w:hint="eastAsia" w:cs="宋体"/>
          <w:szCs w:val="24"/>
        </w:rPr>
        <w:t>约定向工程师提交工程质量保证体系及措施文件，建立完善的质量检查制度，并提交相应的工程质量文件。对于发包人和工程师违反法律规定和合同约定的错误指示，承包人有权拒绝实施。</w:t>
      </w:r>
    </w:p>
    <w:p>
      <w:pPr>
        <w:pStyle w:val="66"/>
        <w:spacing w:afterLines="0"/>
        <w:ind w:left="0" w:firstLine="480" w:firstLineChars="200"/>
        <w:rPr>
          <w:rFonts w:cs="宋体"/>
          <w:szCs w:val="24"/>
        </w:rPr>
      </w:pPr>
      <w:r>
        <w:rPr>
          <w:rFonts w:cs="宋体"/>
          <w:szCs w:val="24"/>
        </w:rPr>
        <w:t xml:space="preserve">4.9.3 </w:t>
      </w:r>
      <w:r>
        <w:rPr>
          <w:rFonts w:hint="eastAsia" w:cs="宋体"/>
          <w:szCs w:val="24"/>
        </w:rPr>
        <w:t>承包人应对其人员进行质量教育和技术培训，定期考核人员的劳动技能，严格执行相关规范和操作规程。</w:t>
      </w:r>
    </w:p>
    <w:p>
      <w:pPr>
        <w:pStyle w:val="66"/>
        <w:spacing w:afterLines="0"/>
        <w:ind w:left="0" w:firstLine="480" w:firstLineChars="200"/>
        <w:rPr>
          <w:rFonts w:cs="宋体"/>
          <w:szCs w:val="24"/>
        </w:rPr>
      </w:pPr>
      <w:r>
        <w:rPr>
          <w:rFonts w:cs="宋体"/>
          <w:szCs w:val="24"/>
        </w:rPr>
        <w:t xml:space="preserve">4.9.4 </w:t>
      </w:r>
      <w:r>
        <w:rPr>
          <w:rFonts w:hint="eastAsia" w:cs="宋体"/>
          <w:szCs w:val="24"/>
        </w:rPr>
        <w:t>承包人应按照法律规定和合同约定，对设计、材料、工程设备以及全部工程内容及其施工工艺进行全过程的质量检查和检验，并作详细记录，编制工程质量报表，报送工程师审查。此外，承包人还应按照法律规定和合同约定，进行施工现场取样试验、工程复核测量和设备性能检测，提供试验样品、提交试验报告和测量成果以及其他工作。</w:t>
      </w:r>
    </w:p>
    <w:p>
      <w:pPr>
        <w:pStyle w:val="64"/>
        <w:numPr>
          <w:ilvl w:val="0"/>
          <w:numId w:val="0"/>
        </w:numPr>
        <w:spacing w:before="0"/>
        <w:ind w:firstLine="482" w:firstLineChars="200"/>
        <w:rPr>
          <w:rFonts w:ascii="宋体"/>
          <w:b/>
          <w:sz w:val="24"/>
          <w:szCs w:val="24"/>
        </w:rPr>
      </w:pPr>
      <w:r>
        <w:rPr>
          <w:rFonts w:hint="eastAsia" w:ascii="宋体" w:hAnsi="宋体"/>
          <w:b/>
          <w:sz w:val="24"/>
          <w:szCs w:val="24"/>
        </w:rPr>
        <w:t>第</w:t>
      </w:r>
      <w:r>
        <w:rPr>
          <w:rFonts w:ascii="宋体" w:hAnsi="宋体"/>
          <w:b/>
          <w:sz w:val="24"/>
          <w:szCs w:val="24"/>
        </w:rPr>
        <w:t>5</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设计</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5.1 </w:t>
      </w:r>
      <w:r>
        <w:rPr>
          <w:rFonts w:hint="eastAsia" w:ascii="宋体" w:hAnsi="宋体" w:eastAsia="宋体" w:cs="宋体"/>
        </w:rPr>
        <w:t>承包人的设计义务</w:t>
      </w:r>
      <w:r>
        <w:rPr>
          <w:rFonts w:ascii="宋体" w:hAnsi="宋体" w:eastAsia="宋体" w:cs="宋体"/>
        </w:rPr>
        <w:t xml:space="preserve"> </w:t>
      </w:r>
    </w:p>
    <w:p>
      <w:pPr>
        <w:pStyle w:val="66"/>
        <w:spacing w:afterLines="0"/>
        <w:ind w:left="0" w:firstLine="480" w:firstLineChars="200"/>
        <w:rPr>
          <w:rFonts w:cs="宋体"/>
          <w:szCs w:val="24"/>
        </w:rPr>
      </w:pPr>
      <w:r>
        <w:rPr>
          <w:rFonts w:cs="宋体"/>
          <w:szCs w:val="24"/>
        </w:rPr>
        <w:t xml:space="preserve">5.1.1 </w:t>
      </w:r>
      <w:r>
        <w:rPr>
          <w:rFonts w:hint="eastAsia" w:cs="宋体"/>
          <w:szCs w:val="24"/>
        </w:rPr>
        <w:t>设计义务的一般要求</w:t>
      </w:r>
    </w:p>
    <w:p>
      <w:pPr>
        <w:spacing w:line="360" w:lineRule="auto"/>
        <w:ind w:firstLine="480" w:firstLineChars="200"/>
        <w:rPr>
          <w:sz w:val="24"/>
          <w:szCs w:val="24"/>
        </w:rPr>
      </w:pPr>
      <w:r>
        <w:rPr>
          <w:rFonts w:hint="eastAsia"/>
          <w:sz w:val="24"/>
          <w:szCs w:val="24"/>
        </w:rPr>
        <w:t>承包人应当按照法律规定，国家、行业和地方的规范和标准，以及《发包人要求》和合同约定完成设计工作和设计相关的其他服务，并对工程的设计负责。承包人应根据工程实施的需要及时向发包人和工程师说明设计文件的意图，解释设计文件。</w:t>
      </w:r>
    </w:p>
    <w:p>
      <w:pPr>
        <w:pStyle w:val="66"/>
        <w:spacing w:afterLines="0"/>
        <w:ind w:left="0" w:firstLine="480" w:firstLineChars="200"/>
        <w:rPr>
          <w:rFonts w:cs="宋体"/>
          <w:szCs w:val="24"/>
        </w:rPr>
      </w:pPr>
      <w:r>
        <w:rPr>
          <w:rFonts w:cs="宋体"/>
          <w:szCs w:val="24"/>
        </w:rPr>
        <w:t xml:space="preserve">5.1.2 </w:t>
      </w:r>
      <w:r>
        <w:rPr>
          <w:rFonts w:hint="eastAsia" w:cs="宋体"/>
          <w:szCs w:val="24"/>
        </w:rPr>
        <w:t>对设计人员的要求</w:t>
      </w:r>
    </w:p>
    <w:p>
      <w:pPr>
        <w:spacing w:line="360" w:lineRule="auto"/>
        <w:ind w:firstLine="480" w:firstLineChars="200"/>
        <w:rPr>
          <w:sz w:val="24"/>
          <w:szCs w:val="24"/>
        </w:rPr>
      </w:pPr>
      <w:r>
        <w:rPr>
          <w:rFonts w:hint="eastAsia"/>
          <w:sz w:val="24"/>
          <w:szCs w:val="24"/>
        </w:rPr>
        <w:t>承包人应保证其或其设计分包人的设计资质在合同有效期内满足法律法规、行业标准或合同约定的相关要求，并指派符合法律法规、行业标准或合同约定的资质要求并具有从事设计所必需的经验与能力的的设计人员完成设计工作。承包人应保证其设计人员（包括分包人的设计人员）在合同期限内，都能按时参加发包人或工程师组织的工作会议。</w:t>
      </w:r>
    </w:p>
    <w:p>
      <w:pPr>
        <w:pStyle w:val="66"/>
        <w:spacing w:afterLines="0"/>
        <w:ind w:left="0" w:firstLine="480" w:firstLineChars="200"/>
        <w:rPr>
          <w:rFonts w:cs="宋体"/>
          <w:szCs w:val="24"/>
        </w:rPr>
      </w:pPr>
      <w:r>
        <w:rPr>
          <w:rFonts w:cs="宋体"/>
          <w:szCs w:val="24"/>
        </w:rPr>
        <w:t xml:space="preserve">5.1.3 </w:t>
      </w:r>
      <w:r>
        <w:rPr>
          <w:rFonts w:hint="eastAsia" w:cs="宋体"/>
          <w:szCs w:val="24"/>
        </w:rPr>
        <w:t>法律和标准的变化</w:t>
      </w:r>
    </w:p>
    <w:p>
      <w:pPr>
        <w:spacing w:line="360" w:lineRule="auto"/>
        <w:ind w:firstLine="480" w:firstLineChars="200"/>
        <w:rPr>
          <w:sz w:val="24"/>
          <w:szCs w:val="24"/>
        </w:rPr>
      </w:pPr>
      <w:r>
        <w:rPr>
          <w:rFonts w:hint="eastAsia"/>
          <w:sz w:val="24"/>
          <w:szCs w:val="24"/>
        </w:rPr>
        <w:t>除合同另有约定外，承包人完成设计工作所应遵守的法律规定，以及国家、行业和地方的规范和标准，均应视为在基准日期适用的版本。基准日期之后，前述版本发生重大变化，或者有新的法律，以及国家、行业和地方的规范和标准实施的，承包人应向工程师提出遵守新规定的建议。发包人或其委托的工程师应在收到建议后</w:t>
      </w:r>
      <w:r>
        <w:rPr>
          <w:sz w:val="24"/>
          <w:szCs w:val="24"/>
        </w:rPr>
        <w:t>7</w:t>
      </w:r>
      <w:r>
        <w:rPr>
          <w:rFonts w:hint="eastAsia"/>
          <w:sz w:val="24"/>
          <w:szCs w:val="24"/>
        </w:rPr>
        <w:t>天内发出是否遵守新规定的指示。如果该项建议构成变更的，按照第</w:t>
      </w:r>
      <w:r>
        <w:rPr>
          <w:sz w:val="24"/>
          <w:szCs w:val="24"/>
        </w:rPr>
        <w:t>13.2</w:t>
      </w:r>
      <w:r>
        <w:rPr>
          <w:rFonts w:hint="eastAsia"/>
          <w:sz w:val="24"/>
          <w:szCs w:val="24"/>
        </w:rPr>
        <w:t>款</w:t>
      </w:r>
      <w:r>
        <w:rPr>
          <w:sz w:val="24"/>
          <w:szCs w:val="24"/>
        </w:rPr>
        <w:t>[</w:t>
      </w:r>
      <w:r>
        <w:rPr>
          <w:rFonts w:hint="eastAsia"/>
          <w:sz w:val="24"/>
          <w:szCs w:val="24"/>
        </w:rPr>
        <w:t>承包人的合理化建议</w:t>
      </w:r>
      <w:r>
        <w:rPr>
          <w:sz w:val="24"/>
          <w:szCs w:val="24"/>
        </w:rPr>
        <w:t>]</w:t>
      </w:r>
      <w:r>
        <w:rPr>
          <w:rFonts w:hint="eastAsia"/>
          <w:sz w:val="24"/>
          <w:szCs w:val="24"/>
        </w:rPr>
        <w:t>的约定执行。</w:t>
      </w:r>
    </w:p>
    <w:p>
      <w:pPr>
        <w:spacing w:line="360" w:lineRule="auto"/>
        <w:ind w:firstLine="480" w:firstLineChars="200"/>
        <w:rPr>
          <w:sz w:val="24"/>
          <w:szCs w:val="24"/>
        </w:rPr>
      </w:pPr>
      <w:r>
        <w:rPr>
          <w:rFonts w:hint="eastAsia"/>
          <w:sz w:val="24"/>
          <w:szCs w:val="24"/>
        </w:rPr>
        <w:t>在基准日期之后，因国家颁布新的强制性规范、标准导致承包人的费用变化的，发包人应合理调整合同价格；导致工期延误的，发包人应合理延长工期。</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5.2 </w:t>
      </w:r>
      <w:r>
        <w:rPr>
          <w:rFonts w:hint="eastAsia" w:ascii="宋体" w:hAnsi="宋体" w:eastAsia="宋体" w:cs="宋体"/>
        </w:rPr>
        <w:t>承包人文件审查</w:t>
      </w:r>
      <w:r>
        <w:rPr>
          <w:rFonts w:ascii="宋体" w:hAnsi="宋体" w:eastAsia="宋体" w:cs="宋体"/>
        </w:rPr>
        <w:t xml:space="preserve"> </w:t>
      </w:r>
    </w:p>
    <w:p>
      <w:pPr>
        <w:pStyle w:val="66"/>
        <w:spacing w:afterLines="0"/>
        <w:ind w:left="0" w:firstLine="480" w:firstLineChars="200"/>
        <w:rPr>
          <w:rFonts w:cs="宋体"/>
          <w:szCs w:val="24"/>
        </w:rPr>
      </w:pPr>
      <w:r>
        <w:rPr>
          <w:rFonts w:cs="宋体"/>
          <w:szCs w:val="24"/>
        </w:rPr>
        <w:t xml:space="preserve">5.2.1 </w:t>
      </w:r>
      <w:r>
        <w:rPr>
          <w:rFonts w:hint="eastAsia" w:cs="宋体"/>
          <w:szCs w:val="24"/>
        </w:rPr>
        <w:t>根据《发包人要求》应当通过工程师报发包人审查同意的承包人文件，承包人应当按照《发包人要求》约定的范围和内容及时报送审查。</w:t>
      </w:r>
    </w:p>
    <w:p>
      <w:pPr>
        <w:spacing w:line="360" w:lineRule="auto"/>
        <w:ind w:firstLine="480" w:firstLineChars="200"/>
        <w:rPr>
          <w:sz w:val="24"/>
          <w:szCs w:val="24"/>
        </w:rPr>
      </w:pPr>
      <w:r>
        <w:rPr>
          <w:rFonts w:hint="eastAsia"/>
          <w:sz w:val="24"/>
          <w:szCs w:val="24"/>
        </w:rPr>
        <w:t>除专用合同条件另有约定外，自工程师收到承包人文件以及承包人的通知之日起，发包人对承包人文件审查期不超过</w:t>
      </w:r>
      <w:r>
        <w:rPr>
          <w:sz w:val="24"/>
          <w:szCs w:val="24"/>
        </w:rPr>
        <w:t>21</w:t>
      </w:r>
      <w:r>
        <w:rPr>
          <w:rFonts w:hint="eastAsia"/>
          <w:sz w:val="24"/>
          <w:szCs w:val="24"/>
        </w:rPr>
        <w:t>天。承包人的设计文件对于合同约定有偏离的，应在通知中说明。承包人需要修改已提交的承包人文件的，应立即通知工程师，并向工程师提交修改后的承包人文件，审查期重新起算。</w:t>
      </w:r>
    </w:p>
    <w:p>
      <w:pPr>
        <w:spacing w:line="360" w:lineRule="auto"/>
        <w:ind w:firstLine="480" w:firstLineChars="200"/>
        <w:rPr>
          <w:sz w:val="24"/>
          <w:szCs w:val="24"/>
        </w:rPr>
      </w:pPr>
      <w:r>
        <w:rPr>
          <w:rFonts w:hint="eastAsia"/>
          <w:sz w:val="24"/>
          <w:szCs w:val="24"/>
        </w:rPr>
        <w:t>发包人同意承包人文件的，应及时通知承包人，发包人不同意承包人文件的，应在审查期限内通过工程师以书面形式通知承包人，并说明不同意的具体内容和理由。</w:t>
      </w:r>
    </w:p>
    <w:p>
      <w:pPr>
        <w:spacing w:line="360" w:lineRule="auto"/>
        <w:ind w:firstLine="480" w:firstLineChars="200"/>
        <w:rPr>
          <w:sz w:val="24"/>
          <w:szCs w:val="24"/>
        </w:rPr>
      </w:pPr>
      <w:r>
        <w:rPr>
          <w:rFonts w:hint="eastAsia"/>
          <w:sz w:val="24"/>
          <w:szCs w:val="24"/>
        </w:rPr>
        <w:t>承包人对发包人的意见按以下方式处理：</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发包人的意见构成变更的，承包人应在</w:t>
      </w:r>
      <w:r>
        <w:rPr>
          <w:sz w:val="24"/>
          <w:szCs w:val="24"/>
        </w:rPr>
        <w:t>7</w:t>
      </w:r>
      <w:r>
        <w:rPr>
          <w:rFonts w:hint="eastAsia"/>
          <w:sz w:val="24"/>
          <w:szCs w:val="24"/>
        </w:rPr>
        <w:t>天内通知发包人按照第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中关于发包人指示变更的约定执行，双方对是否构成变更无法达成一致的，按照第</w:t>
      </w:r>
      <w:r>
        <w:rPr>
          <w:sz w:val="24"/>
          <w:szCs w:val="24"/>
        </w:rPr>
        <w:t>20</w:t>
      </w:r>
      <w:r>
        <w:rPr>
          <w:rFonts w:hint="eastAsia"/>
          <w:sz w:val="24"/>
          <w:szCs w:val="24"/>
        </w:rPr>
        <w:t>条</w:t>
      </w:r>
      <w:r>
        <w:rPr>
          <w:sz w:val="24"/>
          <w:szCs w:val="24"/>
        </w:rPr>
        <w:t>[</w:t>
      </w:r>
      <w:r>
        <w:rPr>
          <w:rFonts w:hint="eastAsia"/>
          <w:sz w:val="24"/>
          <w:szCs w:val="24"/>
        </w:rPr>
        <w:t>争议解决</w:t>
      </w:r>
      <w:r>
        <w:rPr>
          <w:sz w:val="24"/>
          <w:szCs w:val="24"/>
        </w:rPr>
        <w:t>]</w:t>
      </w:r>
      <w:r>
        <w:rPr>
          <w:rFonts w:hint="eastAsia"/>
          <w:sz w:val="24"/>
          <w:szCs w:val="24"/>
        </w:rPr>
        <w:t>的约定执行；</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因承包人原因导致无法通过审查的，承包人应根据发包人的书面说明，对承包人文件进行修改后重新报送发包人审查，审查期重新起算。因此引起的工期延长和必要的工程费用增加，由承包人负责。</w:t>
      </w:r>
    </w:p>
    <w:p>
      <w:pPr>
        <w:spacing w:line="360" w:lineRule="auto"/>
        <w:ind w:firstLine="480" w:firstLineChars="200"/>
        <w:rPr>
          <w:sz w:val="24"/>
          <w:szCs w:val="24"/>
        </w:rPr>
      </w:pPr>
      <w:r>
        <w:rPr>
          <w:rFonts w:hint="eastAsia"/>
          <w:sz w:val="24"/>
          <w:szCs w:val="24"/>
        </w:rPr>
        <w:t>合同约定的审查期满，发包人没有做出审查结论也没有提出异议的，视为承包人文件已获发包人同意。</w:t>
      </w:r>
    </w:p>
    <w:p>
      <w:pPr>
        <w:spacing w:line="360" w:lineRule="auto"/>
        <w:ind w:firstLine="480" w:firstLineChars="200"/>
        <w:rPr>
          <w:sz w:val="24"/>
          <w:szCs w:val="24"/>
        </w:rPr>
      </w:pPr>
      <w:r>
        <w:rPr>
          <w:rFonts w:hint="eastAsia"/>
          <w:sz w:val="24"/>
          <w:szCs w:val="24"/>
        </w:rPr>
        <w:t>发包人对承包人文件的审查和同意不得被理解为对合同的修改或改变，也并不减轻或免除承包人任何的责任和义务。</w:t>
      </w:r>
    </w:p>
    <w:p>
      <w:pPr>
        <w:pStyle w:val="66"/>
        <w:spacing w:afterLines="0"/>
        <w:ind w:left="0" w:firstLine="480" w:firstLineChars="200"/>
        <w:rPr>
          <w:rFonts w:cs="宋体"/>
          <w:szCs w:val="24"/>
        </w:rPr>
      </w:pPr>
      <w:r>
        <w:rPr>
          <w:rFonts w:cs="宋体"/>
          <w:szCs w:val="24"/>
        </w:rPr>
        <w:t xml:space="preserve">5.2.2 </w:t>
      </w:r>
      <w:r>
        <w:rPr>
          <w:rFonts w:hint="eastAsia" w:cs="宋体"/>
          <w:szCs w:val="24"/>
        </w:rPr>
        <w:t>承包人文件不需要政府有关部门或专用合同条件约定的第三方审查单位审查或批准的，承包人应当严格按照经发包人审查同意的承包人文件设计和实施工程。</w:t>
      </w:r>
    </w:p>
    <w:p>
      <w:pPr>
        <w:spacing w:line="360" w:lineRule="auto"/>
        <w:ind w:firstLine="480" w:firstLineChars="200"/>
        <w:rPr>
          <w:sz w:val="24"/>
          <w:szCs w:val="24"/>
        </w:rPr>
      </w:pPr>
      <w:r>
        <w:rPr>
          <w:rFonts w:hint="eastAsia"/>
          <w:sz w:val="24"/>
          <w:szCs w:val="24"/>
        </w:rPr>
        <w:t>发包人需要组织审查会议对承包人文件进行审查的，审查会议的审查形式、时间安排、费用承担，在专用合同条件中约定。发包人负责组织承包人文件审查会议，承包人有义务参加发包人组织的审查会议，向审查者介绍、解答、解释承包人文件，并提供有关补充资料。</w:t>
      </w:r>
    </w:p>
    <w:p>
      <w:pPr>
        <w:spacing w:line="360" w:lineRule="auto"/>
        <w:ind w:firstLine="480" w:firstLineChars="200"/>
        <w:rPr>
          <w:sz w:val="24"/>
          <w:szCs w:val="24"/>
        </w:rPr>
      </w:pPr>
      <w:r>
        <w:rPr>
          <w:rFonts w:hint="eastAsia"/>
          <w:sz w:val="24"/>
          <w:szCs w:val="24"/>
        </w:rPr>
        <w:t>发包人有义务向承包人提供审查会议的批准文件和纪要。承包人有义务按照相关审查会议批准的文件和纪要，并依据合同约定及相关技术标准，对承包人文件进行修改、补充和完善。</w:t>
      </w:r>
    </w:p>
    <w:p>
      <w:pPr>
        <w:pStyle w:val="66"/>
        <w:spacing w:afterLines="0"/>
        <w:ind w:left="0" w:firstLine="480" w:firstLineChars="200"/>
        <w:rPr>
          <w:rFonts w:cs="宋体"/>
          <w:szCs w:val="24"/>
        </w:rPr>
      </w:pPr>
      <w:r>
        <w:rPr>
          <w:rFonts w:cs="宋体"/>
          <w:szCs w:val="24"/>
        </w:rPr>
        <w:t xml:space="preserve">5.2.3 </w:t>
      </w:r>
      <w:r>
        <w:rPr>
          <w:rFonts w:hint="eastAsia" w:cs="宋体"/>
          <w:szCs w:val="24"/>
        </w:rPr>
        <w:t>承包人文件需政府有关部门或专用合同条件约定的第三方审查单位审查或批准的，发包人应在发包人审查同意承包人文件后</w:t>
      </w:r>
      <w:r>
        <w:rPr>
          <w:rFonts w:cs="宋体"/>
          <w:szCs w:val="24"/>
        </w:rPr>
        <w:t>7</w:t>
      </w:r>
      <w:r>
        <w:rPr>
          <w:rFonts w:hint="eastAsia" w:cs="宋体"/>
          <w:szCs w:val="24"/>
        </w:rPr>
        <w:t>天内，向政府有关部门或第三方报送承包人文件，承包人应予以协助。</w:t>
      </w:r>
    </w:p>
    <w:p>
      <w:pPr>
        <w:spacing w:line="360" w:lineRule="auto"/>
        <w:ind w:firstLine="480" w:firstLineChars="200"/>
        <w:rPr>
          <w:sz w:val="24"/>
          <w:szCs w:val="24"/>
        </w:rPr>
      </w:pPr>
      <w:r>
        <w:rPr>
          <w:rFonts w:hint="eastAsia"/>
          <w:sz w:val="24"/>
          <w:szCs w:val="24"/>
        </w:rPr>
        <w:t>对于政府有关部门或第三方审查单位的审查意见，不需要修改《发包人要求》的，承包人需按该审查意见修改承包人的设计文件；需要修改《发包人要求》的，承包人应按第</w:t>
      </w:r>
      <w:r>
        <w:rPr>
          <w:sz w:val="24"/>
          <w:szCs w:val="24"/>
        </w:rPr>
        <w:t>13.2</w:t>
      </w:r>
      <w:r>
        <w:rPr>
          <w:rFonts w:hint="eastAsia"/>
          <w:sz w:val="24"/>
          <w:szCs w:val="24"/>
        </w:rPr>
        <w:t>款</w:t>
      </w:r>
      <w:r>
        <w:rPr>
          <w:sz w:val="24"/>
          <w:szCs w:val="24"/>
        </w:rPr>
        <w:t>[</w:t>
      </w:r>
      <w:r>
        <w:rPr>
          <w:rFonts w:hint="eastAsia"/>
          <w:sz w:val="24"/>
          <w:szCs w:val="24"/>
        </w:rPr>
        <w:t>承包人的合理化建议</w:t>
      </w:r>
      <w:r>
        <w:rPr>
          <w:sz w:val="24"/>
          <w:szCs w:val="24"/>
        </w:rPr>
        <w:t>]</w:t>
      </w:r>
      <w:r>
        <w:rPr>
          <w:rFonts w:hint="eastAsia"/>
          <w:sz w:val="24"/>
          <w:szCs w:val="24"/>
        </w:rPr>
        <w:t>的约定执行。上述情形还应适用第</w:t>
      </w:r>
      <w:r>
        <w:rPr>
          <w:sz w:val="24"/>
          <w:szCs w:val="24"/>
        </w:rPr>
        <w:t>5.1</w:t>
      </w:r>
      <w:r>
        <w:rPr>
          <w:rFonts w:hint="eastAsia"/>
          <w:sz w:val="24"/>
          <w:szCs w:val="24"/>
        </w:rPr>
        <w:t>款</w:t>
      </w:r>
      <w:r>
        <w:rPr>
          <w:sz w:val="24"/>
          <w:szCs w:val="24"/>
        </w:rPr>
        <w:t>[</w:t>
      </w:r>
      <w:r>
        <w:rPr>
          <w:rFonts w:hint="eastAsia"/>
          <w:sz w:val="24"/>
          <w:szCs w:val="24"/>
        </w:rPr>
        <w:t>承包人的设计义务</w:t>
      </w:r>
      <w:r>
        <w:rPr>
          <w:sz w:val="24"/>
          <w:szCs w:val="24"/>
        </w:rPr>
        <w:t>]</w:t>
      </w:r>
      <w:r>
        <w:rPr>
          <w:rFonts w:hint="eastAsia"/>
          <w:sz w:val="24"/>
          <w:szCs w:val="24"/>
        </w:rPr>
        <w:t>和第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的有关约定。</w:t>
      </w:r>
    </w:p>
    <w:p>
      <w:pPr>
        <w:spacing w:line="360" w:lineRule="auto"/>
        <w:ind w:firstLine="480" w:firstLineChars="200"/>
        <w:rPr>
          <w:sz w:val="24"/>
          <w:szCs w:val="24"/>
        </w:rPr>
      </w:pPr>
      <w:r>
        <w:rPr>
          <w:rFonts w:hint="eastAsia"/>
          <w:sz w:val="24"/>
          <w:szCs w:val="24"/>
        </w:rPr>
        <w:t>政府有关部门或第三方审查单位审查批准后，承包人应当严格按照批准后的承包人文件实施工程。政府有关部门或第三方审查单位批准时间较合同约定时间延长的，竣工日期相应顺延。因此给双方带来的费用增加，由双方在负责的范围内各自承担。</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5.3 </w:t>
      </w:r>
      <w:r>
        <w:rPr>
          <w:rFonts w:hint="eastAsia" w:ascii="宋体" w:hAnsi="宋体" w:eastAsia="宋体" w:cs="宋体"/>
        </w:rPr>
        <w:t>培训</w:t>
      </w:r>
    </w:p>
    <w:p>
      <w:pPr>
        <w:spacing w:line="360" w:lineRule="auto"/>
        <w:ind w:firstLine="480" w:firstLineChars="200"/>
        <w:rPr>
          <w:sz w:val="24"/>
          <w:szCs w:val="24"/>
        </w:rPr>
      </w:pPr>
      <w:r>
        <w:rPr>
          <w:rFonts w:hint="eastAsia"/>
          <w:sz w:val="24"/>
          <w:szCs w:val="24"/>
        </w:rPr>
        <w:t>承包人应按照《发包人要求》，对发包人的雇员或其它发包人指定的人员进行工程操作、维修或其它合同中约定的培训。合同约定接收之前进行培训的，应在第</w:t>
      </w:r>
      <w:r>
        <w:rPr>
          <w:sz w:val="24"/>
          <w:szCs w:val="24"/>
        </w:rPr>
        <w:t>10.1</w:t>
      </w:r>
      <w:r>
        <w:rPr>
          <w:rFonts w:hint="eastAsia"/>
          <w:sz w:val="24"/>
          <w:szCs w:val="24"/>
        </w:rPr>
        <w:t>款</w:t>
      </w:r>
      <w:r>
        <w:rPr>
          <w:sz w:val="24"/>
          <w:szCs w:val="24"/>
        </w:rPr>
        <w:t>[</w:t>
      </w:r>
      <w:r>
        <w:rPr>
          <w:rFonts w:hint="eastAsia"/>
          <w:sz w:val="24"/>
          <w:szCs w:val="24"/>
        </w:rPr>
        <w:t>竣工验收</w:t>
      </w:r>
      <w:r>
        <w:rPr>
          <w:sz w:val="24"/>
          <w:szCs w:val="24"/>
        </w:rPr>
        <w:t>]</w:t>
      </w:r>
      <w:r>
        <w:rPr>
          <w:rFonts w:hint="eastAsia"/>
          <w:sz w:val="24"/>
          <w:szCs w:val="24"/>
        </w:rPr>
        <w:t>约定的竣工验收前或试运行结束前完成培训。</w:t>
      </w:r>
    </w:p>
    <w:p>
      <w:pPr>
        <w:spacing w:line="360" w:lineRule="auto"/>
        <w:ind w:firstLine="480" w:firstLineChars="200"/>
        <w:rPr>
          <w:sz w:val="24"/>
          <w:szCs w:val="24"/>
        </w:rPr>
      </w:pPr>
      <w:r>
        <w:rPr>
          <w:rFonts w:hint="eastAsia"/>
          <w:sz w:val="24"/>
          <w:szCs w:val="24"/>
        </w:rPr>
        <w:t>培训的时长应由双方在专用合同条件中约定，承包人应为培训提供有经验的人员、设施和其它必要条件。</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5.4 </w:t>
      </w:r>
      <w:r>
        <w:rPr>
          <w:rFonts w:hint="eastAsia" w:ascii="宋体" w:hAnsi="宋体" w:eastAsia="宋体" w:cs="宋体"/>
        </w:rPr>
        <w:t>竣工文件</w:t>
      </w:r>
    </w:p>
    <w:p>
      <w:pPr>
        <w:pStyle w:val="66"/>
        <w:spacing w:afterLines="0"/>
        <w:ind w:left="0" w:firstLine="480" w:firstLineChars="200"/>
        <w:rPr>
          <w:rFonts w:cs="宋体"/>
          <w:szCs w:val="24"/>
        </w:rPr>
      </w:pPr>
      <w:r>
        <w:rPr>
          <w:rFonts w:cs="宋体"/>
          <w:szCs w:val="24"/>
        </w:rPr>
        <w:t xml:space="preserve">5.4.1 </w:t>
      </w:r>
      <w:r>
        <w:rPr>
          <w:rFonts w:hint="eastAsia" w:cs="宋体"/>
          <w:szCs w:val="24"/>
        </w:rPr>
        <w:t>承包人应编制并及时更新反映工程实施结果的竣工记录，如实记载竣工工程的确切位置、尺寸和已实施工作的详细说明。竣工文件的形式、技术标准以及其它相关内容应按照相关法律法规、行业标准与《发包人要求》执行。竣工记录应保存在施工现场，并在竣工试验开始前，按照专用合同条件约定的份数提交给工程师。</w:t>
      </w:r>
    </w:p>
    <w:p>
      <w:pPr>
        <w:pStyle w:val="66"/>
        <w:spacing w:afterLines="0"/>
        <w:ind w:left="0" w:firstLine="480" w:firstLineChars="200"/>
        <w:rPr>
          <w:rFonts w:cs="宋体"/>
          <w:szCs w:val="24"/>
        </w:rPr>
      </w:pPr>
      <w:r>
        <w:rPr>
          <w:rFonts w:cs="宋体"/>
          <w:szCs w:val="24"/>
        </w:rPr>
        <w:t xml:space="preserve">5.4.2 </w:t>
      </w:r>
      <w:r>
        <w:rPr>
          <w:rFonts w:hint="eastAsia" w:cs="宋体"/>
          <w:szCs w:val="24"/>
        </w:rPr>
        <w:t>在颁发工程接收证书之前，承包人应按照《发包人要求》的份数和形式向工程师提交相应竣工图纸，并取得工程师对尺寸、参照系统及其他有关细节的认可。工程师应按照第</w:t>
      </w:r>
      <w:r>
        <w:rPr>
          <w:rFonts w:cs="宋体"/>
          <w:szCs w:val="24"/>
        </w:rPr>
        <w:t>5.2</w:t>
      </w:r>
      <w:r>
        <w:rPr>
          <w:rFonts w:hint="eastAsia" w:cs="宋体"/>
          <w:szCs w:val="24"/>
        </w:rPr>
        <w:t>款</w:t>
      </w:r>
      <w:r>
        <w:rPr>
          <w:rFonts w:cs="宋体"/>
          <w:szCs w:val="24"/>
        </w:rPr>
        <w:t>[</w:t>
      </w:r>
      <w:r>
        <w:rPr>
          <w:rFonts w:hint="eastAsia" w:cs="宋体"/>
          <w:szCs w:val="24"/>
        </w:rPr>
        <w:t>承包人文件审查</w:t>
      </w:r>
      <w:r>
        <w:rPr>
          <w:rFonts w:cs="宋体"/>
          <w:szCs w:val="24"/>
        </w:rPr>
        <w:t>]</w:t>
      </w:r>
      <w:r>
        <w:rPr>
          <w:rFonts w:hint="eastAsia" w:cs="宋体"/>
          <w:szCs w:val="24"/>
        </w:rPr>
        <w:t>的约定进行审查。</w:t>
      </w:r>
    </w:p>
    <w:p>
      <w:pPr>
        <w:pStyle w:val="66"/>
        <w:spacing w:afterLines="0"/>
        <w:ind w:left="0" w:firstLine="480" w:firstLineChars="200"/>
        <w:rPr>
          <w:rFonts w:cs="宋体"/>
          <w:szCs w:val="24"/>
        </w:rPr>
      </w:pPr>
      <w:r>
        <w:rPr>
          <w:rFonts w:cs="宋体"/>
          <w:szCs w:val="24"/>
        </w:rPr>
        <w:t xml:space="preserve">5.4.3 </w:t>
      </w:r>
      <w:r>
        <w:rPr>
          <w:rFonts w:hint="eastAsia" w:cs="宋体"/>
          <w:szCs w:val="24"/>
        </w:rPr>
        <w:t>除专用合同条件另有约定外，在工程师收到本款下的文件前，不应认为工程已根据第</w:t>
      </w:r>
      <w:r>
        <w:rPr>
          <w:rFonts w:cs="宋体"/>
          <w:szCs w:val="24"/>
        </w:rPr>
        <w:t>10.1</w:t>
      </w:r>
      <w:r>
        <w:rPr>
          <w:rFonts w:hint="eastAsia" w:cs="宋体"/>
          <w:szCs w:val="24"/>
        </w:rPr>
        <w:t>款</w:t>
      </w:r>
      <w:r>
        <w:rPr>
          <w:rFonts w:cs="宋体"/>
          <w:szCs w:val="24"/>
        </w:rPr>
        <w:t>[</w:t>
      </w:r>
      <w:r>
        <w:rPr>
          <w:rFonts w:hint="eastAsia" w:cs="宋体"/>
          <w:szCs w:val="24"/>
        </w:rPr>
        <w:t>竣工验收</w:t>
      </w:r>
      <w:r>
        <w:rPr>
          <w:rFonts w:cs="宋体"/>
          <w:szCs w:val="24"/>
        </w:rPr>
        <w:t>]</w:t>
      </w:r>
      <w:r>
        <w:rPr>
          <w:rFonts w:hint="eastAsia" w:cs="宋体"/>
          <w:szCs w:val="24"/>
        </w:rPr>
        <w:t>和第</w:t>
      </w:r>
      <w:r>
        <w:rPr>
          <w:rFonts w:cs="宋体"/>
          <w:szCs w:val="24"/>
        </w:rPr>
        <w:t>10.2</w:t>
      </w:r>
      <w:r>
        <w:rPr>
          <w:rFonts w:hint="eastAsia" w:cs="宋体"/>
          <w:szCs w:val="24"/>
        </w:rPr>
        <w:t>款</w:t>
      </w:r>
      <w:r>
        <w:rPr>
          <w:rFonts w:cs="宋体"/>
          <w:szCs w:val="24"/>
        </w:rPr>
        <w:t>[</w:t>
      </w:r>
      <w:r>
        <w:rPr>
          <w:rFonts w:hint="eastAsia" w:cs="宋体"/>
          <w:szCs w:val="24"/>
        </w:rPr>
        <w:t>单位</w:t>
      </w:r>
      <w:r>
        <w:rPr>
          <w:rFonts w:cs="宋体"/>
          <w:szCs w:val="24"/>
        </w:rPr>
        <w:t>/</w:t>
      </w:r>
      <w:r>
        <w:rPr>
          <w:rFonts w:hint="eastAsia" w:cs="宋体"/>
          <w:szCs w:val="24"/>
        </w:rPr>
        <w:t>区段工程的验收</w:t>
      </w:r>
      <w:r>
        <w:rPr>
          <w:rFonts w:cs="宋体"/>
          <w:szCs w:val="24"/>
        </w:rPr>
        <w:t>]</w:t>
      </w:r>
      <w:r>
        <w:rPr>
          <w:rFonts w:hint="eastAsia" w:cs="宋体"/>
          <w:szCs w:val="24"/>
        </w:rPr>
        <w:t>的约定完成验收。</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5.5 </w:t>
      </w:r>
      <w:r>
        <w:rPr>
          <w:rFonts w:hint="eastAsia" w:ascii="宋体" w:hAnsi="宋体" w:eastAsia="宋体" w:cs="宋体"/>
        </w:rPr>
        <w:t>操作和维修手册</w:t>
      </w:r>
    </w:p>
    <w:p>
      <w:pPr>
        <w:pStyle w:val="66"/>
        <w:spacing w:afterLines="0"/>
        <w:ind w:left="0" w:firstLine="480" w:firstLineChars="200"/>
        <w:rPr>
          <w:rFonts w:cs="宋体"/>
          <w:szCs w:val="24"/>
        </w:rPr>
      </w:pPr>
      <w:r>
        <w:rPr>
          <w:rFonts w:cs="宋体"/>
          <w:szCs w:val="24"/>
        </w:rPr>
        <w:t xml:space="preserve">5.5.1 </w:t>
      </w:r>
      <w:r>
        <w:rPr>
          <w:rFonts w:hint="eastAsia" w:cs="宋体"/>
          <w:szCs w:val="24"/>
        </w:rPr>
        <w:t>在竣工试验开始前，承包人应向工程师提交暂行的操作和维修手册并负责及时更新，该手册应足够详细，以便发包人能够对工程设备进行操作、维修、拆卸、重新安装、调整及修理，以及实现《发包人要求》。同时，手册还应包含发包人未来可能需要的备品备件清单。</w:t>
      </w:r>
    </w:p>
    <w:p>
      <w:pPr>
        <w:pStyle w:val="66"/>
        <w:spacing w:afterLines="0"/>
        <w:ind w:left="0" w:firstLine="480" w:firstLineChars="200"/>
        <w:rPr>
          <w:rFonts w:cs="宋体"/>
          <w:szCs w:val="24"/>
        </w:rPr>
      </w:pPr>
      <w:r>
        <w:rPr>
          <w:rFonts w:cs="宋体"/>
          <w:szCs w:val="24"/>
        </w:rPr>
        <w:t xml:space="preserve">5.5.2 </w:t>
      </w:r>
      <w:r>
        <w:rPr>
          <w:rFonts w:hint="eastAsia" w:cs="宋体"/>
          <w:szCs w:val="24"/>
        </w:rPr>
        <w:t>工程师收到承包人提交的文件后，应依据第</w:t>
      </w:r>
      <w:r>
        <w:rPr>
          <w:rFonts w:cs="宋体"/>
          <w:szCs w:val="24"/>
        </w:rPr>
        <w:t>5.2</w:t>
      </w:r>
      <w:r>
        <w:rPr>
          <w:rFonts w:hint="eastAsia" w:cs="宋体"/>
          <w:szCs w:val="24"/>
        </w:rPr>
        <w:t>款</w:t>
      </w:r>
      <w:r>
        <w:rPr>
          <w:rFonts w:cs="宋体"/>
          <w:szCs w:val="24"/>
        </w:rPr>
        <w:t>[</w:t>
      </w:r>
      <w:r>
        <w:rPr>
          <w:rFonts w:hint="eastAsia" w:cs="宋体"/>
          <w:szCs w:val="24"/>
        </w:rPr>
        <w:t>承包人文件审查</w:t>
      </w:r>
      <w:r>
        <w:rPr>
          <w:rFonts w:cs="宋体"/>
          <w:szCs w:val="24"/>
        </w:rPr>
        <w:t>]</w:t>
      </w:r>
      <w:r>
        <w:rPr>
          <w:rFonts w:hint="eastAsia" w:cs="宋体"/>
          <w:szCs w:val="24"/>
        </w:rPr>
        <w:t>的约定对操作和维修手册进行审查，竣工试验工程中，承包人应为任何因操作和维修手册错误或遗漏引起的风险或损失承担责任。</w:t>
      </w:r>
    </w:p>
    <w:p>
      <w:pPr>
        <w:pStyle w:val="66"/>
        <w:spacing w:afterLines="0"/>
        <w:ind w:left="0" w:firstLine="480" w:firstLineChars="200"/>
        <w:rPr>
          <w:rFonts w:cs="宋体"/>
          <w:szCs w:val="24"/>
        </w:rPr>
      </w:pPr>
      <w:r>
        <w:rPr>
          <w:rFonts w:cs="宋体"/>
          <w:szCs w:val="24"/>
        </w:rPr>
        <w:t xml:space="preserve">5.5.3 </w:t>
      </w:r>
      <w:r>
        <w:rPr>
          <w:rFonts w:hint="eastAsia" w:cs="宋体"/>
          <w:szCs w:val="24"/>
        </w:rPr>
        <w:t>除专用合同条件另有约定外，承包人应提交足够详细的最终操作和维修手册，以及在《发包人要求》中明确的相关操作和维修手册。除专用合同条件另有约定外，在工程师收到上述文件前，不应认为工程已根据第</w:t>
      </w:r>
      <w:r>
        <w:rPr>
          <w:rFonts w:cs="宋体"/>
          <w:szCs w:val="24"/>
        </w:rPr>
        <w:t>10.1</w:t>
      </w:r>
      <w:r>
        <w:rPr>
          <w:rFonts w:hint="eastAsia" w:cs="宋体"/>
          <w:szCs w:val="24"/>
        </w:rPr>
        <w:t>款</w:t>
      </w:r>
      <w:r>
        <w:rPr>
          <w:rFonts w:cs="宋体"/>
          <w:szCs w:val="24"/>
        </w:rPr>
        <w:t>[</w:t>
      </w:r>
      <w:r>
        <w:rPr>
          <w:rFonts w:hint="eastAsia" w:cs="宋体"/>
          <w:szCs w:val="24"/>
        </w:rPr>
        <w:t>竣工验收</w:t>
      </w:r>
      <w:r>
        <w:rPr>
          <w:rFonts w:cs="宋体"/>
          <w:szCs w:val="24"/>
        </w:rPr>
        <w:t>]</w:t>
      </w:r>
      <w:r>
        <w:rPr>
          <w:rFonts w:hint="eastAsia" w:cs="宋体"/>
          <w:szCs w:val="24"/>
        </w:rPr>
        <w:t>和第</w:t>
      </w:r>
      <w:r>
        <w:rPr>
          <w:rFonts w:cs="宋体"/>
          <w:szCs w:val="24"/>
        </w:rPr>
        <w:t>10.2</w:t>
      </w:r>
      <w:r>
        <w:rPr>
          <w:rFonts w:hint="eastAsia" w:cs="宋体"/>
          <w:szCs w:val="24"/>
        </w:rPr>
        <w:t>款</w:t>
      </w:r>
      <w:r>
        <w:rPr>
          <w:rFonts w:cs="宋体"/>
          <w:szCs w:val="24"/>
        </w:rPr>
        <w:t>[</w:t>
      </w:r>
      <w:r>
        <w:rPr>
          <w:rFonts w:hint="eastAsia" w:cs="宋体"/>
          <w:szCs w:val="24"/>
        </w:rPr>
        <w:t>单位</w:t>
      </w:r>
      <w:r>
        <w:rPr>
          <w:rFonts w:cs="宋体"/>
          <w:szCs w:val="24"/>
        </w:rPr>
        <w:t>/</w:t>
      </w:r>
      <w:r>
        <w:rPr>
          <w:rFonts w:hint="eastAsia" w:cs="宋体"/>
          <w:szCs w:val="24"/>
        </w:rPr>
        <w:t>区段工程的验收</w:t>
      </w:r>
      <w:r>
        <w:rPr>
          <w:rFonts w:cs="宋体"/>
          <w:szCs w:val="24"/>
        </w:rPr>
        <w:t>]</w:t>
      </w:r>
      <w:r>
        <w:rPr>
          <w:rFonts w:hint="eastAsia" w:cs="宋体"/>
          <w:szCs w:val="24"/>
        </w:rPr>
        <w:t>的约定完成验收。</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5.6 </w:t>
      </w:r>
      <w:r>
        <w:rPr>
          <w:rFonts w:hint="eastAsia" w:ascii="宋体" w:hAnsi="宋体" w:eastAsia="宋体" w:cs="宋体"/>
        </w:rPr>
        <w:t>承包人文件错误</w:t>
      </w:r>
      <w:r>
        <w:rPr>
          <w:rFonts w:ascii="宋体" w:hAnsi="宋体" w:eastAsia="宋体" w:cs="宋体"/>
        </w:rPr>
        <w:t xml:space="preserve"> </w:t>
      </w:r>
    </w:p>
    <w:p>
      <w:pPr>
        <w:spacing w:line="360" w:lineRule="auto"/>
        <w:ind w:firstLine="480" w:firstLineChars="200"/>
        <w:rPr>
          <w:sz w:val="24"/>
          <w:szCs w:val="24"/>
        </w:rPr>
      </w:pPr>
      <w:r>
        <w:rPr>
          <w:rFonts w:hint="eastAsia"/>
          <w:sz w:val="24"/>
          <w:szCs w:val="24"/>
        </w:rPr>
        <w:t>承包人文件存在错误、遗漏、含混、矛盾、不充分之处或其他缺陷，无论承包人是否根据本款获得了同意，承包人均应自费对前述问题带来的缺陷和工程问题进行改正，并按照第</w:t>
      </w:r>
      <w:r>
        <w:rPr>
          <w:sz w:val="24"/>
          <w:szCs w:val="24"/>
        </w:rPr>
        <w:t>5.2</w:t>
      </w:r>
      <w:r>
        <w:rPr>
          <w:rFonts w:hint="eastAsia"/>
          <w:sz w:val="24"/>
          <w:szCs w:val="24"/>
        </w:rPr>
        <w:t>款</w:t>
      </w:r>
      <w:r>
        <w:rPr>
          <w:sz w:val="24"/>
          <w:szCs w:val="24"/>
        </w:rPr>
        <w:t>[</w:t>
      </w:r>
      <w:r>
        <w:rPr>
          <w:rFonts w:hint="eastAsia"/>
          <w:sz w:val="24"/>
          <w:szCs w:val="24"/>
        </w:rPr>
        <w:t>承包人文件审查</w:t>
      </w:r>
      <w:r>
        <w:rPr>
          <w:sz w:val="24"/>
          <w:szCs w:val="24"/>
        </w:rPr>
        <w:t>]</w:t>
      </w:r>
      <w:r>
        <w:rPr>
          <w:rFonts w:hint="eastAsia"/>
          <w:sz w:val="24"/>
          <w:szCs w:val="24"/>
        </w:rPr>
        <w:t>的要求，重新送工程师审查，审查日期从工程师收到文件开始重新计算。因此款原因重新提交审查文件导致的工程延误和必要费用增加由承包人承担。《发包人要求》的错误导致承包人文件错误、遗漏、含混、矛盾、不充分或其他缺陷的除外。</w:t>
      </w:r>
    </w:p>
    <w:p>
      <w:pPr>
        <w:pStyle w:val="64"/>
        <w:numPr>
          <w:ilvl w:val="0"/>
          <w:numId w:val="0"/>
        </w:numPr>
        <w:spacing w:before="0"/>
        <w:ind w:firstLine="482" w:firstLineChars="200"/>
        <w:rPr>
          <w:rFonts w:ascii="宋体"/>
          <w:bCs/>
          <w:sz w:val="24"/>
          <w:szCs w:val="24"/>
        </w:rPr>
      </w:pPr>
      <w:r>
        <w:rPr>
          <w:rFonts w:hint="eastAsia" w:ascii="宋体" w:hAnsi="宋体"/>
          <w:b/>
          <w:sz w:val="24"/>
          <w:szCs w:val="24"/>
        </w:rPr>
        <w:t>第</w:t>
      </w:r>
      <w:r>
        <w:rPr>
          <w:rFonts w:ascii="宋体" w:hAnsi="宋体"/>
          <w:b/>
          <w:sz w:val="24"/>
          <w:szCs w:val="24"/>
        </w:rPr>
        <w:t>6</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材料、工程设备</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6.1 </w:t>
      </w:r>
      <w:r>
        <w:rPr>
          <w:rFonts w:hint="eastAsia" w:ascii="宋体" w:hAnsi="宋体" w:eastAsia="宋体" w:cs="宋体"/>
        </w:rPr>
        <w:t>实施方法</w:t>
      </w:r>
      <w:r>
        <w:rPr>
          <w:rFonts w:ascii="宋体" w:hAnsi="宋体" w:eastAsia="宋体" w:cs="宋体"/>
          <w:b w:val="0"/>
          <w:bCs/>
        </w:rPr>
        <w:t xml:space="preserve"> </w:t>
      </w:r>
    </w:p>
    <w:p>
      <w:pPr>
        <w:spacing w:line="360" w:lineRule="auto"/>
        <w:ind w:firstLine="480" w:firstLineChars="200"/>
        <w:rPr>
          <w:sz w:val="24"/>
          <w:szCs w:val="24"/>
        </w:rPr>
      </w:pPr>
      <w:r>
        <w:rPr>
          <w:rFonts w:hint="eastAsia"/>
          <w:sz w:val="24"/>
          <w:szCs w:val="24"/>
        </w:rPr>
        <w:t>承包人应按以下方法进行材料的加工、工程设备的采购、制造和安装、以及工程的所有其他实施作业：</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按照法律规定和合同约定的方法；</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按照公认的良好行业习惯，使用恰当、审慎、先进的方法；</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除专用合同条件另有规定外，应使用适当配备的实施方法、设备、设施和无危险的材料。</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6.2 </w:t>
      </w:r>
      <w:r>
        <w:rPr>
          <w:rFonts w:hint="eastAsia" w:ascii="宋体" w:hAnsi="宋体" w:eastAsia="宋体" w:cs="宋体"/>
        </w:rPr>
        <w:t>材料和工程设备</w:t>
      </w:r>
    </w:p>
    <w:p>
      <w:pPr>
        <w:pStyle w:val="66"/>
        <w:spacing w:afterLines="0"/>
        <w:ind w:left="0" w:firstLine="480" w:firstLineChars="200"/>
        <w:rPr>
          <w:rFonts w:cs="宋体"/>
          <w:szCs w:val="24"/>
        </w:rPr>
      </w:pPr>
      <w:r>
        <w:rPr>
          <w:rFonts w:cs="宋体"/>
          <w:szCs w:val="24"/>
        </w:rPr>
        <w:t xml:space="preserve">6.2.1 </w:t>
      </w:r>
      <w:r>
        <w:rPr>
          <w:rFonts w:hint="eastAsia" w:cs="宋体"/>
          <w:szCs w:val="24"/>
        </w:rPr>
        <w:t>发包人提供的材料和工程设备</w:t>
      </w:r>
    </w:p>
    <w:p>
      <w:pPr>
        <w:spacing w:line="360" w:lineRule="auto"/>
        <w:ind w:firstLine="480" w:firstLineChars="200"/>
        <w:rPr>
          <w:sz w:val="24"/>
          <w:szCs w:val="24"/>
        </w:rPr>
      </w:pPr>
      <w:r>
        <w:rPr>
          <w:rFonts w:hint="eastAsia"/>
          <w:sz w:val="24"/>
          <w:szCs w:val="24"/>
        </w:rPr>
        <w:t>发包人自行供应材料、工程设备的，应在订立合同时在专用合同条件的附件《发包人供应材料设备一览表》中明确材料、工程设备的品种、规格、型号、主要参数、数量、单价、质量等级和交接地点等。</w:t>
      </w:r>
    </w:p>
    <w:p>
      <w:pPr>
        <w:spacing w:line="360" w:lineRule="auto"/>
        <w:ind w:firstLine="480" w:firstLineChars="200"/>
        <w:rPr>
          <w:sz w:val="24"/>
          <w:szCs w:val="24"/>
        </w:rPr>
      </w:pPr>
      <w:r>
        <w:rPr>
          <w:rFonts w:hint="eastAsia"/>
          <w:sz w:val="24"/>
          <w:szCs w:val="24"/>
        </w:rPr>
        <w:t>承包人应根据项目进度计划的安排，提前</w:t>
      </w:r>
      <w:r>
        <w:rPr>
          <w:sz w:val="24"/>
          <w:szCs w:val="24"/>
        </w:rPr>
        <w:t>28</w:t>
      </w:r>
      <w:r>
        <w:rPr>
          <w:rFonts w:hint="eastAsia"/>
          <w:sz w:val="24"/>
          <w:szCs w:val="24"/>
        </w:rPr>
        <w:t>天以书面形式通知工程师供应材料与工程设备的进场计划。承包人按照第</w:t>
      </w:r>
      <w:r>
        <w:rPr>
          <w:sz w:val="24"/>
          <w:szCs w:val="24"/>
        </w:rPr>
        <w:t>8.4</w:t>
      </w:r>
      <w:r>
        <w:rPr>
          <w:rFonts w:hint="eastAsia"/>
          <w:sz w:val="24"/>
          <w:szCs w:val="24"/>
        </w:rPr>
        <w:t>款</w:t>
      </w:r>
      <w:r>
        <w:rPr>
          <w:sz w:val="24"/>
          <w:szCs w:val="24"/>
        </w:rPr>
        <w:t>[</w:t>
      </w:r>
      <w:r>
        <w:rPr>
          <w:rFonts w:hint="eastAsia"/>
          <w:sz w:val="24"/>
          <w:szCs w:val="24"/>
        </w:rPr>
        <w:t>项目进度计划</w:t>
      </w:r>
      <w:r>
        <w:rPr>
          <w:sz w:val="24"/>
          <w:szCs w:val="24"/>
        </w:rPr>
        <w:t>]</w:t>
      </w:r>
      <w:r>
        <w:rPr>
          <w:rFonts w:hint="eastAsia"/>
          <w:sz w:val="24"/>
          <w:szCs w:val="24"/>
        </w:rPr>
        <w:t>约定修订项目进度计划时，需同时提交经修订后的发包人供应材料与工程设备的进场计划。发包人应按照上述进场计划，向承包人提交材料和工程设备。</w:t>
      </w:r>
    </w:p>
    <w:p>
      <w:pPr>
        <w:spacing w:line="360" w:lineRule="auto"/>
        <w:ind w:firstLine="480" w:firstLineChars="200"/>
        <w:rPr>
          <w:sz w:val="24"/>
          <w:szCs w:val="24"/>
        </w:rPr>
      </w:pPr>
      <w:r>
        <w:rPr>
          <w:rFonts w:hint="eastAsia"/>
          <w:sz w:val="24"/>
          <w:szCs w:val="24"/>
        </w:rPr>
        <w:t>发包人应在材料和工程设备到货</w:t>
      </w:r>
      <w:r>
        <w:rPr>
          <w:sz w:val="24"/>
          <w:szCs w:val="24"/>
        </w:rPr>
        <w:t>7</w:t>
      </w:r>
      <w:r>
        <w:rPr>
          <w:rFonts w:hint="eastAsia"/>
          <w:sz w:val="24"/>
          <w:szCs w:val="24"/>
        </w:rPr>
        <w:t>天前通知承包人，承包人应会同工程师在约定的时间内，赴交货地点共同进行验收。除专用合同条件另有约定外，发包人提供的材料和工程设备验收后，由承包人负责接收、运输和保管。</w:t>
      </w:r>
    </w:p>
    <w:p>
      <w:pPr>
        <w:spacing w:line="360" w:lineRule="auto"/>
        <w:ind w:firstLine="480" w:firstLineChars="200"/>
        <w:rPr>
          <w:sz w:val="24"/>
          <w:szCs w:val="24"/>
        </w:rPr>
      </w:pPr>
      <w:r>
        <w:rPr>
          <w:rFonts w:hint="eastAsia"/>
          <w:sz w:val="24"/>
          <w:szCs w:val="24"/>
        </w:rPr>
        <w:t>发包人需要对进场计划进行变更的，承包人不得拒绝，应根据第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的规定执行，并由发包人承担承包人由此增加的费用，以及引起的工期延误。承包人需要对进场计划进行变更的，应事先报请工程师批准，由此增加的费用和（或）工期延误由承包人承担。</w:t>
      </w:r>
    </w:p>
    <w:p>
      <w:pPr>
        <w:spacing w:line="360" w:lineRule="auto"/>
        <w:ind w:firstLine="480" w:firstLineChars="200"/>
        <w:rPr>
          <w:sz w:val="24"/>
          <w:szCs w:val="24"/>
        </w:rPr>
      </w:pPr>
      <w:r>
        <w:rPr>
          <w:rFonts w:hint="eastAsia"/>
          <w:sz w:val="24"/>
          <w:szCs w:val="24"/>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6"/>
        <w:spacing w:afterLines="0"/>
        <w:ind w:left="0" w:firstLine="480" w:firstLineChars="200"/>
        <w:rPr>
          <w:rFonts w:cs="宋体"/>
          <w:szCs w:val="24"/>
        </w:rPr>
      </w:pPr>
      <w:r>
        <w:rPr>
          <w:rFonts w:cs="宋体"/>
          <w:szCs w:val="24"/>
        </w:rPr>
        <w:t xml:space="preserve">6.2.2 </w:t>
      </w:r>
      <w:r>
        <w:rPr>
          <w:rFonts w:hint="eastAsia" w:cs="宋体"/>
          <w:szCs w:val="24"/>
        </w:rPr>
        <w:t>承包人提供的材料和工程设备</w:t>
      </w:r>
    </w:p>
    <w:p>
      <w:pPr>
        <w:spacing w:line="360" w:lineRule="auto"/>
        <w:ind w:firstLine="480" w:firstLineChars="200"/>
        <w:rPr>
          <w:sz w:val="24"/>
          <w:szCs w:val="24"/>
        </w:rPr>
      </w:pPr>
      <w:r>
        <w:rPr>
          <w:rFonts w:hint="eastAsia"/>
          <w:sz w:val="24"/>
          <w:szCs w:val="24"/>
        </w:rPr>
        <w:t>承包人应按照专用合同条件的约定，将各项材料和工程设备的供货人及品种、技术要求、规格、数量和供货时间等报送工程师批准。承包人应向工程师提交其负责提供的材料和工程设备的质量证明文件，并根据合同约定的质量标准，对材料、工程设备质量负责。</w:t>
      </w:r>
    </w:p>
    <w:p>
      <w:pPr>
        <w:spacing w:line="360" w:lineRule="auto"/>
        <w:ind w:firstLine="480" w:firstLineChars="200"/>
        <w:rPr>
          <w:sz w:val="24"/>
          <w:szCs w:val="24"/>
        </w:rPr>
      </w:pPr>
      <w:r>
        <w:rPr>
          <w:rFonts w:hint="eastAsia"/>
          <w:sz w:val="24"/>
          <w:szCs w:val="24"/>
        </w:rPr>
        <w:t>承包人应按照已被批准的第</w:t>
      </w:r>
      <w:r>
        <w:rPr>
          <w:sz w:val="24"/>
          <w:szCs w:val="24"/>
        </w:rPr>
        <w:t>8.4</w:t>
      </w:r>
      <w:r>
        <w:rPr>
          <w:rFonts w:hint="eastAsia"/>
          <w:sz w:val="24"/>
          <w:szCs w:val="24"/>
        </w:rPr>
        <w:t>款</w:t>
      </w:r>
      <w:r>
        <w:rPr>
          <w:sz w:val="24"/>
          <w:szCs w:val="24"/>
        </w:rPr>
        <w:t>[</w:t>
      </w:r>
      <w:r>
        <w:rPr>
          <w:rFonts w:hint="eastAsia"/>
          <w:sz w:val="24"/>
          <w:szCs w:val="24"/>
        </w:rPr>
        <w:t>项目进度计划</w:t>
      </w:r>
      <w:r>
        <w:rPr>
          <w:sz w:val="24"/>
          <w:szCs w:val="24"/>
        </w:rPr>
        <w:t>]</w:t>
      </w:r>
      <w:r>
        <w:rPr>
          <w:rFonts w:hint="eastAsia"/>
          <w:sz w:val="24"/>
          <w:szCs w:val="24"/>
        </w:rPr>
        <w:t>规定的数量要求及时间要求，负责组织材料和工程设备采购（包括备品备件、专用工具及厂商提供的技术文件），负责运抵现场。合同约定由承包人采购的材料、工程设备，除专用合同条件另有约定外，发包人不得指定生产厂家或供应商，发包人违反本款约定指定生产厂家或供应商的，承包人有权拒绝，并由发包人承担相应责任。</w:t>
      </w:r>
    </w:p>
    <w:p>
      <w:pPr>
        <w:spacing w:line="360" w:lineRule="auto"/>
        <w:ind w:firstLine="480" w:firstLineChars="200"/>
        <w:rPr>
          <w:sz w:val="24"/>
          <w:szCs w:val="24"/>
        </w:rPr>
      </w:pPr>
      <w:r>
        <w:rPr>
          <w:rFonts w:hint="eastAsia"/>
          <w:sz w:val="24"/>
          <w:szCs w:val="24"/>
        </w:rPr>
        <w:t>对承包人提供的材料和工程设备，承包人应会同工程师进行检验和交货验收，查验材料合格证明和产品合格证书，并按合同约定和工程师指示，进行材料的抽样检验和工程设备的检验测试，检验和测试结果应提交工程师，所需费用由承包人承担。</w:t>
      </w:r>
    </w:p>
    <w:p>
      <w:pPr>
        <w:spacing w:line="360" w:lineRule="auto"/>
        <w:ind w:firstLine="480" w:firstLineChars="200"/>
        <w:rPr>
          <w:sz w:val="24"/>
          <w:szCs w:val="24"/>
        </w:rPr>
      </w:pPr>
      <w:r>
        <w:rPr>
          <w:rFonts w:hint="eastAsia"/>
          <w:sz w:val="24"/>
          <w:szCs w:val="24"/>
        </w:rPr>
        <w:t>因承包人提供的材料和工程设备不符合国家强制性标准、规范的规定或合同约定的标准、规范，所造成的质量缺陷，由承包人自费修复，竣工日期不予延长。在履行合同过程中，由于国家新颁布的强制性标准、规范，造成承包人负责提供的材料和工程设备，虽符合合同约定的标准，但不符合新颁布的强制性标准时，由承包人负责修复或重新订货，相关费用支出及导致的工期延长由发包人负责。</w:t>
      </w:r>
    </w:p>
    <w:p>
      <w:pPr>
        <w:pStyle w:val="66"/>
        <w:spacing w:afterLines="0"/>
        <w:ind w:left="0" w:firstLine="480" w:firstLineChars="200"/>
        <w:rPr>
          <w:rFonts w:cs="宋体"/>
          <w:szCs w:val="24"/>
        </w:rPr>
      </w:pPr>
      <w:r>
        <w:rPr>
          <w:rFonts w:cs="宋体"/>
          <w:szCs w:val="24"/>
        </w:rPr>
        <w:t xml:space="preserve">6.2.3 </w:t>
      </w:r>
      <w:r>
        <w:rPr>
          <w:rFonts w:hint="eastAsia" w:cs="宋体"/>
          <w:szCs w:val="24"/>
        </w:rPr>
        <w:t>材料和工程设备的保管</w:t>
      </w:r>
      <w:r>
        <w:rPr>
          <w:rFonts w:cs="宋体"/>
          <w:szCs w:val="24"/>
        </w:rPr>
        <w:t xml:space="preserve"> </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发包人供应材料与工程设备的保管与使用</w:t>
      </w:r>
    </w:p>
    <w:p>
      <w:pPr>
        <w:spacing w:line="360" w:lineRule="auto"/>
        <w:ind w:firstLine="480" w:firstLineChars="200"/>
        <w:rPr>
          <w:sz w:val="24"/>
          <w:szCs w:val="24"/>
        </w:rPr>
      </w:pPr>
      <w:r>
        <w:rPr>
          <w:rFonts w:hint="eastAsia"/>
          <w:sz w:val="24"/>
          <w:szCs w:val="24"/>
        </w:rPr>
        <w:t>发包人供应的材料和工程设备，承包人清点并接收后由承包人妥善保管，保管费用由承包人承担，但专用合同条件另有约定除外。因承包人原因发生丢失毁损的，由承包人负责赔偿。</w:t>
      </w:r>
    </w:p>
    <w:p>
      <w:pPr>
        <w:spacing w:line="360" w:lineRule="auto"/>
        <w:ind w:firstLine="480" w:firstLineChars="200"/>
        <w:rPr>
          <w:sz w:val="24"/>
          <w:szCs w:val="24"/>
        </w:rPr>
      </w:pPr>
      <w:r>
        <w:rPr>
          <w:rFonts w:hint="eastAsia"/>
          <w:sz w:val="24"/>
          <w:szCs w:val="24"/>
        </w:rPr>
        <w:t>发包人供应的材料和工程设备使用前，由承包人负责必要的检验，检验费用由发包人承担，不合格的不得使用。</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承包人采购材料与工程设备的保管与使用</w:t>
      </w:r>
    </w:p>
    <w:p>
      <w:pPr>
        <w:spacing w:line="360" w:lineRule="auto"/>
        <w:ind w:firstLine="480" w:firstLineChars="200"/>
        <w:rPr>
          <w:sz w:val="24"/>
          <w:szCs w:val="24"/>
        </w:rPr>
      </w:pPr>
      <w:r>
        <w:rPr>
          <w:rFonts w:hint="eastAsia"/>
          <w:sz w:val="24"/>
          <w:szCs w:val="24"/>
        </w:rPr>
        <w:t>承包人采购的材料和工程设备由承包人妥善保管，保管费用由承包人承担。合同约定或法律规定材料和工程设备使用前必须进行检验或试验的，承包人应按工程师的指示进行检验或试验，检验或试验费用由承包人承担，不合格的不得使用。</w:t>
      </w:r>
    </w:p>
    <w:p>
      <w:pPr>
        <w:spacing w:line="360" w:lineRule="auto"/>
        <w:ind w:firstLine="480" w:firstLineChars="200"/>
        <w:rPr>
          <w:sz w:val="24"/>
          <w:szCs w:val="24"/>
        </w:rPr>
      </w:pPr>
      <w:r>
        <w:rPr>
          <w:rFonts w:hint="eastAsia"/>
          <w:sz w:val="24"/>
          <w:szCs w:val="24"/>
        </w:rPr>
        <w:t>工程师发现承包人使用不符合设计或有关标准要求的材料和工程设备时，有权要求承包人进行修复、拆除或重新采购，由此增加的费用和（或）延误的工期，由承包人承担。</w:t>
      </w:r>
    </w:p>
    <w:p>
      <w:pPr>
        <w:pStyle w:val="66"/>
        <w:spacing w:afterLines="0"/>
        <w:ind w:left="0" w:firstLine="480" w:firstLineChars="200"/>
        <w:rPr>
          <w:rFonts w:cs="宋体"/>
          <w:szCs w:val="24"/>
        </w:rPr>
      </w:pPr>
      <w:r>
        <w:rPr>
          <w:rFonts w:cs="宋体"/>
          <w:szCs w:val="24"/>
        </w:rPr>
        <w:t xml:space="preserve">6.2.4 </w:t>
      </w:r>
      <w:r>
        <w:rPr>
          <w:rFonts w:hint="eastAsia" w:cs="宋体"/>
          <w:szCs w:val="24"/>
        </w:rPr>
        <w:t>材料和工程设备的所有权</w:t>
      </w:r>
    </w:p>
    <w:p>
      <w:pPr>
        <w:spacing w:line="360" w:lineRule="auto"/>
        <w:ind w:firstLine="480" w:firstLineChars="200"/>
        <w:rPr>
          <w:sz w:val="24"/>
          <w:szCs w:val="24"/>
        </w:rPr>
      </w:pPr>
      <w:r>
        <w:rPr>
          <w:rFonts w:hint="eastAsia"/>
          <w:sz w:val="24"/>
          <w:szCs w:val="24"/>
        </w:rPr>
        <w:t>除本合同另有约定外，承包人根据第</w:t>
      </w:r>
      <w:r>
        <w:rPr>
          <w:sz w:val="24"/>
          <w:szCs w:val="24"/>
        </w:rPr>
        <w:t>6.2.2</w:t>
      </w:r>
      <w:r>
        <w:rPr>
          <w:rFonts w:hint="eastAsia"/>
          <w:sz w:val="24"/>
          <w:szCs w:val="24"/>
        </w:rPr>
        <w:t>项</w:t>
      </w:r>
      <w:r>
        <w:rPr>
          <w:sz w:val="24"/>
          <w:szCs w:val="24"/>
        </w:rPr>
        <w:t>[</w:t>
      </w:r>
      <w:r>
        <w:rPr>
          <w:rFonts w:hint="eastAsia"/>
          <w:sz w:val="24"/>
          <w:szCs w:val="24"/>
        </w:rPr>
        <w:t>承包人提供的材料和工程设备</w:t>
      </w:r>
      <w:r>
        <w:rPr>
          <w:sz w:val="24"/>
          <w:szCs w:val="24"/>
        </w:rPr>
        <w:t>]</w:t>
      </w:r>
      <w:r>
        <w:rPr>
          <w:rFonts w:hint="eastAsia"/>
          <w:sz w:val="24"/>
          <w:szCs w:val="24"/>
        </w:rPr>
        <w:t>约定提供的材料和工程设备后，材料及工程设备的价款应列入第</w:t>
      </w:r>
      <w:r>
        <w:rPr>
          <w:sz w:val="24"/>
          <w:szCs w:val="24"/>
        </w:rPr>
        <w:t>14.3.1</w:t>
      </w:r>
      <w:r>
        <w:rPr>
          <w:rFonts w:hint="eastAsia"/>
          <w:sz w:val="24"/>
          <w:szCs w:val="24"/>
        </w:rPr>
        <w:t>项第（</w:t>
      </w:r>
      <w:r>
        <w:rPr>
          <w:sz w:val="24"/>
          <w:szCs w:val="24"/>
        </w:rPr>
        <w:t>2</w:t>
      </w:r>
      <w:r>
        <w:rPr>
          <w:rFonts w:hint="eastAsia"/>
          <w:sz w:val="24"/>
          <w:szCs w:val="24"/>
        </w:rPr>
        <w:t>）目的进度款金额中，发包人支付当期进度款之后，其所有权转为发包人所有（周转性材料除外）；在发包人接收工程前，承包人有义务对材料和工程设备进行保管、维护和保养，未经发包人批准不得运出现场。</w:t>
      </w:r>
    </w:p>
    <w:p>
      <w:pPr>
        <w:spacing w:line="360" w:lineRule="auto"/>
        <w:ind w:firstLine="480" w:firstLineChars="200"/>
        <w:rPr>
          <w:sz w:val="24"/>
          <w:szCs w:val="24"/>
        </w:rPr>
      </w:pPr>
      <w:r>
        <w:rPr>
          <w:rFonts w:hint="eastAsia"/>
          <w:sz w:val="24"/>
          <w:szCs w:val="24"/>
        </w:rPr>
        <w:t>承包人按第</w:t>
      </w:r>
      <w:r>
        <w:rPr>
          <w:sz w:val="24"/>
          <w:szCs w:val="24"/>
        </w:rPr>
        <w:t>6.2.2</w:t>
      </w:r>
      <w:r>
        <w:rPr>
          <w:rFonts w:hint="eastAsia"/>
          <w:sz w:val="24"/>
          <w:szCs w:val="24"/>
        </w:rPr>
        <w:t>项提供的材料和工程设备，承包人应确保发包人取得无权利负担的材料及工程设备所有权，因承包人与第三人的物权争议导致的增加的费用和（或）延误的工期，由承包人承担。</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6.3 </w:t>
      </w:r>
      <w:r>
        <w:rPr>
          <w:rFonts w:hint="eastAsia" w:ascii="宋体" w:hAnsi="宋体" w:eastAsia="宋体" w:cs="宋体"/>
        </w:rPr>
        <w:t>样品</w:t>
      </w:r>
    </w:p>
    <w:p>
      <w:pPr>
        <w:pStyle w:val="66"/>
        <w:spacing w:afterLines="0"/>
        <w:ind w:left="0" w:firstLine="480" w:firstLineChars="200"/>
        <w:rPr>
          <w:rFonts w:cs="宋体"/>
          <w:szCs w:val="24"/>
        </w:rPr>
      </w:pPr>
      <w:r>
        <w:rPr>
          <w:rFonts w:cs="宋体"/>
          <w:szCs w:val="24"/>
        </w:rPr>
        <w:t xml:space="preserve">6.3.1 </w:t>
      </w:r>
      <w:r>
        <w:rPr>
          <w:rFonts w:hint="eastAsia" w:cs="宋体"/>
          <w:szCs w:val="24"/>
        </w:rPr>
        <w:t>样品的报送与封存</w:t>
      </w:r>
    </w:p>
    <w:p>
      <w:pPr>
        <w:spacing w:line="360" w:lineRule="auto"/>
        <w:ind w:firstLine="480" w:firstLineChars="200"/>
        <w:rPr>
          <w:color w:val="000000"/>
          <w:sz w:val="24"/>
          <w:szCs w:val="24"/>
        </w:rPr>
      </w:pPr>
      <w:r>
        <w:rPr>
          <w:rFonts w:hint="eastAsia"/>
          <w:sz w:val="24"/>
          <w:szCs w:val="24"/>
        </w:rPr>
        <w:t>需要承包人报送样品的材料或工程设备，样品的种类、名称、规格、数量等要求均应在专用合同条件中约定。样品的报送程序如下：</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承包人应在计划采购前</w:t>
      </w:r>
      <w:r>
        <w:rPr>
          <w:sz w:val="24"/>
          <w:szCs w:val="24"/>
        </w:rPr>
        <w:t>28</w:t>
      </w:r>
      <w:r>
        <w:rPr>
          <w:rFonts w:hint="eastAsia"/>
          <w:sz w:val="24"/>
          <w:szCs w:val="24"/>
        </w:rPr>
        <w:t>天向工程师报送样品。承包人报送的样品均应来自供应材料的实际生产地，且提供的样品的规格、数量足以表明材料或工程设备的质量、型号、颜色、表面处理、质地、误差和其他要求的特征。</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承包人每次报送样品时应随附申报单，申报单应载明报送样品的相关数据和资料，并标明每件样品对应的图纸号，预留工程师审批意见栏。工程师应在收到承包人报送的样品后</w:t>
      </w:r>
      <w:r>
        <w:rPr>
          <w:sz w:val="24"/>
          <w:szCs w:val="24"/>
        </w:rPr>
        <w:t>7</w:t>
      </w:r>
      <w:r>
        <w:rPr>
          <w:rFonts w:hint="eastAsia"/>
          <w:sz w:val="24"/>
          <w:szCs w:val="24"/>
        </w:rPr>
        <w:t>天向承包人回复经发包人签认的样品审批意见。</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经工程师审批确认的样品应按约定的方法封样，封存的样品作为检验工程相关部分的标准之一。承包人在施工过程中不得使用与样品不符的材料或工程设备。</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工程师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pStyle w:val="66"/>
        <w:spacing w:afterLines="0"/>
        <w:ind w:left="0" w:firstLine="480" w:firstLineChars="200"/>
        <w:rPr>
          <w:rFonts w:cs="宋体"/>
          <w:szCs w:val="24"/>
        </w:rPr>
      </w:pPr>
      <w:r>
        <w:rPr>
          <w:rFonts w:cs="宋体"/>
          <w:szCs w:val="24"/>
        </w:rPr>
        <w:t xml:space="preserve">6.3.2 </w:t>
      </w:r>
      <w:r>
        <w:rPr>
          <w:rFonts w:hint="eastAsia" w:cs="宋体"/>
          <w:szCs w:val="24"/>
        </w:rPr>
        <w:t>样品的保管</w:t>
      </w:r>
    </w:p>
    <w:p>
      <w:pPr>
        <w:spacing w:line="360" w:lineRule="auto"/>
        <w:ind w:firstLine="480" w:firstLineChars="200"/>
        <w:rPr>
          <w:sz w:val="24"/>
          <w:szCs w:val="24"/>
        </w:rPr>
      </w:pPr>
      <w:r>
        <w:rPr>
          <w:rFonts w:hint="eastAsia"/>
          <w:sz w:val="24"/>
          <w:szCs w:val="24"/>
        </w:rPr>
        <w:t>经批准的样品应由工程师负责封存于现场，承包人应在现场为保存样品提供适当和固定的场所并保持适当和良好的存储环境条件。</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6.4 </w:t>
      </w:r>
      <w:r>
        <w:rPr>
          <w:rFonts w:hint="eastAsia" w:ascii="宋体" w:hAnsi="宋体" w:eastAsia="宋体" w:cs="宋体"/>
        </w:rPr>
        <w:t>质量检查</w:t>
      </w:r>
    </w:p>
    <w:p>
      <w:pPr>
        <w:pStyle w:val="66"/>
        <w:spacing w:afterLines="0"/>
        <w:ind w:left="0" w:firstLine="480" w:firstLineChars="200"/>
        <w:rPr>
          <w:rFonts w:cs="宋体"/>
          <w:szCs w:val="24"/>
        </w:rPr>
      </w:pPr>
      <w:r>
        <w:rPr>
          <w:rFonts w:cs="宋体"/>
          <w:szCs w:val="24"/>
        </w:rPr>
        <w:t xml:space="preserve">6.4.1 </w:t>
      </w:r>
      <w:r>
        <w:rPr>
          <w:rFonts w:hint="eastAsia" w:cs="宋体"/>
          <w:szCs w:val="24"/>
        </w:rPr>
        <w:t>工程质量要求</w:t>
      </w:r>
    </w:p>
    <w:p>
      <w:pPr>
        <w:spacing w:line="360" w:lineRule="auto"/>
        <w:ind w:firstLine="480" w:firstLineChars="200"/>
        <w:rPr>
          <w:sz w:val="24"/>
          <w:szCs w:val="24"/>
        </w:rPr>
      </w:pPr>
      <w:r>
        <w:rPr>
          <w:rFonts w:hint="eastAsia"/>
          <w:sz w:val="24"/>
          <w:szCs w:val="24"/>
        </w:rPr>
        <w:t>工程质量标准必须符合现行国家有关工程施工质量验收规范和标准的要求。有关工程质量的特殊标准或要求由合同当事人在专用合同条件中约定。</w:t>
      </w:r>
    </w:p>
    <w:p>
      <w:pPr>
        <w:spacing w:line="360" w:lineRule="auto"/>
        <w:ind w:firstLine="480" w:firstLineChars="200"/>
        <w:rPr>
          <w:sz w:val="24"/>
          <w:szCs w:val="24"/>
        </w:rPr>
      </w:pPr>
      <w:r>
        <w:rPr>
          <w:rFonts w:hint="eastAsia"/>
          <w:sz w:val="24"/>
          <w:szCs w:val="24"/>
        </w:rPr>
        <w:t>因承包人原因造成工程质量未达到合同约定标准的，发包人有权要求承包人返工直至工程质量达到合同约定的标准为止，并由承包人承担由此增加的费用和（或）延误的工期。因发包人原因造成工程质量未达到合同约定标准的，由发包人承担由此增加的费用和（或）延误的工期，并支付承包人合理的利润。</w:t>
      </w:r>
    </w:p>
    <w:p>
      <w:pPr>
        <w:pStyle w:val="66"/>
        <w:spacing w:afterLines="0"/>
        <w:ind w:left="0" w:firstLine="480" w:firstLineChars="200"/>
        <w:rPr>
          <w:rFonts w:cs="宋体"/>
          <w:szCs w:val="24"/>
        </w:rPr>
      </w:pPr>
      <w:r>
        <w:rPr>
          <w:rFonts w:cs="宋体"/>
          <w:szCs w:val="24"/>
        </w:rPr>
        <w:t xml:space="preserve">6.4.2 </w:t>
      </w:r>
      <w:r>
        <w:rPr>
          <w:rFonts w:hint="eastAsia" w:cs="宋体"/>
          <w:szCs w:val="24"/>
        </w:rPr>
        <w:t>质量检查</w:t>
      </w:r>
    </w:p>
    <w:p>
      <w:pPr>
        <w:spacing w:line="360" w:lineRule="auto"/>
        <w:ind w:firstLine="480" w:firstLineChars="200"/>
        <w:rPr>
          <w:sz w:val="24"/>
          <w:szCs w:val="24"/>
        </w:rPr>
      </w:pPr>
      <w:r>
        <w:rPr>
          <w:rFonts w:hint="eastAsia"/>
          <w:sz w:val="24"/>
          <w:szCs w:val="24"/>
        </w:rPr>
        <w:t>发包人有权通过工程师或自行对全部工程内容及其施工工艺、材料和工程设备进行检查和检验。承包人应为工程师或发包人的检查和检验提供方便，包括到施工现场，或制造、加工地点，或专用合同条件约定的其他地方进行察看和查阅施工原始记录。承包人还应按工程师或发包人指示，进行施工现场的取样试验，工程复核测量和设备性能检测，提供试验样品、提交试验报告和测量成果以及工程师或发包人指示进行的其他工作。工程师或发包人的检查和检验，不免除承包人按合同约定应负的责任。</w:t>
      </w:r>
    </w:p>
    <w:p>
      <w:pPr>
        <w:pStyle w:val="66"/>
        <w:spacing w:afterLines="0"/>
        <w:ind w:left="0" w:firstLine="480" w:firstLineChars="200"/>
        <w:rPr>
          <w:rFonts w:cs="宋体"/>
          <w:szCs w:val="24"/>
        </w:rPr>
      </w:pPr>
      <w:r>
        <w:rPr>
          <w:rFonts w:cs="宋体"/>
          <w:szCs w:val="24"/>
        </w:rPr>
        <w:t xml:space="preserve">6.4.3 </w:t>
      </w:r>
      <w:r>
        <w:rPr>
          <w:rFonts w:hint="eastAsia" w:cs="宋体"/>
          <w:szCs w:val="24"/>
        </w:rPr>
        <w:t>隐蔽工程检查</w:t>
      </w:r>
    </w:p>
    <w:p>
      <w:pPr>
        <w:spacing w:line="360" w:lineRule="auto"/>
        <w:ind w:firstLine="480" w:firstLineChars="200"/>
        <w:rPr>
          <w:sz w:val="24"/>
          <w:szCs w:val="24"/>
        </w:rPr>
      </w:pPr>
      <w:r>
        <w:rPr>
          <w:rFonts w:hint="eastAsia"/>
          <w:sz w:val="24"/>
          <w:szCs w:val="24"/>
        </w:rPr>
        <w:t>除专用合同条件另有约定外，工程隐蔽部位经承包人自检确认具备覆盖条件的，承包人应书面通知工程师在约定的期限内检查，通知中应载明隐蔽检查的内容、时间和地点，并应附有自检记录和必要的检查资料。</w:t>
      </w:r>
    </w:p>
    <w:p>
      <w:pPr>
        <w:spacing w:line="360" w:lineRule="auto"/>
        <w:ind w:firstLine="480" w:firstLineChars="200"/>
        <w:rPr>
          <w:sz w:val="24"/>
          <w:szCs w:val="24"/>
        </w:rPr>
      </w:pPr>
      <w:r>
        <w:rPr>
          <w:rFonts w:hint="eastAsia"/>
          <w:sz w:val="24"/>
          <w:szCs w:val="24"/>
        </w:rPr>
        <w:t>工程师应按时到场并对隐蔽工程及其施工工艺、材料和工程设备进行检查。经工程师检查确认质量符合隐蔽要求，并在验收记录上签字后，承包人才能进行覆盖。经工程师检查质量不合格的，承包人应在工程师指示的时间内完成修复，并由工程师重新检查，由此增加的费用和（或）延误的工期由承包人承担。</w:t>
      </w:r>
    </w:p>
    <w:p>
      <w:pPr>
        <w:spacing w:line="360" w:lineRule="auto"/>
        <w:ind w:firstLine="480" w:firstLineChars="200"/>
        <w:rPr>
          <w:sz w:val="24"/>
          <w:szCs w:val="24"/>
        </w:rPr>
      </w:pPr>
      <w:r>
        <w:rPr>
          <w:rFonts w:hint="eastAsia"/>
          <w:sz w:val="24"/>
          <w:szCs w:val="24"/>
        </w:rPr>
        <w:t>除专用合同条件另有约定外，工程师不能按时进行检查的，应提前向承包人提交书面延期要求，顺延时间不得超过</w:t>
      </w:r>
      <w:r>
        <w:rPr>
          <w:sz w:val="24"/>
          <w:szCs w:val="24"/>
        </w:rPr>
        <w:t>48</w:t>
      </w:r>
      <w:r>
        <w:rPr>
          <w:rFonts w:hint="eastAsia"/>
          <w:sz w:val="24"/>
          <w:szCs w:val="24"/>
        </w:rPr>
        <w:t>小时，由此导致工期延误的，工期应予以顺延，顺延超过</w:t>
      </w:r>
      <w:r>
        <w:rPr>
          <w:sz w:val="24"/>
          <w:szCs w:val="24"/>
        </w:rPr>
        <w:t>48</w:t>
      </w:r>
      <w:r>
        <w:rPr>
          <w:rFonts w:hint="eastAsia"/>
          <w:sz w:val="24"/>
          <w:szCs w:val="24"/>
        </w:rPr>
        <w:t>小时的，由此导致的工期延误及费用增加由发包人承担。工程师未按时进行检查，也未提出延期要求的，视为隐蔽工程检查合格，承包人可自行完成覆盖工作，并作相应记录报送工程师，工程师应签字确认。工程师事后对检查记录有疑问的，可按下列约定重新检查。</w:t>
      </w:r>
    </w:p>
    <w:p>
      <w:pPr>
        <w:spacing w:line="360" w:lineRule="auto"/>
        <w:ind w:firstLine="480" w:firstLineChars="200"/>
        <w:rPr>
          <w:sz w:val="24"/>
          <w:szCs w:val="24"/>
        </w:rPr>
      </w:pPr>
      <w:r>
        <w:rPr>
          <w:rFonts w:hint="eastAsia"/>
          <w:sz w:val="24"/>
          <w:szCs w:val="24"/>
        </w:rPr>
        <w:t>承包人覆盖工程隐蔽部位后，工程师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80" w:firstLineChars="200"/>
        <w:rPr>
          <w:sz w:val="24"/>
          <w:szCs w:val="24"/>
        </w:rPr>
      </w:pPr>
      <w:r>
        <w:rPr>
          <w:rFonts w:hint="eastAsia"/>
          <w:sz w:val="24"/>
          <w:szCs w:val="24"/>
        </w:rPr>
        <w:t>承包人未通知工程师到场检查，私自将工程隐蔽部位覆盖的，工程师有权指示承包人钻孔探测或揭开检查，无论工程隐蔽部位质量是否合格，由此增加的费用和（或）延误的工期均由承包人承担。</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6.5 </w:t>
      </w:r>
      <w:r>
        <w:rPr>
          <w:rFonts w:hint="eastAsia" w:ascii="宋体" w:hAnsi="宋体" w:eastAsia="宋体" w:cs="宋体"/>
        </w:rPr>
        <w:t>由承包人试验和检验</w:t>
      </w:r>
    </w:p>
    <w:p>
      <w:pPr>
        <w:pStyle w:val="66"/>
        <w:spacing w:afterLines="0"/>
        <w:ind w:left="0" w:firstLine="480" w:firstLineChars="200"/>
        <w:rPr>
          <w:rFonts w:cs="宋体"/>
          <w:szCs w:val="24"/>
        </w:rPr>
      </w:pPr>
      <w:r>
        <w:rPr>
          <w:rFonts w:cs="宋体"/>
          <w:szCs w:val="24"/>
        </w:rPr>
        <w:t xml:space="preserve">6.5.1 </w:t>
      </w:r>
      <w:r>
        <w:rPr>
          <w:rFonts w:hint="eastAsia" w:cs="宋体"/>
          <w:szCs w:val="24"/>
        </w:rPr>
        <w:t>试验设备与试验人员</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根据合同约定或工程师指示进行的现场材料试验，应由承包人提供试验场所、试验人员、试验设备以及其他必要的试验条件。工程师在必要时可以使用承包人提供的试验场所、试验设备以及其他试验条件，进行以工程质量检查为目的的材料复核试验，承包人应予以协助。</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承包人应按专用合同条件约定的试验内容、时间和地点提供试验设备、取样装置、试验场所和试验条件，并向工程师提交相应进场计划表。</w:t>
      </w:r>
    </w:p>
    <w:p>
      <w:pPr>
        <w:spacing w:line="360" w:lineRule="auto"/>
        <w:ind w:firstLine="480" w:firstLineChars="200"/>
        <w:rPr>
          <w:sz w:val="24"/>
          <w:szCs w:val="24"/>
        </w:rPr>
      </w:pPr>
      <w:r>
        <w:rPr>
          <w:rFonts w:hint="eastAsia"/>
          <w:sz w:val="24"/>
          <w:szCs w:val="24"/>
        </w:rPr>
        <w:t>承包人配置的试验设备要符合相应试验规程的要求并经过具有资质的检测单位检测，且在正式使用该试验设备前，需要经过工程师与承包人共同校定。</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承包人应向工程师提交试验人员的名单及其岗位、资格等证明资料，试验人员必须能够熟练进行相应的检测试验，承包人对试验人员的试验程序和试验结果的正确性负责。</w:t>
      </w:r>
    </w:p>
    <w:p>
      <w:pPr>
        <w:pStyle w:val="66"/>
        <w:spacing w:afterLines="0"/>
        <w:ind w:left="0" w:firstLine="480" w:firstLineChars="200"/>
        <w:rPr>
          <w:rFonts w:cs="宋体"/>
          <w:szCs w:val="24"/>
        </w:rPr>
      </w:pPr>
      <w:r>
        <w:rPr>
          <w:rFonts w:cs="宋体"/>
          <w:szCs w:val="24"/>
        </w:rPr>
        <w:t xml:space="preserve">6.5.2 </w:t>
      </w:r>
      <w:r>
        <w:rPr>
          <w:rFonts w:hint="eastAsia" w:cs="宋体"/>
          <w:szCs w:val="24"/>
        </w:rPr>
        <w:t>取样</w:t>
      </w:r>
    </w:p>
    <w:p>
      <w:pPr>
        <w:spacing w:line="360" w:lineRule="auto"/>
        <w:ind w:firstLine="480" w:firstLineChars="200"/>
        <w:rPr>
          <w:sz w:val="24"/>
          <w:szCs w:val="24"/>
        </w:rPr>
      </w:pPr>
      <w:r>
        <w:rPr>
          <w:rFonts w:hint="eastAsia"/>
          <w:sz w:val="24"/>
          <w:szCs w:val="24"/>
        </w:rPr>
        <w:t>试验属于自检性质的，承包人可以单独取样。试验属于工程师抽检性质的，可由工程师取样，也可由承包人的试验人员在工程师的监督下取样。</w:t>
      </w:r>
    </w:p>
    <w:p>
      <w:pPr>
        <w:pStyle w:val="66"/>
        <w:spacing w:afterLines="0"/>
        <w:ind w:left="0" w:firstLine="480" w:firstLineChars="200"/>
        <w:rPr>
          <w:rFonts w:cs="宋体"/>
          <w:szCs w:val="24"/>
        </w:rPr>
      </w:pPr>
      <w:r>
        <w:rPr>
          <w:rFonts w:cs="宋体"/>
          <w:szCs w:val="24"/>
        </w:rPr>
        <w:t xml:space="preserve">6.5.3 </w:t>
      </w:r>
      <w:r>
        <w:rPr>
          <w:rFonts w:hint="eastAsia" w:cs="宋体"/>
          <w:szCs w:val="24"/>
        </w:rPr>
        <w:t>材料、工程设备和工程的试验和检验</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应按合同约定进行材料和工程设备的试验和检验，并为工程师对上述材料、工程设备和工程的质量检查提供必要的试验资料和原始记录。按合同约定应由工程师与承包人共同进行试验和检验的，由承包人负责提供必要的试验资料和原始记录。</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试验属于自检性质的，承包人可以单独进行试验。试验属于工程师抽检性质的，工程师可以单独进行试验，也可由承包人与工程师共同进行。承包人对由工程师单独进行的试验结果有异议的，可以申请重新共同进行试验。约定共同进行试验的，工程师未按照约定参加试验的，承包人可自行试验，并将试验结果报送工程师，工程师应承认该试验结果。</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工程师对承包人的试验和检验结果有异议的，或为查清承包人试验和检验成果的可靠性要求承包人重新试验和检验的，可由工程师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66"/>
        <w:spacing w:afterLines="0"/>
        <w:ind w:left="0" w:firstLine="480" w:firstLineChars="200"/>
        <w:rPr>
          <w:rFonts w:cs="宋体"/>
          <w:szCs w:val="24"/>
        </w:rPr>
      </w:pPr>
      <w:r>
        <w:rPr>
          <w:rFonts w:cs="宋体"/>
          <w:szCs w:val="24"/>
        </w:rPr>
        <w:t xml:space="preserve">6.5.4 </w:t>
      </w:r>
      <w:r>
        <w:rPr>
          <w:rFonts w:hint="eastAsia" w:cs="宋体"/>
          <w:szCs w:val="24"/>
        </w:rPr>
        <w:t>现场工艺试验</w:t>
      </w:r>
    </w:p>
    <w:p>
      <w:pPr>
        <w:spacing w:line="360" w:lineRule="auto"/>
        <w:ind w:firstLine="480" w:firstLineChars="200"/>
        <w:rPr>
          <w:sz w:val="24"/>
          <w:szCs w:val="24"/>
        </w:rPr>
      </w:pPr>
      <w:r>
        <w:rPr>
          <w:rFonts w:hint="eastAsia"/>
          <w:sz w:val="24"/>
          <w:szCs w:val="24"/>
        </w:rPr>
        <w:t>承包人应按合同约定进行现场工艺试验。对大型的现场工艺试验，发包人认为必要时，承包人应根据发包人提出的工艺试验要求，编制工艺试验措施计划，报送发包人审查。</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6.6 </w:t>
      </w:r>
      <w:r>
        <w:rPr>
          <w:rFonts w:hint="eastAsia" w:ascii="宋体" w:hAnsi="宋体" w:eastAsia="宋体" w:cs="宋体"/>
        </w:rPr>
        <w:t>缺陷和修补</w:t>
      </w:r>
    </w:p>
    <w:p>
      <w:pPr>
        <w:pStyle w:val="66"/>
        <w:spacing w:afterLines="0"/>
        <w:ind w:left="0" w:firstLine="480" w:firstLineChars="200"/>
        <w:rPr>
          <w:rFonts w:cs="宋体"/>
          <w:szCs w:val="24"/>
        </w:rPr>
      </w:pPr>
      <w:r>
        <w:rPr>
          <w:rFonts w:cs="宋体"/>
          <w:szCs w:val="24"/>
        </w:rPr>
        <w:t xml:space="preserve">6.6.1 </w:t>
      </w:r>
      <w:r>
        <w:rPr>
          <w:rFonts w:hint="eastAsia" w:cs="宋体"/>
          <w:szCs w:val="24"/>
        </w:rPr>
        <w:t>发包人可在颁发接收证书前随时指示承包人：</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对不符合合同要求的任何工程设备或材料进行修补，或者将其移出现场并进行更换；</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对不符合合同的其他工作进行修补，或者将其去除并重新实施；</w:t>
      </w:r>
      <w:r>
        <w:rPr>
          <w:sz w:val="24"/>
          <w:szCs w:val="24"/>
        </w:rPr>
        <w:t xml:space="preserve"> </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实施因意外、不可预见的事件或其他原因引起的、为工程的安全迫切需要的任何修补工作。</w:t>
      </w:r>
    </w:p>
    <w:p>
      <w:pPr>
        <w:pStyle w:val="66"/>
        <w:spacing w:afterLines="0"/>
        <w:ind w:left="0" w:firstLine="480" w:firstLineChars="200"/>
        <w:rPr>
          <w:rFonts w:cs="宋体"/>
          <w:szCs w:val="24"/>
        </w:rPr>
      </w:pPr>
      <w:r>
        <w:rPr>
          <w:rFonts w:cs="宋体"/>
          <w:szCs w:val="24"/>
        </w:rPr>
        <w:t xml:space="preserve">6.6.2 </w:t>
      </w:r>
      <w:r>
        <w:rPr>
          <w:rFonts w:hint="eastAsia" w:cs="宋体"/>
          <w:szCs w:val="24"/>
        </w:rPr>
        <w:t>承包人应遵守第</w:t>
      </w:r>
      <w:r>
        <w:rPr>
          <w:rFonts w:cs="宋体"/>
          <w:szCs w:val="24"/>
        </w:rPr>
        <w:t>6.6.1</w:t>
      </w:r>
      <w:r>
        <w:rPr>
          <w:rFonts w:hint="eastAsia" w:cs="宋体"/>
          <w:szCs w:val="24"/>
        </w:rPr>
        <w:t>项下指示，并在合理可行的情况下，根据上述指示中规定的时间完成修补工作。除因下列原因引起的第</w:t>
      </w:r>
      <w:r>
        <w:rPr>
          <w:rFonts w:cs="宋体"/>
          <w:szCs w:val="24"/>
        </w:rPr>
        <w:t>6.6.1</w:t>
      </w:r>
      <w:r>
        <w:rPr>
          <w:rFonts w:hint="eastAsia" w:cs="宋体"/>
          <w:szCs w:val="24"/>
        </w:rPr>
        <w:t>项第（</w:t>
      </w:r>
      <w:r>
        <w:rPr>
          <w:rFonts w:cs="宋体"/>
          <w:szCs w:val="24"/>
        </w:rPr>
        <w:t>3</w:t>
      </w:r>
      <w:r>
        <w:rPr>
          <w:rFonts w:hint="eastAsia" w:cs="宋体"/>
          <w:szCs w:val="24"/>
        </w:rPr>
        <w:t>）目下的情形外，承包人应承担所有修补工作的费用：</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因发包人或其人员的任何行为导致的情形，且在此情况下发包人应承担因此引起的工期延误和承包人费用损失，并向承包人支付合理的利润。</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第</w:t>
      </w:r>
      <w:r>
        <w:rPr>
          <w:sz w:val="24"/>
          <w:szCs w:val="24"/>
        </w:rPr>
        <w:t>17.4</w:t>
      </w:r>
      <w:r>
        <w:rPr>
          <w:rFonts w:hint="eastAsia"/>
          <w:sz w:val="24"/>
          <w:szCs w:val="24"/>
        </w:rPr>
        <w:t>款</w:t>
      </w:r>
      <w:r>
        <w:rPr>
          <w:sz w:val="24"/>
          <w:szCs w:val="24"/>
        </w:rPr>
        <w:t>[</w:t>
      </w:r>
      <w:r>
        <w:rPr>
          <w:rFonts w:hint="eastAsia"/>
          <w:sz w:val="24"/>
          <w:szCs w:val="24"/>
        </w:rPr>
        <w:t>不可抗力后果的承担</w:t>
      </w:r>
      <w:r>
        <w:rPr>
          <w:sz w:val="24"/>
          <w:szCs w:val="24"/>
        </w:rPr>
        <w:t>]</w:t>
      </w:r>
      <w:r>
        <w:rPr>
          <w:rFonts w:hint="eastAsia"/>
          <w:sz w:val="24"/>
          <w:szCs w:val="24"/>
        </w:rPr>
        <w:t>中适用的不可抗力事件的情形。</w:t>
      </w:r>
    </w:p>
    <w:p>
      <w:pPr>
        <w:pStyle w:val="66"/>
        <w:spacing w:afterLines="0"/>
        <w:ind w:left="0" w:firstLine="480" w:firstLineChars="200"/>
        <w:rPr>
          <w:rFonts w:cs="宋体"/>
          <w:szCs w:val="24"/>
        </w:rPr>
      </w:pPr>
      <w:r>
        <w:rPr>
          <w:rFonts w:cs="宋体"/>
          <w:szCs w:val="24"/>
        </w:rPr>
        <w:t xml:space="preserve">6.6.3 </w:t>
      </w:r>
      <w:r>
        <w:rPr>
          <w:rFonts w:hint="eastAsia" w:cs="宋体"/>
          <w:szCs w:val="24"/>
        </w:rPr>
        <w:t>如果承包人未能遵守发包人的指示，发包人可以自行决定请第三方完成上述修补工作，并有权要求承包人支付因未履行指示而产生的所有费用，但承包人根据第</w:t>
      </w:r>
      <w:r>
        <w:rPr>
          <w:rFonts w:cs="宋体"/>
          <w:szCs w:val="24"/>
        </w:rPr>
        <w:t>6.6.2</w:t>
      </w:r>
      <w:r>
        <w:rPr>
          <w:rFonts w:hint="eastAsia" w:cs="宋体"/>
          <w:szCs w:val="24"/>
        </w:rPr>
        <w:t>项有权就修补工作获得支付的情况除外。</w:t>
      </w:r>
    </w:p>
    <w:p>
      <w:pPr>
        <w:pStyle w:val="64"/>
        <w:numPr>
          <w:ilvl w:val="0"/>
          <w:numId w:val="0"/>
        </w:numPr>
        <w:spacing w:before="0"/>
        <w:ind w:firstLine="482" w:firstLineChars="200"/>
        <w:rPr>
          <w:rFonts w:ascii="宋体"/>
          <w:b/>
          <w:sz w:val="24"/>
          <w:szCs w:val="24"/>
        </w:rPr>
      </w:pPr>
      <w:r>
        <w:rPr>
          <w:rFonts w:hint="eastAsia" w:ascii="宋体" w:hAnsi="宋体"/>
          <w:b/>
          <w:sz w:val="24"/>
          <w:szCs w:val="24"/>
        </w:rPr>
        <w:t>第</w:t>
      </w:r>
      <w:r>
        <w:rPr>
          <w:rFonts w:ascii="宋体" w:hAnsi="宋体"/>
          <w:b/>
          <w:sz w:val="24"/>
          <w:szCs w:val="24"/>
        </w:rPr>
        <w:t>7</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施工</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7.1 </w:t>
      </w:r>
      <w:r>
        <w:rPr>
          <w:rFonts w:hint="eastAsia" w:ascii="宋体" w:hAnsi="宋体" w:eastAsia="宋体" w:cs="宋体"/>
        </w:rPr>
        <w:t>交通运输</w:t>
      </w:r>
      <w:r>
        <w:rPr>
          <w:rFonts w:ascii="宋体" w:hAnsi="宋体" w:eastAsia="宋体" w:cs="宋体"/>
        </w:rPr>
        <w:t xml:space="preserve"> </w:t>
      </w:r>
    </w:p>
    <w:p>
      <w:pPr>
        <w:pStyle w:val="66"/>
        <w:spacing w:afterLines="0"/>
        <w:ind w:left="0" w:firstLine="480" w:firstLineChars="200"/>
        <w:rPr>
          <w:rFonts w:cs="宋体"/>
          <w:szCs w:val="24"/>
        </w:rPr>
      </w:pPr>
      <w:r>
        <w:rPr>
          <w:rFonts w:cs="宋体"/>
          <w:szCs w:val="24"/>
        </w:rPr>
        <w:t xml:space="preserve">7.1.1 </w:t>
      </w:r>
      <w:r>
        <w:rPr>
          <w:rFonts w:hint="eastAsia" w:cs="宋体"/>
          <w:szCs w:val="24"/>
        </w:rPr>
        <w:t>出入现场的权利</w:t>
      </w:r>
    </w:p>
    <w:p>
      <w:pPr>
        <w:spacing w:line="360" w:lineRule="auto"/>
        <w:ind w:firstLine="480" w:firstLineChars="200"/>
        <w:rPr>
          <w:sz w:val="24"/>
          <w:szCs w:val="24"/>
        </w:rPr>
      </w:pPr>
      <w:r>
        <w:rPr>
          <w:rFonts w:hint="eastAsia"/>
          <w:sz w:val="24"/>
          <w:szCs w:val="24"/>
        </w:rPr>
        <w:t>除专用合同条件另有约定外，发包人应根据工程实施需要，负责取得出入施工现场所需的批准手续和全部权利，以及取得因工程实施所需修建道路、桥梁以及其他基础设施的权利，并承担相关手续费用和建设费用。承包人应协助发包人办理修建场内外道路、桥梁以及其他基础设施的手续。</w:t>
      </w:r>
    </w:p>
    <w:p>
      <w:pPr>
        <w:pStyle w:val="66"/>
        <w:spacing w:afterLines="0"/>
        <w:ind w:left="0" w:firstLine="480" w:firstLineChars="200"/>
        <w:rPr>
          <w:rFonts w:cs="宋体"/>
          <w:szCs w:val="24"/>
        </w:rPr>
      </w:pPr>
      <w:r>
        <w:rPr>
          <w:rFonts w:cs="宋体"/>
          <w:szCs w:val="24"/>
        </w:rPr>
        <w:t xml:space="preserve">7.1.2 </w:t>
      </w:r>
      <w:r>
        <w:rPr>
          <w:rFonts w:hint="eastAsia" w:cs="宋体"/>
          <w:szCs w:val="24"/>
        </w:rPr>
        <w:t>场外交通</w:t>
      </w:r>
    </w:p>
    <w:p>
      <w:pPr>
        <w:spacing w:line="360" w:lineRule="auto"/>
        <w:ind w:firstLine="480" w:firstLineChars="200"/>
        <w:rPr>
          <w:sz w:val="24"/>
          <w:szCs w:val="24"/>
        </w:rPr>
      </w:pPr>
      <w:r>
        <w:rPr>
          <w:rFonts w:hint="eastAsia"/>
          <w:sz w:val="24"/>
          <w:szCs w:val="24"/>
        </w:rPr>
        <w:t>除专用合同条件另有约定外，发包人应提供场外交通设施的技术参数和具体条件，场外交通设施无法满足工程施工需要的，由发包人负责承担由此产生的相关费用。承包人应遵守有关交通法规，严格按照道路和桥梁的限制荷载行驶，执行有关道路限速、限行、禁止超载的规定，并配合交通管理部门的监督和检查。承包人车辆外出行驶所需的场外公共道路的通行费、养路费和税款等由承包人承担。</w:t>
      </w:r>
    </w:p>
    <w:p>
      <w:pPr>
        <w:pStyle w:val="66"/>
        <w:spacing w:afterLines="0"/>
        <w:ind w:left="0" w:firstLine="480" w:firstLineChars="200"/>
        <w:rPr>
          <w:rFonts w:cs="宋体"/>
          <w:szCs w:val="24"/>
        </w:rPr>
      </w:pPr>
      <w:r>
        <w:rPr>
          <w:rFonts w:cs="宋体"/>
          <w:szCs w:val="24"/>
        </w:rPr>
        <w:t xml:space="preserve">7.1.3 </w:t>
      </w:r>
      <w:r>
        <w:rPr>
          <w:rFonts w:hint="eastAsia" w:cs="宋体"/>
          <w:szCs w:val="24"/>
        </w:rPr>
        <w:t>场内交通</w:t>
      </w:r>
    </w:p>
    <w:p>
      <w:pPr>
        <w:spacing w:line="360" w:lineRule="auto"/>
        <w:ind w:firstLine="480" w:firstLineChars="200"/>
        <w:rPr>
          <w:sz w:val="24"/>
          <w:szCs w:val="24"/>
        </w:rPr>
      </w:pPr>
      <w:r>
        <w:rPr>
          <w:rFonts w:hint="eastAsia"/>
          <w:sz w:val="24"/>
          <w:szCs w:val="24"/>
        </w:rPr>
        <w:t>除专用合同条件另有约定外，承包人应负责修建、维修、养护和管理施工所需的临时道路和交通设施，包括维修、养护和管理发包人提供的道路和交通设施，并承担相应费用。承包人修建的临时道路和交通设施应免费提供发包人和工程师为实现合同目的使用。场内交通与场外交通的边界由合同当事人在专用合同条件中约定。</w:t>
      </w:r>
    </w:p>
    <w:p>
      <w:pPr>
        <w:pStyle w:val="66"/>
        <w:spacing w:afterLines="0"/>
        <w:ind w:left="0" w:firstLine="480" w:firstLineChars="200"/>
        <w:rPr>
          <w:rFonts w:cs="宋体"/>
          <w:szCs w:val="24"/>
        </w:rPr>
      </w:pPr>
      <w:r>
        <w:rPr>
          <w:rFonts w:cs="宋体"/>
          <w:szCs w:val="24"/>
        </w:rPr>
        <w:t xml:space="preserve">7.1.4 </w:t>
      </w:r>
      <w:r>
        <w:rPr>
          <w:rFonts w:hint="eastAsia" w:cs="宋体"/>
          <w:szCs w:val="24"/>
        </w:rPr>
        <w:t>超大件和超重件的运输</w:t>
      </w:r>
    </w:p>
    <w:p>
      <w:pPr>
        <w:spacing w:line="360" w:lineRule="auto"/>
        <w:ind w:firstLine="480" w:firstLineChars="200"/>
        <w:rPr>
          <w:sz w:val="24"/>
          <w:szCs w:val="24"/>
        </w:rPr>
      </w:pPr>
      <w:r>
        <w:rPr>
          <w:rFonts w:hint="eastAsia"/>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件另有约定的除外。</w:t>
      </w:r>
    </w:p>
    <w:p>
      <w:pPr>
        <w:pStyle w:val="66"/>
        <w:spacing w:afterLines="0"/>
        <w:ind w:left="0" w:firstLine="480" w:firstLineChars="200"/>
        <w:rPr>
          <w:rFonts w:cs="宋体"/>
          <w:szCs w:val="24"/>
        </w:rPr>
      </w:pPr>
      <w:r>
        <w:rPr>
          <w:rFonts w:cs="宋体"/>
          <w:szCs w:val="24"/>
        </w:rPr>
        <w:t xml:space="preserve">7.1.5 </w:t>
      </w:r>
      <w:r>
        <w:rPr>
          <w:rFonts w:hint="eastAsia" w:cs="宋体"/>
          <w:szCs w:val="24"/>
        </w:rPr>
        <w:t>道路和桥梁的损坏责任</w:t>
      </w:r>
    </w:p>
    <w:p>
      <w:pPr>
        <w:spacing w:line="360" w:lineRule="auto"/>
        <w:ind w:firstLine="480" w:firstLineChars="200"/>
        <w:rPr>
          <w:sz w:val="24"/>
          <w:szCs w:val="24"/>
        </w:rPr>
      </w:pPr>
      <w:r>
        <w:rPr>
          <w:rFonts w:hint="eastAsia"/>
          <w:sz w:val="24"/>
          <w:szCs w:val="24"/>
        </w:rPr>
        <w:t>因承包人运输造成施工现场内外公共道路和桥梁损坏的，由承包人承担修复损坏的全部费用和可能引起的赔偿。</w:t>
      </w:r>
    </w:p>
    <w:p>
      <w:pPr>
        <w:pStyle w:val="66"/>
        <w:spacing w:afterLines="0"/>
        <w:ind w:left="0" w:firstLine="480" w:firstLineChars="200"/>
        <w:rPr>
          <w:rFonts w:cs="宋体"/>
          <w:szCs w:val="24"/>
        </w:rPr>
      </w:pPr>
      <w:r>
        <w:rPr>
          <w:rFonts w:cs="宋体"/>
          <w:szCs w:val="24"/>
        </w:rPr>
        <w:t xml:space="preserve">7.1.6 </w:t>
      </w:r>
      <w:r>
        <w:rPr>
          <w:rFonts w:hint="eastAsia" w:cs="宋体"/>
          <w:szCs w:val="24"/>
        </w:rPr>
        <w:t>水路和航空运输</w:t>
      </w:r>
    </w:p>
    <w:p>
      <w:pPr>
        <w:spacing w:line="360" w:lineRule="auto"/>
        <w:ind w:firstLine="480" w:firstLineChars="200"/>
        <w:rPr>
          <w:sz w:val="24"/>
          <w:szCs w:val="24"/>
        </w:rPr>
      </w:pPr>
      <w:r>
        <w:rPr>
          <w:rFonts w:hint="eastAsia"/>
          <w:sz w:val="24"/>
          <w:szCs w:val="24"/>
        </w:rPr>
        <w:t>本条上述各款的内容适用于水路运输和航空运输，其中“道路”一词的涵义包括河道、航线、船闸、机场、码头、堤防以及水路或航空运输中其他相似结构物；“车辆”一词的涵义包括船舶和飞机等。</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7.2 </w:t>
      </w:r>
      <w:r>
        <w:rPr>
          <w:rFonts w:hint="eastAsia" w:ascii="宋体" w:hAnsi="宋体" w:eastAsia="宋体" w:cs="宋体"/>
        </w:rPr>
        <w:t>施工设备和临时设施</w:t>
      </w:r>
      <w:r>
        <w:rPr>
          <w:rFonts w:ascii="宋体" w:hAnsi="宋体" w:eastAsia="宋体" w:cs="宋体"/>
        </w:rPr>
        <w:t xml:space="preserve"> </w:t>
      </w:r>
    </w:p>
    <w:p>
      <w:pPr>
        <w:pStyle w:val="66"/>
        <w:spacing w:afterLines="0"/>
        <w:ind w:left="0" w:firstLine="480" w:firstLineChars="200"/>
        <w:rPr>
          <w:rFonts w:cs="宋体"/>
          <w:szCs w:val="24"/>
        </w:rPr>
      </w:pPr>
      <w:r>
        <w:rPr>
          <w:rFonts w:cs="宋体"/>
          <w:szCs w:val="24"/>
        </w:rPr>
        <w:t xml:space="preserve">7.2.1 </w:t>
      </w:r>
      <w:r>
        <w:rPr>
          <w:rFonts w:hint="eastAsia" w:cs="宋体"/>
          <w:szCs w:val="24"/>
        </w:rPr>
        <w:t>承包人提供的施工设备和临时设施</w:t>
      </w:r>
    </w:p>
    <w:p>
      <w:pPr>
        <w:spacing w:line="360" w:lineRule="auto"/>
        <w:ind w:firstLine="480" w:firstLineChars="200"/>
        <w:rPr>
          <w:sz w:val="24"/>
          <w:szCs w:val="24"/>
        </w:rPr>
      </w:pPr>
      <w:r>
        <w:rPr>
          <w:rFonts w:hint="eastAsia"/>
          <w:sz w:val="24"/>
          <w:szCs w:val="24"/>
        </w:rPr>
        <w:t>承包人应按项目进度计划的要求，及时配置施工设备和修建临时设施。进入施工现场的承包人提供的施工设备需经工程师核查后才能投入使用。承包人更换合同约定由承包人提供的施工设备的，应报工程师批准。</w:t>
      </w:r>
    </w:p>
    <w:p>
      <w:pPr>
        <w:spacing w:line="360" w:lineRule="auto"/>
        <w:ind w:firstLine="480" w:firstLineChars="200"/>
        <w:rPr>
          <w:sz w:val="24"/>
          <w:szCs w:val="24"/>
        </w:rPr>
      </w:pPr>
      <w:r>
        <w:rPr>
          <w:rFonts w:hint="eastAsia"/>
          <w:sz w:val="24"/>
          <w:szCs w:val="24"/>
        </w:rPr>
        <w:t>除专用合同条件另有约定外，承包人应自行承担修建临时设施的费用，需要临时占地的，应由发包人办理申请手续并承担相应费用。承包人应在专用合同条件</w:t>
      </w:r>
      <w:r>
        <w:rPr>
          <w:sz w:val="24"/>
          <w:szCs w:val="24"/>
        </w:rPr>
        <w:t>7.2</w:t>
      </w:r>
      <w:r>
        <w:rPr>
          <w:rFonts w:hint="eastAsia"/>
          <w:sz w:val="24"/>
          <w:szCs w:val="24"/>
        </w:rPr>
        <w:t>款约定的时间内向发包人提交临时占地资料，因承包人未能按时提交资料，导致工期延误的，由此增加的费用和（或）竣工日期延误，由承包人负责。</w:t>
      </w:r>
    </w:p>
    <w:p>
      <w:pPr>
        <w:pStyle w:val="66"/>
        <w:spacing w:afterLines="0"/>
        <w:ind w:left="0" w:firstLine="480" w:firstLineChars="200"/>
        <w:rPr>
          <w:rFonts w:cs="宋体"/>
          <w:szCs w:val="24"/>
        </w:rPr>
      </w:pPr>
      <w:r>
        <w:rPr>
          <w:rFonts w:cs="宋体"/>
          <w:szCs w:val="24"/>
        </w:rPr>
        <w:t xml:space="preserve">7.2.2 </w:t>
      </w:r>
      <w:r>
        <w:rPr>
          <w:rFonts w:hint="eastAsia" w:cs="宋体"/>
          <w:szCs w:val="24"/>
        </w:rPr>
        <w:t>发包人提供的施工设备和临时设施</w:t>
      </w:r>
    </w:p>
    <w:p>
      <w:pPr>
        <w:spacing w:line="360" w:lineRule="auto"/>
        <w:ind w:firstLine="480" w:firstLineChars="200"/>
        <w:rPr>
          <w:sz w:val="24"/>
          <w:szCs w:val="24"/>
        </w:rPr>
      </w:pPr>
      <w:r>
        <w:rPr>
          <w:rFonts w:hint="eastAsia"/>
          <w:sz w:val="24"/>
          <w:szCs w:val="24"/>
        </w:rPr>
        <w:t>发包人提供的施工设备或临时设施在专用合同条件中约定。</w:t>
      </w:r>
    </w:p>
    <w:p>
      <w:pPr>
        <w:pStyle w:val="66"/>
        <w:spacing w:afterLines="0"/>
        <w:ind w:left="0" w:firstLine="480" w:firstLineChars="200"/>
        <w:rPr>
          <w:rFonts w:cs="宋体"/>
          <w:szCs w:val="24"/>
        </w:rPr>
      </w:pPr>
      <w:r>
        <w:rPr>
          <w:rFonts w:cs="宋体"/>
          <w:szCs w:val="24"/>
        </w:rPr>
        <w:t xml:space="preserve">7.2.3 </w:t>
      </w:r>
      <w:r>
        <w:rPr>
          <w:rFonts w:hint="eastAsia" w:cs="宋体"/>
          <w:szCs w:val="24"/>
        </w:rPr>
        <w:t>要求承包人增加或更换施工设备</w:t>
      </w:r>
    </w:p>
    <w:p>
      <w:pPr>
        <w:spacing w:line="360" w:lineRule="auto"/>
        <w:ind w:firstLine="480" w:firstLineChars="200"/>
        <w:rPr>
          <w:sz w:val="24"/>
          <w:szCs w:val="24"/>
        </w:rPr>
      </w:pPr>
      <w:r>
        <w:rPr>
          <w:rFonts w:hint="eastAsia"/>
          <w:sz w:val="24"/>
          <w:szCs w:val="24"/>
        </w:rPr>
        <w:t>承包人使用的施工设备不能满足项目进度计划和（或）质量要求时，工程师有权要求承包人增加或更换施工设备，承包人应及时增加或更换，由此增加的费用和（或）延误的工期由承包人承担。</w:t>
      </w:r>
    </w:p>
    <w:p>
      <w:pPr>
        <w:pStyle w:val="66"/>
        <w:spacing w:afterLines="0"/>
        <w:ind w:left="0" w:firstLine="480" w:firstLineChars="200"/>
        <w:rPr>
          <w:rFonts w:cs="宋体"/>
          <w:szCs w:val="24"/>
        </w:rPr>
      </w:pPr>
      <w:r>
        <w:rPr>
          <w:rFonts w:cs="宋体"/>
          <w:szCs w:val="24"/>
        </w:rPr>
        <w:t xml:space="preserve">7.2.4 </w:t>
      </w:r>
      <w:r>
        <w:rPr>
          <w:rFonts w:hint="eastAsia" w:cs="宋体"/>
          <w:szCs w:val="24"/>
        </w:rPr>
        <w:t>施工设备和临时设施专用于合同工程</w:t>
      </w:r>
    </w:p>
    <w:p>
      <w:pPr>
        <w:spacing w:line="360" w:lineRule="auto"/>
        <w:ind w:firstLine="480" w:firstLineChars="200"/>
        <w:rPr>
          <w:sz w:val="24"/>
          <w:szCs w:val="24"/>
        </w:rPr>
      </w:pPr>
      <w:r>
        <w:rPr>
          <w:rFonts w:hint="eastAsia"/>
          <w:sz w:val="24"/>
          <w:szCs w:val="24"/>
        </w:rPr>
        <w:t>承包人运入施工现场的施工设备以及在施工现场建设的临时设施必须专用于工程。未经发包人批准，承包人不得运出施工现场或挪作他用；经发包人批准，承包人可以根据施工进度计划撤走闲置的施工设备和其他物品。</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7.3 </w:t>
      </w:r>
      <w:r>
        <w:rPr>
          <w:rFonts w:hint="eastAsia" w:ascii="宋体" w:hAnsi="宋体" w:eastAsia="宋体" w:cs="宋体"/>
        </w:rPr>
        <w:t>现场合作</w:t>
      </w:r>
    </w:p>
    <w:p>
      <w:pPr>
        <w:spacing w:line="360" w:lineRule="auto"/>
        <w:ind w:firstLine="480" w:firstLineChars="200"/>
        <w:rPr>
          <w:sz w:val="24"/>
          <w:szCs w:val="24"/>
        </w:rPr>
      </w:pPr>
      <w:r>
        <w:rPr>
          <w:rFonts w:hint="eastAsia"/>
          <w:sz w:val="24"/>
          <w:szCs w:val="24"/>
        </w:rPr>
        <w:t>承包人应按合同约定或发包人的指示，与发包人人员、发包人的其他承包人等人员就在现场或附近实施与工程有关的各项工作进行合作并提供适当条件，包括使用承包人设备、临时工程或进入现场等。</w:t>
      </w:r>
    </w:p>
    <w:p>
      <w:pPr>
        <w:spacing w:line="360" w:lineRule="auto"/>
        <w:ind w:firstLine="480" w:firstLineChars="200"/>
        <w:rPr>
          <w:sz w:val="24"/>
          <w:szCs w:val="24"/>
        </w:rPr>
      </w:pPr>
      <w:r>
        <w:rPr>
          <w:rFonts w:hint="eastAsia"/>
          <w:sz w:val="24"/>
          <w:szCs w:val="24"/>
        </w:rPr>
        <w:t>承包人应对其在现场的施工活动负责，并应尽合理努力按合同约定或发包人的指示，协调自身与发包人人员、发包人的其他承包人等人员的活动。</w:t>
      </w:r>
    </w:p>
    <w:p>
      <w:pPr>
        <w:spacing w:line="360" w:lineRule="auto"/>
        <w:ind w:firstLine="480" w:firstLineChars="200"/>
        <w:rPr>
          <w:sz w:val="24"/>
          <w:szCs w:val="24"/>
        </w:rPr>
      </w:pPr>
      <w:r>
        <w:rPr>
          <w:rFonts w:hint="eastAsia"/>
          <w:sz w:val="24"/>
          <w:szCs w:val="24"/>
        </w:rPr>
        <w:t>除专用合同条件另有约定外，如果承包人提供上述合作、条件或协调在考虑到《发包人要求》所列内容的情况下是不可预见的，则承包人有权就额外费用和合理利润从发包人处获得支付，且因此延误的工期应相应顺延。</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7.4 </w:t>
      </w:r>
      <w:r>
        <w:rPr>
          <w:rFonts w:hint="eastAsia" w:ascii="宋体" w:hAnsi="宋体" w:eastAsia="宋体" w:cs="宋体"/>
        </w:rPr>
        <w:t>测量放线</w:t>
      </w:r>
    </w:p>
    <w:p>
      <w:pPr>
        <w:pStyle w:val="66"/>
        <w:spacing w:afterLines="0"/>
        <w:ind w:left="0" w:firstLine="480" w:firstLineChars="200"/>
        <w:rPr>
          <w:rFonts w:cs="宋体"/>
          <w:szCs w:val="24"/>
        </w:rPr>
      </w:pPr>
      <w:r>
        <w:rPr>
          <w:rFonts w:cs="宋体"/>
          <w:szCs w:val="24"/>
        </w:rPr>
        <w:t xml:space="preserve">7.4.1 </w:t>
      </w:r>
      <w:r>
        <w:rPr>
          <w:rFonts w:hint="eastAsia" w:cs="宋体"/>
          <w:szCs w:val="24"/>
        </w:rPr>
        <w:t>除专用合同条件另有约定外，承包人应根据国家测绘基准、测绘系统和工程测量技术规范，按基准点（线）以及合同工程精度要求，测设施工控制网，并在专用合同条件约定的期限内，将施工控制网资料报送工程师。</w:t>
      </w:r>
    </w:p>
    <w:p>
      <w:pPr>
        <w:pStyle w:val="66"/>
        <w:spacing w:afterLines="0"/>
        <w:ind w:left="0" w:firstLine="480" w:firstLineChars="200"/>
        <w:rPr>
          <w:rFonts w:cs="宋体"/>
          <w:szCs w:val="24"/>
        </w:rPr>
      </w:pPr>
      <w:r>
        <w:rPr>
          <w:rFonts w:cs="宋体"/>
          <w:szCs w:val="24"/>
        </w:rPr>
        <w:t xml:space="preserve">7.4.2 </w:t>
      </w:r>
      <w:r>
        <w:rPr>
          <w:rFonts w:hint="eastAsia" w:cs="宋体"/>
          <w:szCs w:val="24"/>
        </w:rPr>
        <w:t>承包人应负责管理施工控制网点。施工控制网点丢失或损坏的，承包人应及时修复。承包人应承担施工控制网点的管理与修复费用，并在工程竣工后将施工控制网点移交发包人。承包人负责对工程、单位</w:t>
      </w:r>
      <w:r>
        <w:rPr>
          <w:rFonts w:cs="宋体"/>
          <w:szCs w:val="24"/>
        </w:rPr>
        <w:t>/</w:t>
      </w:r>
      <w:r>
        <w:rPr>
          <w:rFonts w:hint="eastAsia" w:cs="宋体"/>
          <w:szCs w:val="24"/>
        </w:rPr>
        <w:t>区段工程、施工部位放线，并对放线的准确性负责。</w:t>
      </w:r>
    </w:p>
    <w:p>
      <w:pPr>
        <w:pStyle w:val="66"/>
        <w:spacing w:afterLines="0"/>
        <w:ind w:left="0" w:firstLine="480" w:firstLineChars="200"/>
        <w:rPr>
          <w:rFonts w:cs="宋体"/>
          <w:szCs w:val="24"/>
        </w:rPr>
      </w:pPr>
      <w:r>
        <w:rPr>
          <w:rFonts w:cs="宋体"/>
          <w:szCs w:val="24"/>
        </w:rPr>
        <w:t xml:space="preserve">7.4.3 </w:t>
      </w:r>
      <w:r>
        <w:rPr>
          <w:rFonts w:hint="eastAsia" w:cs="宋体"/>
          <w:szCs w:val="24"/>
        </w:rPr>
        <w:t>承包人负责施工过程中的全部施工测量放线工作，并配置具有相应资质的人员、合格的仪器、设备和其他物品。承包人应矫正工程的位置、标高、尺寸或基准线中出现的任何差错，并对工程各部分的定位负责。施工过程中对施工现场内水准点等测量标志物的保护工作由承包人负责。</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7.5 </w:t>
      </w:r>
      <w:r>
        <w:rPr>
          <w:rFonts w:hint="eastAsia" w:ascii="宋体" w:hAnsi="宋体" w:eastAsia="宋体" w:cs="宋体"/>
        </w:rPr>
        <w:t>现场劳动用工</w:t>
      </w:r>
    </w:p>
    <w:p>
      <w:pPr>
        <w:pStyle w:val="66"/>
        <w:spacing w:afterLines="0"/>
        <w:ind w:left="0" w:firstLine="480" w:firstLineChars="200"/>
        <w:rPr>
          <w:rFonts w:cs="宋体"/>
          <w:szCs w:val="24"/>
        </w:rPr>
      </w:pPr>
      <w:r>
        <w:rPr>
          <w:rFonts w:cs="宋体"/>
          <w:szCs w:val="24"/>
        </w:rPr>
        <w:t xml:space="preserve">7.5.1 </w:t>
      </w:r>
      <w:r>
        <w:rPr>
          <w:rFonts w:hint="eastAsia" w:cs="宋体"/>
          <w:szCs w:val="24"/>
        </w:rPr>
        <w:t>承包人及其分包人招用建筑工人的，应当依法与所招用的建筑工人订立劳动合同，实行建筑工人劳动用工实名制管理，承包人应当按照有关规定开设建筑工人工资专用账户、存储工资保证金，专项用于支付和保障该工程建设项目建筑工人工资。</w:t>
      </w:r>
    </w:p>
    <w:p>
      <w:pPr>
        <w:pStyle w:val="66"/>
        <w:spacing w:afterLines="0"/>
        <w:ind w:left="0" w:firstLine="480" w:firstLineChars="200"/>
        <w:rPr>
          <w:rFonts w:cs="宋体"/>
          <w:szCs w:val="24"/>
        </w:rPr>
      </w:pPr>
      <w:r>
        <w:rPr>
          <w:rFonts w:cs="宋体"/>
          <w:szCs w:val="24"/>
        </w:rPr>
        <w:t xml:space="preserve">7.5.2 </w:t>
      </w:r>
      <w:r>
        <w:rPr>
          <w:rFonts w:hint="eastAsia" w:cs="宋体"/>
          <w:szCs w:val="24"/>
        </w:rPr>
        <w:t>承包人应当在工程项目部配备劳资专管员，对分包单位劳动用工及工资发放实施监督管理。承包人拖欠建筑工人工资的</w:t>
      </w:r>
      <w:r>
        <w:rPr>
          <w:rFonts w:cs="宋体"/>
          <w:szCs w:val="24"/>
        </w:rPr>
        <w:t>,</w:t>
      </w:r>
      <w:r>
        <w:rPr>
          <w:rFonts w:hint="eastAsia" w:cs="宋体"/>
          <w:szCs w:val="24"/>
        </w:rPr>
        <w:t>应当依法予以清偿。分包人拖欠建筑工人工资的</w:t>
      </w:r>
      <w:r>
        <w:rPr>
          <w:rFonts w:cs="宋体"/>
          <w:szCs w:val="24"/>
        </w:rPr>
        <w:t>,</w:t>
      </w:r>
      <w:r>
        <w:rPr>
          <w:rFonts w:hint="eastAsia" w:cs="宋体"/>
          <w:szCs w:val="24"/>
        </w:rPr>
        <w:t>由承包人先行清偿</w:t>
      </w:r>
      <w:r>
        <w:rPr>
          <w:rFonts w:cs="宋体"/>
          <w:szCs w:val="24"/>
        </w:rPr>
        <w:t>,</w:t>
      </w:r>
      <w:r>
        <w:rPr>
          <w:rFonts w:hint="eastAsia" w:cs="宋体"/>
          <w:szCs w:val="24"/>
        </w:rPr>
        <w:t>再依法进行追偿。因发包人未按照合同约定及时拨付工程款导致建筑工人工资拖欠的，发包人应当以未结清的工程款为限先行垫付被拖欠的建筑工人工资。合同当事人可在专用合同条件中约定具体的清偿事宜和违约责任。</w:t>
      </w:r>
    </w:p>
    <w:p>
      <w:pPr>
        <w:pStyle w:val="66"/>
        <w:spacing w:afterLines="0"/>
        <w:ind w:left="0" w:firstLine="480" w:firstLineChars="200"/>
        <w:rPr>
          <w:rFonts w:cs="宋体"/>
          <w:szCs w:val="24"/>
        </w:rPr>
      </w:pPr>
      <w:r>
        <w:rPr>
          <w:rFonts w:cs="宋体"/>
          <w:szCs w:val="24"/>
        </w:rPr>
        <w:t xml:space="preserve">7.5.3 </w:t>
      </w:r>
      <w:r>
        <w:rPr>
          <w:rFonts w:hint="eastAsia" w:cs="宋体"/>
          <w:szCs w:val="24"/>
        </w:rPr>
        <w:t>承包人应当按照相关法律法规的要求，进行劳动用工管理和建筑工人工资支付。</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7.6 </w:t>
      </w:r>
      <w:r>
        <w:rPr>
          <w:rFonts w:hint="eastAsia" w:ascii="宋体" w:hAnsi="宋体" w:eastAsia="宋体" w:cs="宋体"/>
        </w:rPr>
        <w:t>安全文明施工</w:t>
      </w:r>
    </w:p>
    <w:p>
      <w:pPr>
        <w:pStyle w:val="66"/>
        <w:spacing w:afterLines="0"/>
        <w:ind w:left="0" w:firstLine="480" w:firstLineChars="200"/>
        <w:rPr>
          <w:rFonts w:cs="宋体"/>
          <w:szCs w:val="24"/>
        </w:rPr>
      </w:pPr>
      <w:r>
        <w:rPr>
          <w:rFonts w:cs="宋体"/>
          <w:szCs w:val="24"/>
        </w:rPr>
        <w:t xml:space="preserve">7.6.1 </w:t>
      </w:r>
      <w:r>
        <w:rPr>
          <w:rFonts w:hint="eastAsia" w:cs="宋体"/>
          <w:szCs w:val="24"/>
        </w:rPr>
        <w:t>安全生产要求</w:t>
      </w:r>
    </w:p>
    <w:p>
      <w:pPr>
        <w:spacing w:line="360" w:lineRule="auto"/>
        <w:ind w:firstLine="480" w:firstLineChars="200"/>
        <w:rPr>
          <w:sz w:val="24"/>
          <w:szCs w:val="24"/>
        </w:rPr>
      </w:pPr>
      <w:r>
        <w:rPr>
          <w:rFonts w:hint="eastAsia"/>
          <w:sz w:val="24"/>
          <w:szCs w:val="24"/>
        </w:rPr>
        <w:t>合同履行期间，合同当事人均应当遵守国家和工程所在地有关安全生产的要求，合同当事人有特别要求的，应在专用合同条件中明确安全生产标准化目标及相应事项。承包人有权拒绝发包人及工程师强令承包人违章作业、冒险施工的任何指示。</w:t>
      </w:r>
    </w:p>
    <w:p>
      <w:pPr>
        <w:spacing w:line="360" w:lineRule="auto"/>
        <w:ind w:firstLine="480" w:firstLineChars="200"/>
        <w:rPr>
          <w:sz w:val="24"/>
          <w:szCs w:val="24"/>
        </w:rPr>
      </w:pPr>
      <w:r>
        <w:rPr>
          <w:rFonts w:hint="eastAsia"/>
          <w:sz w:val="24"/>
          <w:szCs w:val="24"/>
        </w:rPr>
        <w:t>在工程实施过程中，如遇到突发的地质变动、事先未知的地下施工障碍等影响施工安全的紧急情况，承包人应及时报告工程师和发包人，发包人应当及时下令停工并采取应急措施，按照相关法律法规的要求需上报政府有关行政管理部门的，应依法上报。</w:t>
      </w:r>
    </w:p>
    <w:p>
      <w:pPr>
        <w:spacing w:line="360" w:lineRule="auto"/>
        <w:ind w:firstLine="480" w:firstLineChars="200"/>
        <w:rPr>
          <w:sz w:val="24"/>
          <w:szCs w:val="24"/>
        </w:rPr>
      </w:pPr>
      <w:r>
        <w:rPr>
          <w:rFonts w:hint="eastAsia"/>
          <w:sz w:val="24"/>
          <w:szCs w:val="24"/>
        </w:rPr>
        <w:t>因安全生产需要暂停施工的，按照第</w:t>
      </w:r>
      <w:r>
        <w:rPr>
          <w:sz w:val="24"/>
          <w:szCs w:val="24"/>
        </w:rPr>
        <w:t>8.9</w:t>
      </w:r>
      <w:r>
        <w:rPr>
          <w:rFonts w:hint="eastAsia"/>
          <w:sz w:val="24"/>
          <w:szCs w:val="24"/>
        </w:rPr>
        <w:t>款</w:t>
      </w:r>
      <w:r>
        <w:rPr>
          <w:sz w:val="24"/>
          <w:szCs w:val="24"/>
        </w:rPr>
        <w:t>[</w:t>
      </w:r>
      <w:r>
        <w:rPr>
          <w:rFonts w:hint="eastAsia"/>
          <w:sz w:val="24"/>
          <w:szCs w:val="24"/>
        </w:rPr>
        <w:t>暂停工作</w:t>
      </w:r>
      <w:r>
        <w:rPr>
          <w:sz w:val="24"/>
          <w:szCs w:val="24"/>
        </w:rPr>
        <w:t>]</w:t>
      </w:r>
      <w:r>
        <w:rPr>
          <w:rFonts w:hint="eastAsia"/>
          <w:sz w:val="24"/>
          <w:szCs w:val="24"/>
        </w:rPr>
        <w:t>的约定执行。</w:t>
      </w:r>
    </w:p>
    <w:p>
      <w:pPr>
        <w:pStyle w:val="66"/>
        <w:spacing w:afterLines="0"/>
        <w:ind w:left="0" w:firstLine="480" w:firstLineChars="200"/>
        <w:rPr>
          <w:rFonts w:cs="宋体"/>
          <w:szCs w:val="24"/>
        </w:rPr>
      </w:pPr>
      <w:r>
        <w:rPr>
          <w:rFonts w:cs="宋体"/>
          <w:szCs w:val="24"/>
        </w:rPr>
        <w:t xml:space="preserve">7.6.2 </w:t>
      </w:r>
      <w:r>
        <w:rPr>
          <w:rFonts w:hint="eastAsia" w:cs="宋体"/>
          <w:szCs w:val="24"/>
        </w:rPr>
        <w:t>安全生产保证措施</w:t>
      </w:r>
    </w:p>
    <w:p>
      <w:pPr>
        <w:spacing w:line="360" w:lineRule="auto"/>
        <w:ind w:firstLine="480" w:firstLineChars="200"/>
        <w:rPr>
          <w:sz w:val="24"/>
          <w:szCs w:val="24"/>
        </w:rPr>
      </w:pPr>
      <w:r>
        <w:rPr>
          <w:rFonts w:hint="eastAsia"/>
          <w:sz w:val="24"/>
          <w:szCs w:val="24"/>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line="360" w:lineRule="auto"/>
        <w:ind w:firstLine="480" w:firstLineChars="200"/>
        <w:rPr>
          <w:sz w:val="24"/>
          <w:szCs w:val="24"/>
        </w:rPr>
      </w:pPr>
      <w:r>
        <w:rPr>
          <w:rFonts w:hint="eastAsia"/>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工程师及政府安全监督部门的检查与监督。</w:t>
      </w:r>
    </w:p>
    <w:p>
      <w:pPr>
        <w:spacing w:line="360" w:lineRule="auto"/>
        <w:ind w:firstLine="480" w:firstLineChars="200"/>
        <w:rPr>
          <w:sz w:val="24"/>
          <w:szCs w:val="24"/>
        </w:rPr>
      </w:pPr>
      <w:r>
        <w:rPr>
          <w:rFonts w:hint="eastAsia"/>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承包人应加强施工作业安全管理，特别应加强对于易燃、易爆材料、火工器材、有毒与腐蚀性材料和其他危险品的管理，以及对爆破作业和地下工程施工等危险作业的管理。</w:t>
      </w:r>
    </w:p>
    <w:p>
      <w:pPr>
        <w:pStyle w:val="66"/>
        <w:spacing w:afterLines="0"/>
        <w:ind w:left="0" w:firstLine="480" w:firstLineChars="200"/>
        <w:rPr>
          <w:rFonts w:cs="宋体"/>
          <w:szCs w:val="24"/>
        </w:rPr>
      </w:pPr>
      <w:r>
        <w:rPr>
          <w:rFonts w:cs="宋体"/>
          <w:szCs w:val="24"/>
        </w:rPr>
        <w:t xml:space="preserve">7.6.3 </w:t>
      </w:r>
      <w:r>
        <w:rPr>
          <w:rFonts w:hint="eastAsia" w:cs="宋体"/>
          <w:szCs w:val="24"/>
        </w:rPr>
        <w:t>文明施工</w:t>
      </w:r>
    </w:p>
    <w:p>
      <w:pPr>
        <w:spacing w:line="360" w:lineRule="auto"/>
        <w:ind w:firstLine="480" w:firstLineChars="200"/>
        <w:rPr>
          <w:sz w:val="24"/>
          <w:szCs w:val="24"/>
        </w:rPr>
      </w:pPr>
      <w:r>
        <w:rPr>
          <w:rFonts w:hint="eastAsia"/>
          <w:sz w:val="24"/>
          <w:szCs w:val="24"/>
        </w:rPr>
        <w:t>承包人在工程施工期间，应当采取措施保持施工现场平整，物料堆放整齐。工程所在地有关政府行政管理部门有特殊要求的，按照其要求执行。合同当事人对文明施工有其他要求的，可以在专用合同条件中明确。</w:t>
      </w:r>
    </w:p>
    <w:p>
      <w:pPr>
        <w:spacing w:line="360" w:lineRule="auto"/>
        <w:ind w:firstLine="480" w:firstLineChars="200"/>
        <w:rPr>
          <w:sz w:val="24"/>
          <w:szCs w:val="24"/>
        </w:rPr>
      </w:pPr>
      <w:r>
        <w:rPr>
          <w:rFonts w:hint="eastAsia"/>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pStyle w:val="66"/>
        <w:spacing w:afterLines="0"/>
        <w:ind w:left="0" w:firstLine="480" w:firstLineChars="200"/>
        <w:rPr>
          <w:rFonts w:cs="宋体"/>
          <w:szCs w:val="24"/>
        </w:rPr>
      </w:pPr>
      <w:r>
        <w:rPr>
          <w:rFonts w:cs="宋体"/>
          <w:szCs w:val="24"/>
        </w:rPr>
        <w:t xml:space="preserve">7.6.4 </w:t>
      </w:r>
      <w:r>
        <w:rPr>
          <w:rFonts w:hint="eastAsia" w:cs="宋体"/>
          <w:szCs w:val="24"/>
        </w:rPr>
        <w:t>事故处理</w:t>
      </w:r>
    </w:p>
    <w:p>
      <w:pPr>
        <w:spacing w:line="360" w:lineRule="auto"/>
        <w:ind w:firstLine="480" w:firstLineChars="200"/>
        <w:rPr>
          <w:sz w:val="24"/>
          <w:szCs w:val="24"/>
        </w:rPr>
      </w:pPr>
      <w:r>
        <w:rPr>
          <w:rFonts w:hint="eastAsia"/>
          <w:sz w:val="24"/>
          <w:szCs w:val="24"/>
        </w:rPr>
        <w:t>工程实施过程中发生事故的，承包人应立即通知工程师。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spacing w:line="360" w:lineRule="auto"/>
        <w:ind w:firstLine="480" w:firstLineChars="200"/>
        <w:rPr>
          <w:sz w:val="24"/>
          <w:szCs w:val="24"/>
        </w:rPr>
      </w:pPr>
      <w:r>
        <w:rPr>
          <w:rFonts w:hint="eastAsia"/>
          <w:sz w:val="24"/>
          <w:szCs w:val="24"/>
        </w:rPr>
        <w:t>在工程实施期间或缺陷责任期内发生危及工程安全的事件，工程师通知承包人进行抢救和抢修，承包人声明无能力或不愿立即执行的，发包人有权雇佣其他人员进行抢救和抢修。此类抢救和抢修按合同约定属于承包人义务的，由此增加的费用和（或）延误的工期由承包人承担。</w:t>
      </w:r>
    </w:p>
    <w:p>
      <w:pPr>
        <w:pStyle w:val="66"/>
        <w:spacing w:afterLines="0"/>
        <w:ind w:left="0" w:firstLine="480" w:firstLineChars="200"/>
        <w:rPr>
          <w:rFonts w:cs="宋体"/>
          <w:szCs w:val="24"/>
        </w:rPr>
      </w:pPr>
      <w:r>
        <w:rPr>
          <w:rFonts w:cs="宋体"/>
          <w:szCs w:val="24"/>
        </w:rPr>
        <w:t xml:space="preserve">7.6.5 </w:t>
      </w:r>
      <w:r>
        <w:rPr>
          <w:rFonts w:hint="eastAsia" w:cs="宋体"/>
          <w:szCs w:val="24"/>
        </w:rPr>
        <w:t>安全生产责任</w:t>
      </w:r>
    </w:p>
    <w:p>
      <w:pPr>
        <w:spacing w:line="360" w:lineRule="auto"/>
        <w:ind w:firstLine="480" w:firstLineChars="200"/>
        <w:rPr>
          <w:sz w:val="24"/>
          <w:szCs w:val="24"/>
        </w:rPr>
      </w:pPr>
      <w:r>
        <w:rPr>
          <w:rFonts w:hint="eastAsia"/>
          <w:sz w:val="24"/>
          <w:szCs w:val="24"/>
        </w:rPr>
        <w:t>发包人应负责赔偿以下各种情况造成的损失：</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工程或工程的任何部分对土地的占用所造成的第三者财产损失；</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由于发包人原因在施工现场及其毗邻地带、履行合同工作中造成的第三者人身伤亡和财产损失；</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由于发包人原因对发包人自身、承包人、工程师造成的人身伤害和财产损失。</w:t>
      </w:r>
    </w:p>
    <w:p>
      <w:pPr>
        <w:spacing w:line="360" w:lineRule="auto"/>
        <w:ind w:firstLine="480" w:firstLineChars="200"/>
        <w:rPr>
          <w:sz w:val="24"/>
          <w:szCs w:val="24"/>
        </w:rPr>
      </w:pPr>
      <w:r>
        <w:rPr>
          <w:rFonts w:hint="eastAsia"/>
          <w:sz w:val="24"/>
          <w:szCs w:val="24"/>
        </w:rPr>
        <w:t>承包人应负责赔偿由于承包人原因在施工现场及其毗邻地带、履行合同工作中造成的第三者人身伤亡和财产损失。</w:t>
      </w:r>
    </w:p>
    <w:p>
      <w:pPr>
        <w:spacing w:line="360" w:lineRule="auto"/>
        <w:ind w:firstLine="480" w:firstLineChars="200"/>
        <w:rPr>
          <w:sz w:val="24"/>
          <w:szCs w:val="24"/>
        </w:rPr>
      </w:pPr>
      <w:r>
        <w:rPr>
          <w:rFonts w:hint="eastAsia"/>
          <w:sz w:val="24"/>
          <w:szCs w:val="24"/>
        </w:rPr>
        <w:t>如果上述损失是由于发包人和承包人共同原因导致的，则双方应根据过错情况按比例承担。</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7.7 </w:t>
      </w:r>
      <w:r>
        <w:rPr>
          <w:rFonts w:hint="eastAsia" w:ascii="宋体" w:hAnsi="宋体" w:eastAsia="宋体" w:cs="宋体"/>
        </w:rPr>
        <w:t>职业健康</w:t>
      </w:r>
    </w:p>
    <w:p>
      <w:pPr>
        <w:spacing w:line="360" w:lineRule="auto"/>
        <w:ind w:firstLine="480" w:firstLineChars="200"/>
        <w:rPr>
          <w:sz w:val="24"/>
          <w:szCs w:val="24"/>
        </w:rPr>
      </w:pPr>
      <w:r>
        <w:rPr>
          <w:rFonts w:hint="eastAsia"/>
          <w:sz w:val="24"/>
          <w:szCs w:val="24"/>
        </w:rPr>
        <w:t>承包人应遵守适用的职业健康的法律和合同约定（包括对雇用、职业健康、安全、福利等方面的规定），负责现场实施过程中其人员的职业健康和保护，包括：</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应遵守适用的劳动法规，保护承包人员工及承包人聘用的第三方人员的合法休假权等合法权益，按照法律规定安排现场施工人员的劳动和休息时间，保障劳动者的休息时间，并支付合理的报酬和费用。因工程施工的特殊需要占用休假日或延长工作时间的，应不超过法律规定的限度，并按法律规定给予补休或酬劳。</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应依法为承包人员工及承包人聘用的第三方人员办理必要的证件、许可、保险和注册等，承包人应督促其分包人为分包人员工及分包人聘用的第三方人员办理必要的证件、许可、保险和注册等。承包人应为其履行合同所雇用的人员提供必要的膳宿条件和生活环境，必要的现场食宿条件。</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承包人应对其施工人员进行相关作业的职业健康知识培训、危险及危害因素交底、安全操作规程交底、采取有效措施，按有关规定为其现场人员提供劳动保护用品、防护器具、防暑降温用品和安全生产设施。采取有效的防止粉尘、降低噪声、控制有害气体和保障高温、高寒、高空作业安全等劳动保护措施。</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承包人应在有毒有害作业区域设置警示标志和说明，对有毒有害岗位进行防治检查，对不合格的防护设施、器具、搭设等及时整改，消除危害职业健康的隐患。发包人人员和工程师人员未经承包人允许、未配备相关保护器具，进入该作业区域所造成的伤害，由发包人承担责任和费用。</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承包人应采取有效措施预防传染病，保持食堂的饮食卫生，保证施工人员的健康，并定期对施工现场、施工人员生活基地和工程进行防疫和卫生的专业检查和处理</w:t>
      </w:r>
      <w:r>
        <w:rPr>
          <w:sz w:val="24"/>
          <w:szCs w:val="24"/>
        </w:rPr>
        <w:t xml:space="preserve">, </w:t>
      </w:r>
      <w:r>
        <w:rPr>
          <w:rFonts w:hint="eastAsia"/>
          <w:sz w:val="24"/>
          <w:szCs w:val="24"/>
        </w:rPr>
        <w:t>在远离城镇的施工现场，还应配备必要的伤病防治和急救的医务人员与医疗设施。承包人雇佣人员在施工中受到伤害的，承包人应立即采取有效措施进行抢救和治疗。</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7.8 </w:t>
      </w:r>
      <w:r>
        <w:rPr>
          <w:rFonts w:hint="eastAsia" w:ascii="宋体" w:hAnsi="宋体" w:eastAsia="宋体" w:cs="宋体"/>
        </w:rPr>
        <w:t>环境保护</w:t>
      </w:r>
    </w:p>
    <w:p>
      <w:pPr>
        <w:pStyle w:val="66"/>
        <w:spacing w:afterLines="0"/>
        <w:ind w:left="0" w:firstLine="480" w:firstLineChars="200"/>
        <w:rPr>
          <w:rFonts w:cs="宋体"/>
          <w:szCs w:val="24"/>
        </w:rPr>
      </w:pPr>
      <w:r>
        <w:rPr>
          <w:rFonts w:cs="宋体"/>
          <w:szCs w:val="24"/>
        </w:rPr>
        <w:t xml:space="preserve">7.8.1 </w:t>
      </w:r>
      <w:r>
        <w:rPr>
          <w:rFonts w:hint="eastAsia" w:cs="宋体"/>
          <w:szCs w:val="24"/>
        </w:rPr>
        <w:t>承包人负责在现场施工过程中对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如承包人已及时通知发包人，发包人未能及时作出指示的，所造成的损害、损失、赔偿等费用增加，和（或）竣工日期延误，由发包人负责。</w:t>
      </w:r>
    </w:p>
    <w:p>
      <w:pPr>
        <w:pStyle w:val="66"/>
        <w:spacing w:afterLines="0"/>
        <w:ind w:left="0" w:firstLine="480" w:firstLineChars="200"/>
        <w:rPr>
          <w:rFonts w:cs="宋体"/>
          <w:szCs w:val="24"/>
        </w:rPr>
      </w:pPr>
      <w:r>
        <w:rPr>
          <w:rFonts w:cs="宋体"/>
          <w:szCs w:val="24"/>
        </w:rPr>
        <w:t xml:space="preserve">7.8.2 </w:t>
      </w:r>
      <w:r>
        <w:rPr>
          <w:rFonts w:hint="eastAsia" w:cs="宋体"/>
          <w:szCs w:val="24"/>
        </w:rPr>
        <w:t>承包人应采取措施，并负责控制和（或）处理现场的粉尘、废气、废水、固体废物和噪声对环境的污染和危害。因此发生的伤害、赔偿、罚款等费用增加，和（或）竣工日期延误，由承包人负责。</w:t>
      </w:r>
    </w:p>
    <w:p>
      <w:pPr>
        <w:pStyle w:val="66"/>
        <w:spacing w:afterLines="0"/>
        <w:ind w:left="0" w:firstLine="480" w:firstLineChars="200"/>
        <w:rPr>
          <w:rFonts w:cs="宋体"/>
          <w:szCs w:val="24"/>
        </w:rPr>
      </w:pPr>
      <w:r>
        <w:rPr>
          <w:rFonts w:cs="宋体"/>
          <w:szCs w:val="24"/>
        </w:rPr>
        <w:t xml:space="preserve">7.8.3 </w:t>
      </w:r>
      <w:r>
        <w:rPr>
          <w:rFonts w:hint="eastAsia" w:cs="宋体"/>
          <w:szCs w:val="24"/>
        </w:rPr>
        <w:t>承包人及时或定期将施工现场残留、废弃的垃圾分类后运到发包人或当地有关行政部门指定的地点，防止对周围环境的污染及对作业的影响。承包人应当承担因其原因引起的环境污染侵权损害赔偿责任，因违反上述约定导致当地行政部门的罚款、赔偿等增加的费用，由承包人承担；因上述环境污染引起纠纷而导致暂停施工的，由此增加的费用和（或）延误的工期由承包人承担。</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7.9 </w:t>
      </w:r>
      <w:r>
        <w:rPr>
          <w:rFonts w:hint="eastAsia" w:ascii="宋体" w:hAnsi="宋体" w:eastAsia="宋体" w:cs="宋体"/>
        </w:rPr>
        <w:t>临时性公用设施</w:t>
      </w:r>
      <w:r>
        <w:rPr>
          <w:rFonts w:ascii="宋体" w:hAnsi="宋体" w:eastAsia="宋体" w:cs="宋体"/>
        </w:rPr>
        <w:t xml:space="preserve"> </w:t>
      </w:r>
    </w:p>
    <w:p>
      <w:pPr>
        <w:pStyle w:val="66"/>
        <w:spacing w:afterLines="0"/>
        <w:ind w:left="0" w:firstLine="480" w:firstLineChars="200"/>
        <w:rPr>
          <w:rFonts w:cs="宋体"/>
          <w:szCs w:val="24"/>
        </w:rPr>
      </w:pPr>
      <w:r>
        <w:rPr>
          <w:rFonts w:cs="宋体"/>
          <w:szCs w:val="24"/>
        </w:rPr>
        <w:t xml:space="preserve">7.9.1 </w:t>
      </w:r>
      <w:r>
        <w:rPr>
          <w:rFonts w:hint="eastAsia" w:cs="宋体"/>
          <w:szCs w:val="24"/>
        </w:rPr>
        <w:t>提供临时用水、用电等和节点铺设</w:t>
      </w:r>
    </w:p>
    <w:p>
      <w:pPr>
        <w:spacing w:line="360" w:lineRule="auto"/>
        <w:ind w:firstLine="480" w:firstLineChars="200"/>
        <w:rPr>
          <w:sz w:val="24"/>
          <w:szCs w:val="24"/>
        </w:rPr>
      </w:pPr>
      <w:r>
        <w:rPr>
          <w:rFonts w:hint="eastAsia"/>
          <w:sz w:val="24"/>
          <w:szCs w:val="24"/>
        </w:rPr>
        <w:t>除专用合同条件另有约定外，发包人应在承包人进场前将施工临时用水、用电等接至约定的节点位置，并保证其需要。上述临时使用的水、电等的类别、取费单价在专用合同条件中约定，发包人按实际计量结果收费。发包人无法提供的水、电等在专用合同条件中约定，相关费用由承包人纳入报价并承担相关责任。</w:t>
      </w:r>
    </w:p>
    <w:p>
      <w:pPr>
        <w:spacing w:line="360" w:lineRule="auto"/>
        <w:ind w:firstLine="480" w:firstLineChars="200"/>
        <w:rPr>
          <w:sz w:val="24"/>
          <w:szCs w:val="24"/>
        </w:rPr>
      </w:pPr>
      <w:r>
        <w:rPr>
          <w:rFonts w:hint="eastAsia"/>
          <w:sz w:val="24"/>
          <w:szCs w:val="24"/>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pPr>
        <w:pStyle w:val="66"/>
        <w:spacing w:afterLines="0"/>
        <w:ind w:left="0" w:firstLine="480" w:firstLineChars="200"/>
        <w:rPr>
          <w:rFonts w:cs="宋体"/>
          <w:szCs w:val="24"/>
        </w:rPr>
      </w:pPr>
      <w:r>
        <w:rPr>
          <w:rFonts w:cs="宋体"/>
          <w:szCs w:val="24"/>
        </w:rPr>
        <w:t xml:space="preserve">7.9.2 </w:t>
      </w:r>
      <w:r>
        <w:rPr>
          <w:rFonts w:hint="eastAsia" w:cs="宋体"/>
          <w:szCs w:val="24"/>
        </w:rPr>
        <w:t>临时用水、用电等</w:t>
      </w:r>
    </w:p>
    <w:p>
      <w:pPr>
        <w:spacing w:line="360" w:lineRule="auto"/>
        <w:ind w:firstLine="480" w:firstLineChars="200"/>
        <w:rPr>
          <w:sz w:val="24"/>
          <w:szCs w:val="24"/>
        </w:rPr>
      </w:pPr>
      <w:r>
        <w:rPr>
          <w:rFonts w:hint="eastAsia"/>
          <w:sz w:val="24"/>
          <w:szCs w:val="24"/>
        </w:rPr>
        <w:t>承包人应在计划开始现场施工日期</w:t>
      </w:r>
      <w:r>
        <w:rPr>
          <w:sz w:val="24"/>
          <w:szCs w:val="24"/>
        </w:rPr>
        <w:t>28</w:t>
      </w:r>
      <w:r>
        <w:rPr>
          <w:rFonts w:hint="eastAsia"/>
          <w:sz w:val="24"/>
          <w:szCs w:val="24"/>
        </w:rPr>
        <w:t>天前或双方约定的其它时间，按专用合同条件中约定的发包人能够提供的临时用水、用电等类别，向发包人提交施工（含工程物资保管）所需的临时用水、用电等的品质、正常用量、高峰用量、使用时间和节点位置等资料。承包人自费负责计量仪器的购买、安装和维护，并依据专用合同条件中约定的单价向发包人交费，合同当事人另有约定时除外。</w:t>
      </w:r>
    </w:p>
    <w:p>
      <w:pPr>
        <w:spacing w:line="360" w:lineRule="auto"/>
        <w:ind w:firstLine="480" w:firstLineChars="200"/>
        <w:rPr>
          <w:sz w:val="24"/>
          <w:szCs w:val="24"/>
        </w:rPr>
      </w:pPr>
      <w:r>
        <w:rPr>
          <w:rFonts w:hint="eastAsia"/>
          <w:sz w:val="24"/>
          <w:szCs w:val="24"/>
        </w:rPr>
        <w:t>因承包人未能按合同约定提交上述资料，造成发包人费用增加和竣工日期延误时，由承包人负责。</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7.10 </w:t>
      </w:r>
      <w:r>
        <w:rPr>
          <w:rFonts w:hint="eastAsia" w:ascii="宋体" w:hAnsi="宋体" w:eastAsia="宋体" w:cs="宋体"/>
        </w:rPr>
        <w:t>现场安保</w:t>
      </w:r>
    </w:p>
    <w:p>
      <w:pPr>
        <w:spacing w:line="360" w:lineRule="auto"/>
        <w:ind w:firstLine="480" w:firstLineChars="200"/>
        <w:rPr>
          <w:sz w:val="24"/>
          <w:szCs w:val="24"/>
        </w:rPr>
      </w:pPr>
      <w:r>
        <w:rPr>
          <w:rFonts w:hint="eastAsia"/>
          <w:sz w:val="24"/>
          <w:szCs w:val="24"/>
        </w:rPr>
        <w:t>承包人承担自发包人向其移交施工现场、进入占有施工现场至发包人接收单位</w:t>
      </w:r>
      <w:r>
        <w:rPr>
          <w:sz w:val="24"/>
          <w:szCs w:val="24"/>
        </w:rPr>
        <w:t>/</w:t>
      </w:r>
      <w:r>
        <w:rPr>
          <w:rFonts w:hint="eastAsia"/>
          <w:sz w:val="24"/>
          <w:szCs w:val="24"/>
        </w:rPr>
        <w:t>区段工程或（和）工程之前的现场安保责任，并负责编制相关的安保制度、责任制度和报告制度，提交给发包人。除专用合同条件另有约定外，承包人的该等义务不因其与他人共同合法占有施工现场而减免。承包人有权要求发包人负责协调他人就共同合法占有现场的安保事宜接受承包人的管理。</w:t>
      </w:r>
    </w:p>
    <w:p>
      <w:pPr>
        <w:spacing w:line="360" w:lineRule="auto"/>
        <w:ind w:firstLine="480" w:firstLineChars="200"/>
        <w:rPr>
          <w:sz w:val="24"/>
          <w:szCs w:val="24"/>
        </w:rPr>
      </w:pPr>
      <w:r>
        <w:rPr>
          <w:rFonts w:hint="eastAsia"/>
          <w:sz w:val="24"/>
          <w:szCs w:val="24"/>
        </w:rPr>
        <w:t>承包人应将其作业限制在现场区域、合同约定的区域或为履行合同所需的区域内。承包人应采取一切必要的预防措施，以保持承包人的设备和人员处于现场区域内，避免其进入邻近地区。</w:t>
      </w:r>
    </w:p>
    <w:p>
      <w:pPr>
        <w:spacing w:line="360" w:lineRule="auto"/>
        <w:ind w:firstLine="480" w:firstLineChars="200"/>
        <w:rPr>
          <w:sz w:val="24"/>
          <w:szCs w:val="24"/>
        </w:rPr>
      </w:pPr>
      <w:r>
        <w:rPr>
          <w:rFonts w:hint="eastAsia"/>
          <w:sz w:val="24"/>
          <w:szCs w:val="24"/>
        </w:rPr>
        <w:t>承包人为履行合同义务而占用的其他场所（如预制加工场所、办公及生活营区）</w:t>
      </w:r>
      <w:r>
        <w:rPr>
          <w:sz w:val="24"/>
          <w:szCs w:val="24"/>
        </w:rPr>
        <w:t xml:space="preserve"> </w:t>
      </w:r>
      <w:r>
        <w:rPr>
          <w:rFonts w:hint="eastAsia"/>
          <w:sz w:val="24"/>
          <w:szCs w:val="24"/>
        </w:rPr>
        <w:t>的安保适用本款前述关于现场安保的规定。</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7.11 </w:t>
      </w:r>
      <w:r>
        <w:rPr>
          <w:rFonts w:hint="eastAsia" w:ascii="宋体" w:hAnsi="宋体" w:eastAsia="宋体" w:cs="宋体"/>
        </w:rPr>
        <w:t>工程照管</w:t>
      </w:r>
    </w:p>
    <w:p>
      <w:pPr>
        <w:spacing w:line="360" w:lineRule="auto"/>
        <w:ind w:firstLine="480" w:firstLineChars="200"/>
        <w:rPr>
          <w:sz w:val="24"/>
          <w:szCs w:val="24"/>
        </w:rPr>
      </w:pPr>
      <w:r>
        <w:rPr>
          <w:rFonts w:hint="eastAsia"/>
          <w:sz w:val="24"/>
          <w:szCs w:val="24"/>
        </w:rPr>
        <w:t>自开始现场施工日期起至发包人应当接收工程之日止，承包人应承担工程现场、材料、设备及承包人文件的照管和维护工作。</w:t>
      </w:r>
    </w:p>
    <w:p>
      <w:pPr>
        <w:spacing w:line="360" w:lineRule="auto"/>
        <w:ind w:firstLine="480" w:firstLineChars="200"/>
        <w:rPr>
          <w:sz w:val="24"/>
          <w:szCs w:val="24"/>
        </w:rPr>
      </w:pPr>
      <w:r>
        <w:rPr>
          <w:rFonts w:hint="eastAsia"/>
          <w:sz w:val="24"/>
          <w:szCs w:val="24"/>
        </w:rPr>
        <w:t>如部分工程于竣工验收前提前交付发包人的，则自交付之日起，该部分工程照管及维护职责由发包人承担。</w:t>
      </w:r>
    </w:p>
    <w:p>
      <w:pPr>
        <w:spacing w:line="360" w:lineRule="auto"/>
        <w:ind w:firstLine="480" w:firstLineChars="200"/>
        <w:rPr>
          <w:sz w:val="24"/>
          <w:szCs w:val="24"/>
        </w:rPr>
      </w:pPr>
      <w:r>
        <w:rPr>
          <w:rFonts w:hint="eastAsia"/>
          <w:sz w:val="24"/>
          <w:szCs w:val="24"/>
        </w:rPr>
        <w:t>如发包人及承包人进行竣工验收时尚有部分未竣工工程的，承包人应负责该未竣工工程的照管和维护工作，直至竣工后移交给发包人。</w:t>
      </w:r>
    </w:p>
    <w:p>
      <w:pPr>
        <w:spacing w:line="360" w:lineRule="auto"/>
        <w:ind w:firstLine="480" w:firstLineChars="200"/>
        <w:rPr>
          <w:sz w:val="24"/>
          <w:szCs w:val="24"/>
        </w:rPr>
      </w:pPr>
      <w:r>
        <w:rPr>
          <w:rFonts w:hint="eastAsia"/>
          <w:sz w:val="24"/>
          <w:szCs w:val="24"/>
        </w:rPr>
        <w:t>如合同解除或终止的，承包人自合同解除或终止之日起不再对工程承担照管和维护义务。</w:t>
      </w:r>
    </w:p>
    <w:p>
      <w:pPr>
        <w:pStyle w:val="64"/>
        <w:numPr>
          <w:ilvl w:val="0"/>
          <w:numId w:val="0"/>
        </w:numPr>
        <w:spacing w:before="0"/>
        <w:ind w:firstLine="480" w:firstLineChars="200"/>
        <w:rPr>
          <w:rFonts w:ascii="宋体"/>
          <w:bCs/>
          <w:sz w:val="24"/>
          <w:szCs w:val="24"/>
        </w:rPr>
      </w:pPr>
      <w:r>
        <w:rPr>
          <w:rFonts w:hint="eastAsia" w:ascii="宋体" w:hAnsi="宋体"/>
          <w:bCs/>
          <w:sz w:val="24"/>
          <w:szCs w:val="24"/>
        </w:rPr>
        <w:t>第</w:t>
      </w:r>
      <w:r>
        <w:rPr>
          <w:rFonts w:ascii="宋体" w:hAnsi="宋体"/>
          <w:bCs/>
          <w:sz w:val="24"/>
          <w:szCs w:val="24"/>
        </w:rPr>
        <w:t>8</w:t>
      </w:r>
      <w:r>
        <w:rPr>
          <w:rFonts w:hint="eastAsia" w:ascii="宋体" w:hAnsi="宋体"/>
          <w:bCs/>
          <w:sz w:val="24"/>
          <w:szCs w:val="24"/>
        </w:rPr>
        <w:t>条</w:t>
      </w:r>
      <w:r>
        <w:rPr>
          <w:rFonts w:ascii="宋体" w:hAnsi="宋体"/>
          <w:bCs/>
          <w:sz w:val="24"/>
          <w:szCs w:val="24"/>
        </w:rPr>
        <w:t xml:space="preserve"> </w:t>
      </w:r>
      <w:r>
        <w:rPr>
          <w:rFonts w:hint="eastAsia" w:ascii="宋体" w:hAnsi="宋体"/>
          <w:bCs/>
          <w:sz w:val="24"/>
          <w:szCs w:val="24"/>
        </w:rPr>
        <w:t>工期和进度</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8.1 </w:t>
      </w:r>
      <w:r>
        <w:rPr>
          <w:rFonts w:hint="eastAsia" w:ascii="宋体" w:hAnsi="宋体" w:eastAsia="宋体" w:cs="宋体"/>
        </w:rPr>
        <w:t>开始工作</w:t>
      </w:r>
    </w:p>
    <w:p>
      <w:pPr>
        <w:pStyle w:val="66"/>
        <w:spacing w:afterLines="0"/>
        <w:ind w:left="0" w:firstLine="480" w:firstLineChars="200"/>
        <w:rPr>
          <w:rFonts w:cs="宋体"/>
          <w:szCs w:val="24"/>
        </w:rPr>
      </w:pPr>
      <w:r>
        <w:rPr>
          <w:rFonts w:cs="宋体"/>
          <w:szCs w:val="24"/>
        </w:rPr>
        <w:t xml:space="preserve">8.1.1 </w:t>
      </w:r>
      <w:r>
        <w:rPr>
          <w:rFonts w:hint="eastAsia" w:cs="宋体"/>
          <w:szCs w:val="24"/>
        </w:rPr>
        <w:t>开始工作准备</w:t>
      </w:r>
    </w:p>
    <w:p>
      <w:pPr>
        <w:spacing w:line="360" w:lineRule="auto"/>
        <w:ind w:firstLine="480" w:firstLineChars="200"/>
        <w:rPr>
          <w:sz w:val="24"/>
          <w:szCs w:val="24"/>
        </w:rPr>
      </w:pPr>
      <w:r>
        <w:rPr>
          <w:rFonts w:hint="eastAsia"/>
          <w:sz w:val="24"/>
          <w:szCs w:val="24"/>
        </w:rPr>
        <w:t>合同当事人应按专用合同条件约定完成开始工作准备工作。</w:t>
      </w:r>
    </w:p>
    <w:p>
      <w:pPr>
        <w:pStyle w:val="66"/>
        <w:spacing w:afterLines="0"/>
        <w:ind w:left="0" w:firstLine="480" w:firstLineChars="200"/>
        <w:rPr>
          <w:rFonts w:cs="宋体"/>
          <w:szCs w:val="24"/>
        </w:rPr>
      </w:pPr>
      <w:r>
        <w:rPr>
          <w:rFonts w:cs="宋体"/>
          <w:szCs w:val="24"/>
        </w:rPr>
        <w:t xml:space="preserve">8.1.2 </w:t>
      </w:r>
      <w:r>
        <w:rPr>
          <w:rFonts w:hint="eastAsia" w:cs="宋体"/>
          <w:szCs w:val="24"/>
        </w:rPr>
        <w:t>开始工作通知</w:t>
      </w:r>
    </w:p>
    <w:p>
      <w:pPr>
        <w:spacing w:line="360" w:lineRule="auto"/>
        <w:ind w:firstLine="480" w:firstLineChars="200"/>
        <w:rPr>
          <w:sz w:val="24"/>
          <w:szCs w:val="24"/>
        </w:rPr>
      </w:pPr>
      <w:r>
        <w:rPr>
          <w:rFonts w:hint="eastAsia"/>
          <w:sz w:val="24"/>
          <w:szCs w:val="24"/>
        </w:rPr>
        <w:t>经发包人同意后，工程师应提前</w:t>
      </w:r>
      <w:r>
        <w:rPr>
          <w:sz w:val="24"/>
          <w:szCs w:val="24"/>
        </w:rPr>
        <w:t>7</w:t>
      </w:r>
      <w:r>
        <w:rPr>
          <w:rFonts w:hint="eastAsia"/>
          <w:sz w:val="24"/>
          <w:szCs w:val="24"/>
        </w:rPr>
        <w:t>天向承包人发出经发包人签认的开始工作通知，工期自开始工作通知中载明的开始工作日期起算。</w:t>
      </w:r>
    </w:p>
    <w:p>
      <w:pPr>
        <w:spacing w:line="360" w:lineRule="auto"/>
        <w:ind w:firstLine="480" w:firstLineChars="200"/>
        <w:rPr>
          <w:sz w:val="24"/>
          <w:szCs w:val="24"/>
        </w:rPr>
      </w:pPr>
      <w:r>
        <w:rPr>
          <w:rFonts w:hint="eastAsia"/>
          <w:sz w:val="24"/>
          <w:szCs w:val="24"/>
        </w:rPr>
        <w:t>除专用合同条件另有约定外，因发包人原因造成实际开始现场施工日期迟于计划开始现场施工日期后第</w:t>
      </w:r>
      <w:r>
        <w:rPr>
          <w:sz w:val="24"/>
          <w:szCs w:val="24"/>
        </w:rPr>
        <w:t>84</w:t>
      </w:r>
      <w:r>
        <w:rPr>
          <w:rFonts w:hint="eastAsia"/>
          <w:sz w:val="24"/>
          <w:szCs w:val="24"/>
        </w:rPr>
        <w:t>天的，承包人有权提出价格调整要求，或者解除合同。发包人应当承担由此增加的费用和（或）延误的工期，并向承包人支付合理利润。</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8.2 </w:t>
      </w:r>
      <w:r>
        <w:rPr>
          <w:rFonts w:hint="eastAsia" w:ascii="宋体" w:hAnsi="宋体" w:eastAsia="宋体" w:cs="宋体"/>
        </w:rPr>
        <w:t>竣工日期</w:t>
      </w:r>
      <w:r>
        <w:rPr>
          <w:rFonts w:ascii="宋体" w:hAnsi="宋体" w:eastAsia="宋体" w:cs="宋体"/>
        </w:rPr>
        <w:t xml:space="preserve"> </w:t>
      </w:r>
    </w:p>
    <w:p>
      <w:pPr>
        <w:spacing w:line="360" w:lineRule="auto"/>
        <w:ind w:firstLine="480" w:firstLineChars="200"/>
        <w:rPr>
          <w:sz w:val="24"/>
          <w:szCs w:val="24"/>
        </w:rPr>
      </w:pPr>
      <w:r>
        <w:rPr>
          <w:rFonts w:hint="eastAsia"/>
          <w:sz w:val="24"/>
          <w:szCs w:val="24"/>
        </w:rPr>
        <w:t>承包人应在合同协议书约定的工期内完成合同工作。除专用合同条件另有约定外，工程的竣工日期以第</w:t>
      </w:r>
      <w:r>
        <w:rPr>
          <w:sz w:val="24"/>
          <w:szCs w:val="24"/>
        </w:rPr>
        <w:t>10.1</w:t>
      </w:r>
      <w:r>
        <w:rPr>
          <w:rFonts w:hint="eastAsia"/>
          <w:sz w:val="24"/>
          <w:szCs w:val="24"/>
        </w:rPr>
        <w:t>条</w:t>
      </w:r>
      <w:r>
        <w:rPr>
          <w:sz w:val="24"/>
          <w:szCs w:val="24"/>
        </w:rPr>
        <w:t>[</w:t>
      </w:r>
      <w:r>
        <w:rPr>
          <w:rFonts w:hint="eastAsia"/>
          <w:sz w:val="24"/>
          <w:szCs w:val="24"/>
        </w:rPr>
        <w:t>竣工验收</w:t>
      </w:r>
      <w:r>
        <w:rPr>
          <w:sz w:val="24"/>
          <w:szCs w:val="24"/>
        </w:rPr>
        <w:t>]</w:t>
      </w:r>
      <w:r>
        <w:rPr>
          <w:rFonts w:hint="eastAsia"/>
          <w:sz w:val="24"/>
          <w:szCs w:val="24"/>
        </w:rPr>
        <w:t>的约定为准，并在工程接收证书中写明。</w:t>
      </w:r>
    </w:p>
    <w:p>
      <w:pPr>
        <w:spacing w:line="360" w:lineRule="auto"/>
        <w:ind w:firstLine="480" w:firstLineChars="200"/>
        <w:rPr>
          <w:sz w:val="24"/>
          <w:szCs w:val="24"/>
        </w:rPr>
      </w:pPr>
      <w:r>
        <w:rPr>
          <w:rFonts w:hint="eastAsia"/>
          <w:sz w:val="24"/>
          <w:szCs w:val="24"/>
        </w:rPr>
        <w:t>因发包人原因，在工程师收到承包人竣工验收申请报告</w:t>
      </w:r>
      <w:r>
        <w:rPr>
          <w:sz w:val="24"/>
          <w:szCs w:val="24"/>
        </w:rPr>
        <w:t>42</w:t>
      </w:r>
      <w:r>
        <w:rPr>
          <w:rFonts w:hint="eastAsia"/>
          <w:sz w:val="24"/>
          <w:szCs w:val="24"/>
        </w:rPr>
        <w:t>天后未进行验收的，视为验收合格，实际竣工日期以提交竣工验收申请报告的日期为准，但发包人由于不可抗力不能进行验收的除外。</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8.3 </w:t>
      </w:r>
      <w:r>
        <w:rPr>
          <w:rFonts w:hint="eastAsia" w:ascii="宋体" w:hAnsi="宋体" w:eastAsia="宋体" w:cs="宋体"/>
        </w:rPr>
        <w:t>项目实施计划</w:t>
      </w:r>
    </w:p>
    <w:p>
      <w:pPr>
        <w:pStyle w:val="66"/>
        <w:spacing w:afterLines="0"/>
        <w:ind w:left="0" w:firstLine="480" w:firstLineChars="200"/>
        <w:rPr>
          <w:rFonts w:cs="宋体"/>
          <w:szCs w:val="24"/>
        </w:rPr>
      </w:pPr>
      <w:r>
        <w:rPr>
          <w:rFonts w:cs="宋体"/>
          <w:szCs w:val="24"/>
        </w:rPr>
        <w:t xml:space="preserve">8.3.1 </w:t>
      </w:r>
      <w:r>
        <w:rPr>
          <w:rFonts w:hint="eastAsia" w:cs="宋体"/>
          <w:szCs w:val="24"/>
        </w:rPr>
        <w:t>项目实施计划的内容</w:t>
      </w:r>
    </w:p>
    <w:p>
      <w:pPr>
        <w:spacing w:line="360" w:lineRule="auto"/>
        <w:ind w:firstLine="480" w:firstLineChars="200"/>
        <w:rPr>
          <w:sz w:val="24"/>
          <w:szCs w:val="24"/>
        </w:rPr>
      </w:pPr>
      <w:r>
        <w:rPr>
          <w:rFonts w:hint="eastAsia"/>
          <w:sz w:val="24"/>
          <w:szCs w:val="24"/>
        </w:rPr>
        <w:t>项目实施计划是依据合同和经批准的项目管理计划进行编制并用于对项目实施进行管理和控制的文件，应包含概述、总体实施方案、项目实施要点、项目初步进度计划以及合同当事人在专用合同条件中约定的其他内容。</w:t>
      </w:r>
    </w:p>
    <w:p>
      <w:pPr>
        <w:pStyle w:val="66"/>
        <w:spacing w:afterLines="0"/>
        <w:ind w:left="0" w:firstLine="480" w:firstLineChars="200"/>
        <w:rPr>
          <w:rFonts w:cs="宋体"/>
          <w:szCs w:val="24"/>
        </w:rPr>
      </w:pPr>
      <w:r>
        <w:rPr>
          <w:rFonts w:cs="宋体"/>
          <w:szCs w:val="24"/>
        </w:rPr>
        <w:t xml:space="preserve">8.3.2 </w:t>
      </w:r>
      <w:r>
        <w:rPr>
          <w:rFonts w:hint="eastAsia" w:cs="宋体"/>
          <w:szCs w:val="24"/>
        </w:rPr>
        <w:t>项目实施计划的提交和修改</w:t>
      </w:r>
    </w:p>
    <w:p>
      <w:pPr>
        <w:spacing w:line="360" w:lineRule="auto"/>
        <w:ind w:firstLine="480" w:firstLineChars="200"/>
        <w:rPr>
          <w:sz w:val="24"/>
          <w:szCs w:val="24"/>
        </w:rPr>
      </w:pPr>
      <w:r>
        <w:rPr>
          <w:rFonts w:hint="eastAsia"/>
          <w:sz w:val="24"/>
          <w:szCs w:val="24"/>
        </w:rPr>
        <w:t>除专用合同条件另有约定外，承包人应在合同订立后</w:t>
      </w:r>
      <w:r>
        <w:rPr>
          <w:sz w:val="24"/>
          <w:szCs w:val="24"/>
        </w:rPr>
        <w:t>14</w:t>
      </w:r>
      <w:r>
        <w:rPr>
          <w:rFonts w:hint="eastAsia"/>
          <w:sz w:val="24"/>
          <w:szCs w:val="24"/>
        </w:rPr>
        <w:t>天内，向工程师提交项目实施计划，工程师应在收到项目实施计划后</w:t>
      </w:r>
      <w:r>
        <w:rPr>
          <w:sz w:val="24"/>
          <w:szCs w:val="24"/>
        </w:rPr>
        <w:t>21</w:t>
      </w:r>
      <w:r>
        <w:rPr>
          <w:rFonts w:hint="eastAsia"/>
          <w:sz w:val="24"/>
          <w:szCs w:val="24"/>
        </w:rPr>
        <w:t>天内确认或提出修改意见。对工程师提出的合理意见和要求，承包人应自费修改完善。根据工程实施的实际情况需要修改项目实施计划的，承包人应向工程师提交修改后的项目实施计划。</w:t>
      </w:r>
    </w:p>
    <w:p>
      <w:pPr>
        <w:spacing w:line="360" w:lineRule="auto"/>
        <w:ind w:firstLine="480" w:firstLineChars="200"/>
        <w:rPr>
          <w:sz w:val="24"/>
          <w:szCs w:val="24"/>
        </w:rPr>
      </w:pPr>
      <w:r>
        <w:rPr>
          <w:rFonts w:hint="eastAsia"/>
          <w:sz w:val="24"/>
          <w:szCs w:val="24"/>
        </w:rPr>
        <w:t>项目进度计划的编制和修改按照第</w:t>
      </w:r>
      <w:r>
        <w:rPr>
          <w:sz w:val="24"/>
          <w:szCs w:val="24"/>
        </w:rPr>
        <w:t>8.4</w:t>
      </w:r>
      <w:r>
        <w:rPr>
          <w:rFonts w:hint="eastAsia"/>
          <w:sz w:val="24"/>
          <w:szCs w:val="24"/>
        </w:rPr>
        <w:t>款</w:t>
      </w:r>
      <w:r>
        <w:rPr>
          <w:sz w:val="24"/>
          <w:szCs w:val="24"/>
        </w:rPr>
        <w:t>[</w:t>
      </w:r>
      <w:r>
        <w:rPr>
          <w:rFonts w:hint="eastAsia"/>
          <w:sz w:val="24"/>
          <w:szCs w:val="24"/>
        </w:rPr>
        <w:t>项目进度计划</w:t>
      </w:r>
      <w:r>
        <w:rPr>
          <w:sz w:val="24"/>
          <w:szCs w:val="24"/>
        </w:rPr>
        <w:t>]</w:t>
      </w:r>
      <w:r>
        <w:rPr>
          <w:rFonts w:hint="eastAsia"/>
          <w:sz w:val="24"/>
          <w:szCs w:val="24"/>
        </w:rPr>
        <w:t>执行。</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8.4 </w:t>
      </w:r>
      <w:r>
        <w:rPr>
          <w:rFonts w:hint="eastAsia" w:ascii="宋体" w:hAnsi="宋体" w:eastAsia="宋体" w:cs="宋体"/>
        </w:rPr>
        <w:t>项目进度计划</w:t>
      </w:r>
    </w:p>
    <w:p>
      <w:pPr>
        <w:pStyle w:val="66"/>
        <w:spacing w:afterLines="0"/>
        <w:ind w:left="0" w:firstLine="480" w:firstLineChars="200"/>
        <w:rPr>
          <w:rFonts w:cs="宋体"/>
          <w:szCs w:val="24"/>
        </w:rPr>
      </w:pPr>
      <w:r>
        <w:rPr>
          <w:rFonts w:cs="宋体"/>
          <w:szCs w:val="24"/>
        </w:rPr>
        <w:t xml:space="preserve">8.4.1 </w:t>
      </w:r>
      <w:r>
        <w:rPr>
          <w:rFonts w:hint="eastAsia" w:cs="宋体"/>
          <w:szCs w:val="24"/>
        </w:rPr>
        <w:t>项目进度计划的提交和修改</w:t>
      </w:r>
    </w:p>
    <w:p>
      <w:pPr>
        <w:spacing w:line="360" w:lineRule="auto"/>
        <w:ind w:firstLine="480" w:firstLineChars="200"/>
        <w:rPr>
          <w:sz w:val="24"/>
          <w:szCs w:val="24"/>
        </w:rPr>
      </w:pPr>
      <w:r>
        <w:rPr>
          <w:rFonts w:hint="eastAsia"/>
          <w:sz w:val="24"/>
          <w:szCs w:val="24"/>
        </w:rPr>
        <w:t>承包人应按照第</w:t>
      </w:r>
      <w:r>
        <w:rPr>
          <w:sz w:val="24"/>
          <w:szCs w:val="24"/>
        </w:rPr>
        <w:t>8.3</w:t>
      </w:r>
      <w:r>
        <w:rPr>
          <w:rFonts w:hint="eastAsia"/>
          <w:sz w:val="24"/>
          <w:szCs w:val="24"/>
        </w:rPr>
        <w:t>款</w:t>
      </w:r>
      <w:r>
        <w:rPr>
          <w:sz w:val="24"/>
          <w:szCs w:val="24"/>
        </w:rPr>
        <w:t>[</w:t>
      </w:r>
      <w:r>
        <w:rPr>
          <w:rFonts w:hint="eastAsia"/>
          <w:sz w:val="24"/>
          <w:szCs w:val="24"/>
        </w:rPr>
        <w:t>项目实施计划</w:t>
      </w:r>
      <w:r>
        <w:rPr>
          <w:sz w:val="24"/>
          <w:szCs w:val="24"/>
        </w:rPr>
        <w:t>]</w:t>
      </w:r>
      <w:r>
        <w:rPr>
          <w:rFonts w:hint="eastAsia"/>
          <w:sz w:val="24"/>
          <w:szCs w:val="24"/>
        </w:rPr>
        <w:t>约定编制并向工程师提交项目初步进度计划，经工程师批准后实施。除专用合同条件另有约定外，工程师应在</w:t>
      </w:r>
      <w:r>
        <w:rPr>
          <w:sz w:val="24"/>
          <w:szCs w:val="24"/>
        </w:rPr>
        <w:t>21</w:t>
      </w:r>
      <w:r>
        <w:rPr>
          <w:rFonts w:hint="eastAsia"/>
          <w:sz w:val="24"/>
          <w:szCs w:val="24"/>
        </w:rPr>
        <w:t>天内批复或提出修改意见，否则该项目初步进度计划视为已得到批准。对工程师提出的合理意见和要求，承包人应自费修改完善。</w:t>
      </w:r>
    </w:p>
    <w:p>
      <w:pPr>
        <w:spacing w:line="360" w:lineRule="auto"/>
        <w:ind w:firstLine="480" w:firstLineChars="200"/>
        <w:rPr>
          <w:sz w:val="24"/>
          <w:szCs w:val="24"/>
        </w:rPr>
      </w:pPr>
      <w:r>
        <w:rPr>
          <w:rFonts w:hint="eastAsia"/>
          <w:sz w:val="24"/>
          <w:szCs w:val="24"/>
        </w:rPr>
        <w:t>经工程师批准的项目初步进度计划称为项目进度计划，是控制合同工程进度的依据，工程师有权按照进度计划检查工程进度情况。承包人还应根据项目进度计划，编制更为详细的分阶段或分项的进度计划，由工程师批准。</w:t>
      </w:r>
    </w:p>
    <w:p>
      <w:pPr>
        <w:pStyle w:val="66"/>
        <w:spacing w:afterLines="0"/>
        <w:ind w:left="0" w:firstLine="480" w:firstLineChars="200"/>
        <w:rPr>
          <w:rFonts w:cs="宋体"/>
          <w:szCs w:val="24"/>
        </w:rPr>
      </w:pPr>
      <w:r>
        <w:rPr>
          <w:rFonts w:cs="宋体"/>
          <w:szCs w:val="24"/>
        </w:rPr>
        <w:t xml:space="preserve">8.4.2 </w:t>
      </w:r>
      <w:r>
        <w:rPr>
          <w:rFonts w:hint="eastAsia" w:cs="宋体"/>
          <w:szCs w:val="24"/>
        </w:rPr>
        <w:t>项目进度计划的内容</w:t>
      </w:r>
    </w:p>
    <w:p>
      <w:pPr>
        <w:spacing w:line="360" w:lineRule="auto"/>
        <w:ind w:firstLine="480" w:firstLineChars="200"/>
        <w:rPr>
          <w:sz w:val="24"/>
          <w:szCs w:val="24"/>
        </w:rPr>
      </w:pPr>
      <w:r>
        <w:rPr>
          <w:rFonts w:hint="eastAsia"/>
          <w:sz w:val="24"/>
          <w:szCs w:val="24"/>
        </w:rPr>
        <w:t>项目进度计划应当包括设计、承包人文件提交、采购、制造、检验、运达现场、施工、安装、试验的各个阶段的预期时间以及设计和施工组织方案说明等，其编制应当符合国家法律规定和一般工程实践惯例。项目进度计划的具体要求、关键路径及关键路径变化的确定原则、承包人提交的份数和时间等，在专用合同条件约定。</w:t>
      </w:r>
    </w:p>
    <w:p>
      <w:pPr>
        <w:pStyle w:val="66"/>
        <w:spacing w:afterLines="0"/>
        <w:ind w:left="0" w:firstLine="480" w:firstLineChars="200"/>
        <w:rPr>
          <w:rFonts w:cs="宋体"/>
          <w:szCs w:val="24"/>
        </w:rPr>
      </w:pPr>
      <w:r>
        <w:rPr>
          <w:rFonts w:cs="宋体"/>
          <w:szCs w:val="24"/>
        </w:rPr>
        <w:t xml:space="preserve">8.4.3 </w:t>
      </w:r>
      <w:r>
        <w:rPr>
          <w:rFonts w:hint="eastAsia" w:cs="宋体"/>
          <w:szCs w:val="24"/>
        </w:rPr>
        <w:t>项目进度计划的修订</w:t>
      </w:r>
    </w:p>
    <w:p>
      <w:pPr>
        <w:spacing w:line="360" w:lineRule="auto"/>
        <w:ind w:firstLine="480" w:firstLineChars="200"/>
        <w:rPr>
          <w:sz w:val="24"/>
          <w:szCs w:val="24"/>
        </w:rPr>
      </w:pPr>
      <w:r>
        <w:rPr>
          <w:rFonts w:hint="eastAsia"/>
          <w:sz w:val="24"/>
          <w:szCs w:val="24"/>
        </w:rPr>
        <w:t>项目进度计划不符合合同要求或与工程的实际进度不一致的，承包人应向工程师提交修订的项目进度计划，并附具有关措施和相关资料。工程师也可以直接向承包人发出修订项目进度计划的通知，承包人如接受，应按该通知修订项目进度计划，报工程师批准。承包人如不接受，应当在</w:t>
      </w:r>
      <w:r>
        <w:rPr>
          <w:sz w:val="24"/>
          <w:szCs w:val="24"/>
        </w:rPr>
        <w:t>14</w:t>
      </w:r>
      <w:r>
        <w:rPr>
          <w:rFonts w:hint="eastAsia"/>
          <w:sz w:val="24"/>
          <w:szCs w:val="24"/>
        </w:rPr>
        <w:t>天内答复，如未按时答复视作已接受修订项目进度计划通知中的内容。</w:t>
      </w:r>
    </w:p>
    <w:p>
      <w:pPr>
        <w:spacing w:line="360" w:lineRule="auto"/>
        <w:ind w:firstLine="480" w:firstLineChars="200"/>
        <w:rPr>
          <w:sz w:val="24"/>
          <w:szCs w:val="24"/>
        </w:rPr>
      </w:pPr>
      <w:r>
        <w:rPr>
          <w:rFonts w:hint="eastAsia"/>
          <w:sz w:val="24"/>
          <w:szCs w:val="24"/>
        </w:rPr>
        <w:t>除专用合同条件另有约定外，工程师应在收到修订的项目进度计划后</w:t>
      </w:r>
      <w:r>
        <w:rPr>
          <w:sz w:val="24"/>
          <w:szCs w:val="24"/>
        </w:rPr>
        <w:t>14</w:t>
      </w:r>
      <w:r>
        <w:rPr>
          <w:rFonts w:hint="eastAsia"/>
          <w:sz w:val="24"/>
          <w:szCs w:val="24"/>
        </w:rPr>
        <w:t>天内完成审批或提出修改意见，如未按时答复视作已批准承包人修订后的项目进度计划。工程师对承包人提交的项目进度计划的确认，不能减轻或免除承包人根据法律规定和合同约定应承担的任何责任或义务。</w:t>
      </w:r>
    </w:p>
    <w:p>
      <w:pPr>
        <w:spacing w:line="360" w:lineRule="auto"/>
        <w:ind w:firstLine="480" w:firstLineChars="200"/>
        <w:rPr>
          <w:sz w:val="24"/>
          <w:szCs w:val="24"/>
        </w:rPr>
      </w:pPr>
      <w:r>
        <w:rPr>
          <w:rFonts w:hint="eastAsia"/>
          <w:sz w:val="24"/>
          <w:szCs w:val="24"/>
        </w:rPr>
        <w:t>除合同当事人另有约定外，项目进度计划的修订并不能减轻或者免除双方按第</w:t>
      </w:r>
      <w:r>
        <w:rPr>
          <w:sz w:val="24"/>
          <w:szCs w:val="24"/>
        </w:rPr>
        <w:t>8.7</w:t>
      </w:r>
      <w:r>
        <w:rPr>
          <w:rFonts w:hint="eastAsia"/>
          <w:sz w:val="24"/>
          <w:szCs w:val="24"/>
        </w:rPr>
        <w:t>款</w:t>
      </w:r>
      <w:r>
        <w:rPr>
          <w:sz w:val="24"/>
          <w:szCs w:val="24"/>
        </w:rPr>
        <w:t>[</w:t>
      </w:r>
      <w:r>
        <w:rPr>
          <w:rFonts w:hint="eastAsia"/>
          <w:sz w:val="24"/>
          <w:szCs w:val="24"/>
        </w:rPr>
        <w:t>工期延误</w:t>
      </w:r>
      <w:r>
        <w:rPr>
          <w:sz w:val="24"/>
          <w:szCs w:val="24"/>
        </w:rPr>
        <w:t>]</w:t>
      </w:r>
      <w:r>
        <w:rPr>
          <w:rFonts w:hint="eastAsia"/>
          <w:sz w:val="24"/>
          <w:szCs w:val="24"/>
        </w:rPr>
        <w:t>、第</w:t>
      </w:r>
      <w:r>
        <w:rPr>
          <w:sz w:val="24"/>
          <w:szCs w:val="24"/>
        </w:rPr>
        <w:t>8.8</w:t>
      </w:r>
      <w:r>
        <w:rPr>
          <w:rFonts w:hint="eastAsia"/>
          <w:sz w:val="24"/>
          <w:szCs w:val="24"/>
        </w:rPr>
        <w:t>款</w:t>
      </w:r>
      <w:r>
        <w:rPr>
          <w:sz w:val="24"/>
          <w:szCs w:val="24"/>
        </w:rPr>
        <w:t>[</w:t>
      </w:r>
      <w:r>
        <w:rPr>
          <w:rFonts w:hint="eastAsia"/>
          <w:sz w:val="24"/>
          <w:szCs w:val="24"/>
        </w:rPr>
        <w:t>工期提前</w:t>
      </w:r>
      <w:r>
        <w:rPr>
          <w:sz w:val="24"/>
          <w:szCs w:val="24"/>
        </w:rPr>
        <w:t>]</w:t>
      </w:r>
      <w:r>
        <w:rPr>
          <w:rFonts w:hint="eastAsia"/>
          <w:sz w:val="24"/>
          <w:szCs w:val="24"/>
        </w:rPr>
        <w:t>、第</w:t>
      </w:r>
      <w:r>
        <w:rPr>
          <w:sz w:val="24"/>
          <w:szCs w:val="24"/>
        </w:rPr>
        <w:t>8.9</w:t>
      </w:r>
      <w:r>
        <w:rPr>
          <w:rFonts w:hint="eastAsia"/>
          <w:sz w:val="24"/>
          <w:szCs w:val="24"/>
        </w:rPr>
        <w:t>款</w:t>
      </w:r>
      <w:r>
        <w:rPr>
          <w:sz w:val="24"/>
          <w:szCs w:val="24"/>
        </w:rPr>
        <w:t>[</w:t>
      </w:r>
      <w:r>
        <w:rPr>
          <w:rFonts w:hint="eastAsia"/>
          <w:sz w:val="24"/>
          <w:szCs w:val="24"/>
        </w:rPr>
        <w:t>暂停工作</w:t>
      </w:r>
      <w:r>
        <w:rPr>
          <w:sz w:val="24"/>
          <w:szCs w:val="24"/>
        </w:rPr>
        <w:t>]</w:t>
      </w:r>
      <w:r>
        <w:rPr>
          <w:rFonts w:hint="eastAsia"/>
          <w:sz w:val="24"/>
          <w:szCs w:val="24"/>
        </w:rPr>
        <w:t>应承担的合同责任。</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8.5 </w:t>
      </w:r>
      <w:r>
        <w:rPr>
          <w:rFonts w:hint="eastAsia" w:ascii="宋体" w:hAnsi="宋体" w:eastAsia="宋体" w:cs="宋体"/>
        </w:rPr>
        <w:t>进度报告</w:t>
      </w:r>
    </w:p>
    <w:p>
      <w:pPr>
        <w:spacing w:line="360" w:lineRule="auto"/>
        <w:ind w:firstLine="480" w:firstLineChars="200"/>
        <w:rPr>
          <w:sz w:val="24"/>
          <w:szCs w:val="24"/>
        </w:rPr>
      </w:pPr>
      <w:r>
        <w:rPr>
          <w:rFonts w:hint="eastAsia"/>
          <w:sz w:val="24"/>
          <w:szCs w:val="24"/>
        </w:rPr>
        <w:t>项目实施过程中，承包人应进行实际进度记录，并根据工程师的要求编制月进度报告，并提交给工程师。进度报告应包含以下主要内容：</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工程设计、采购、施工等各个工作内容的进展报告；</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工程施工方法的一般说明；</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当月工程实施介入的项目人员、设备和材料的预估明细报告；</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当月实际进度与进度计划对比分析，以及提出未来可能引起工期延误的情形，同时提出应对措施；需要修订项目进度计划的，应对项目进度计划的修订部分进行说明；</w:t>
      </w:r>
      <w:r>
        <w:rPr>
          <w:sz w:val="24"/>
          <w:szCs w:val="24"/>
        </w:rPr>
        <w:t xml:space="preserve"> </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承包人对于解决工期延误所提出的建议；</w:t>
      </w:r>
    </w:p>
    <w:p>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其他与工程有关的重大事项。</w:t>
      </w:r>
    </w:p>
    <w:p>
      <w:pPr>
        <w:spacing w:line="360" w:lineRule="auto"/>
        <w:ind w:firstLine="480" w:firstLineChars="200"/>
        <w:rPr>
          <w:sz w:val="24"/>
          <w:szCs w:val="24"/>
        </w:rPr>
      </w:pPr>
      <w:r>
        <w:rPr>
          <w:rFonts w:hint="eastAsia"/>
          <w:sz w:val="24"/>
          <w:szCs w:val="24"/>
        </w:rPr>
        <w:t>进度报告的具体要求等，在专用合同条件约定。</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8.6 </w:t>
      </w:r>
      <w:r>
        <w:rPr>
          <w:rFonts w:hint="eastAsia" w:ascii="宋体" w:hAnsi="宋体" w:eastAsia="宋体" w:cs="宋体"/>
        </w:rPr>
        <w:t>提前预警</w:t>
      </w:r>
    </w:p>
    <w:p>
      <w:pPr>
        <w:spacing w:line="360" w:lineRule="auto"/>
        <w:ind w:firstLine="480" w:firstLineChars="200"/>
        <w:rPr>
          <w:sz w:val="24"/>
          <w:szCs w:val="24"/>
        </w:rPr>
      </w:pPr>
      <w:r>
        <w:rPr>
          <w:rFonts w:hint="eastAsia"/>
          <w:sz w:val="24"/>
          <w:szCs w:val="24"/>
        </w:rPr>
        <w:t>任何一方应当在下列情形发生时尽快书面通知另一方：</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该情形可能对合同的履行或实现合同目的产生不利影响；</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该情形可能对工程完成后的使用产生不利影响；</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该情形可能导致合同价款增加；</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该情形可能导致整个工程或单位</w:t>
      </w:r>
      <w:r>
        <w:rPr>
          <w:sz w:val="24"/>
          <w:szCs w:val="24"/>
        </w:rPr>
        <w:t>/</w:t>
      </w:r>
      <w:r>
        <w:rPr>
          <w:rFonts w:hint="eastAsia"/>
          <w:sz w:val="24"/>
          <w:szCs w:val="24"/>
        </w:rPr>
        <w:t>区段工程的工期延长。</w:t>
      </w:r>
    </w:p>
    <w:p>
      <w:pPr>
        <w:spacing w:line="360" w:lineRule="auto"/>
        <w:ind w:firstLine="480" w:firstLineChars="200"/>
        <w:rPr>
          <w:sz w:val="24"/>
          <w:szCs w:val="24"/>
        </w:rPr>
      </w:pPr>
      <w:r>
        <w:rPr>
          <w:rFonts w:hint="eastAsia"/>
          <w:sz w:val="24"/>
          <w:szCs w:val="24"/>
        </w:rPr>
        <w:t>发包人有权要求承包人根据第</w:t>
      </w:r>
      <w:r>
        <w:rPr>
          <w:sz w:val="24"/>
          <w:szCs w:val="24"/>
        </w:rPr>
        <w:t>13.2</w:t>
      </w:r>
      <w:r>
        <w:rPr>
          <w:rFonts w:hint="eastAsia"/>
          <w:sz w:val="24"/>
          <w:szCs w:val="24"/>
        </w:rPr>
        <w:t>款</w:t>
      </w:r>
      <w:r>
        <w:rPr>
          <w:sz w:val="24"/>
          <w:szCs w:val="24"/>
        </w:rPr>
        <w:t>[</w:t>
      </w:r>
      <w:r>
        <w:rPr>
          <w:rFonts w:hint="eastAsia"/>
          <w:sz w:val="24"/>
          <w:szCs w:val="24"/>
        </w:rPr>
        <w:t>承包人的合理化建议</w:t>
      </w:r>
      <w:r>
        <w:rPr>
          <w:sz w:val="24"/>
          <w:szCs w:val="24"/>
        </w:rPr>
        <w:t>]</w:t>
      </w:r>
      <w:r>
        <w:rPr>
          <w:rFonts w:hint="eastAsia"/>
          <w:sz w:val="24"/>
          <w:szCs w:val="24"/>
        </w:rPr>
        <w:t>的约定提交变更建议，采取措施尽量避免或最小化上述情形的发生或影响。</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8.7 </w:t>
      </w:r>
      <w:r>
        <w:rPr>
          <w:rFonts w:hint="eastAsia" w:ascii="宋体" w:hAnsi="宋体" w:eastAsia="宋体" w:cs="宋体"/>
        </w:rPr>
        <w:t>工期延误</w:t>
      </w:r>
    </w:p>
    <w:p>
      <w:pPr>
        <w:pStyle w:val="66"/>
        <w:spacing w:afterLines="0"/>
        <w:ind w:left="0" w:firstLine="480" w:firstLineChars="200"/>
        <w:rPr>
          <w:rFonts w:cs="宋体"/>
          <w:szCs w:val="24"/>
        </w:rPr>
      </w:pPr>
      <w:r>
        <w:rPr>
          <w:rFonts w:cs="宋体"/>
          <w:szCs w:val="24"/>
        </w:rPr>
        <w:t xml:space="preserve">8.7.1 </w:t>
      </w:r>
      <w:r>
        <w:rPr>
          <w:rFonts w:hint="eastAsia" w:cs="宋体"/>
          <w:szCs w:val="24"/>
        </w:rPr>
        <w:t>因发包人原因导致工期延误</w:t>
      </w:r>
    </w:p>
    <w:p>
      <w:pPr>
        <w:spacing w:line="360" w:lineRule="auto"/>
        <w:ind w:firstLine="480" w:firstLineChars="200"/>
        <w:rPr>
          <w:sz w:val="24"/>
          <w:szCs w:val="24"/>
        </w:rPr>
      </w:pPr>
      <w:r>
        <w:rPr>
          <w:rFonts w:hint="eastAsia"/>
          <w:sz w:val="24"/>
          <w:szCs w:val="24"/>
        </w:rPr>
        <w:t>在合同履行过程中，因下列情况导致工期延误和（或）费用增加的，由发包人承担由此延误的工期和（或）增加的费用，且发包人应支付承包人合理的利润：</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根据第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的约定构成一项变更的；</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发包人违反本合同约定，导致工期延误和（或）费用增加的；</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发包人、发包人代表、工程师或发包人聘请的任意第三方造成或引起的任何延误、妨碍和阻碍；</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发包人未能依据第</w:t>
      </w:r>
      <w:r>
        <w:rPr>
          <w:sz w:val="24"/>
          <w:szCs w:val="24"/>
        </w:rPr>
        <w:t>6.2.1</w:t>
      </w:r>
      <w:r>
        <w:rPr>
          <w:rFonts w:hint="eastAsia"/>
          <w:sz w:val="24"/>
          <w:szCs w:val="24"/>
        </w:rPr>
        <w:t>项</w:t>
      </w:r>
      <w:r>
        <w:rPr>
          <w:sz w:val="24"/>
          <w:szCs w:val="24"/>
        </w:rPr>
        <w:t>[</w:t>
      </w:r>
      <w:r>
        <w:rPr>
          <w:rFonts w:hint="eastAsia"/>
          <w:sz w:val="24"/>
          <w:szCs w:val="24"/>
        </w:rPr>
        <w:t>发包人提供的材料和工程设备</w:t>
      </w:r>
      <w:r>
        <w:rPr>
          <w:sz w:val="24"/>
          <w:szCs w:val="24"/>
        </w:rPr>
        <w:t>]</w:t>
      </w:r>
      <w:r>
        <w:rPr>
          <w:rFonts w:hint="eastAsia"/>
          <w:sz w:val="24"/>
          <w:szCs w:val="24"/>
        </w:rPr>
        <w:t>的约定提供材料和工程设备导致工期延误和（或）费用增加的；</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因发包人原因导致的暂停施工；</w:t>
      </w:r>
    </w:p>
    <w:p>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发包人未及时履行相关合同义务，造成工期延误的其他原因。</w:t>
      </w:r>
    </w:p>
    <w:p>
      <w:pPr>
        <w:pStyle w:val="66"/>
        <w:spacing w:afterLines="0"/>
        <w:ind w:left="0" w:firstLine="480" w:firstLineChars="200"/>
        <w:rPr>
          <w:rFonts w:cs="宋体"/>
          <w:szCs w:val="24"/>
        </w:rPr>
      </w:pPr>
      <w:r>
        <w:rPr>
          <w:rFonts w:cs="宋体"/>
          <w:szCs w:val="24"/>
        </w:rPr>
        <w:t xml:space="preserve">8.7.2 </w:t>
      </w:r>
      <w:r>
        <w:rPr>
          <w:rFonts w:hint="eastAsia" w:cs="宋体"/>
          <w:szCs w:val="24"/>
        </w:rPr>
        <w:t>因承包人原因导致工期延误</w:t>
      </w:r>
    </w:p>
    <w:p>
      <w:pPr>
        <w:spacing w:line="360" w:lineRule="auto"/>
        <w:ind w:firstLine="480" w:firstLineChars="200"/>
        <w:rPr>
          <w:sz w:val="24"/>
          <w:szCs w:val="24"/>
        </w:rPr>
      </w:pPr>
      <w:r>
        <w:rPr>
          <w:rFonts w:hint="eastAsia"/>
          <w:sz w:val="24"/>
          <w:szCs w:val="24"/>
        </w:rPr>
        <w:t>由于承包人的原因，未能按项目进度计划完成工作，承包人应采取措施加快进度，并承担加快进度所增加的费用。</w:t>
      </w:r>
    </w:p>
    <w:p>
      <w:pPr>
        <w:spacing w:line="360" w:lineRule="auto"/>
        <w:ind w:firstLine="480" w:firstLineChars="200"/>
        <w:rPr>
          <w:sz w:val="24"/>
          <w:szCs w:val="24"/>
        </w:rPr>
      </w:pPr>
      <w:r>
        <w:rPr>
          <w:rFonts w:hint="eastAsia"/>
          <w:sz w:val="24"/>
          <w:szCs w:val="24"/>
        </w:rPr>
        <w:t>由于承包人原因造成工期延误并导致逾期竣工的，承包人应支付逾期竣工违约金。逾期竣工违约金的计算方法和最高限额在专用合同条件中约定。承包人支付逾期竣工违约金，不免除承包人完成工作及修补缺陷的义务，且发包人有权从工程进度款、竣工结算款或约定提交的履约担保中扣除相当于逾期竣工违约金的金额。</w:t>
      </w:r>
    </w:p>
    <w:p>
      <w:pPr>
        <w:pStyle w:val="66"/>
        <w:spacing w:afterLines="0"/>
        <w:ind w:left="0" w:firstLine="480" w:firstLineChars="200"/>
        <w:rPr>
          <w:rFonts w:cs="宋体"/>
          <w:szCs w:val="24"/>
        </w:rPr>
      </w:pPr>
      <w:r>
        <w:rPr>
          <w:rFonts w:cs="宋体"/>
          <w:szCs w:val="24"/>
        </w:rPr>
        <w:t xml:space="preserve">8.7.3 </w:t>
      </w:r>
      <w:r>
        <w:rPr>
          <w:rFonts w:hint="eastAsia" w:cs="宋体"/>
          <w:szCs w:val="24"/>
        </w:rPr>
        <w:t>行政审批迟延</w:t>
      </w:r>
      <w:r>
        <w:rPr>
          <w:rFonts w:cs="宋体"/>
          <w:szCs w:val="24"/>
        </w:rPr>
        <w:t xml:space="preserve"> </w:t>
      </w:r>
    </w:p>
    <w:p>
      <w:pPr>
        <w:spacing w:line="360" w:lineRule="auto"/>
        <w:ind w:firstLine="480" w:firstLineChars="200"/>
        <w:rPr>
          <w:sz w:val="24"/>
          <w:szCs w:val="24"/>
        </w:rPr>
      </w:pPr>
      <w:r>
        <w:rPr>
          <w:rFonts w:hint="eastAsia"/>
          <w:sz w:val="24"/>
          <w:szCs w:val="24"/>
        </w:rPr>
        <w:t>合同约定范围内的工作需国家有关部门审批的，发包人和（或）承包人应按照专用合同条件约定的职责分工完成行政审批报送。因国家有关部门审批迟延造成工期延误的，竣工日期相应顺延。造成费用增加的，由双方在负责的范围内各自承担。</w:t>
      </w:r>
    </w:p>
    <w:p>
      <w:pPr>
        <w:pStyle w:val="66"/>
        <w:spacing w:afterLines="0"/>
        <w:ind w:left="0" w:firstLine="480" w:firstLineChars="200"/>
        <w:rPr>
          <w:rFonts w:cs="宋体"/>
          <w:szCs w:val="24"/>
        </w:rPr>
      </w:pPr>
      <w:r>
        <w:rPr>
          <w:rFonts w:cs="宋体"/>
          <w:szCs w:val="24"/>
        </w:rPr>
        <w:t xml:space="preserve">8.7.4 </w:t>
      </w:r>
      <w:r>
        <w:rPr>
          <w:rFonts w:hint="eastAsia" w:cs="宋体"/>
          <w:szCs w:val="24"/>
        </w:rPr>
        <w:t>异常恶劣的气候条件</w:t>
      </w:r>
    </w:p>
    <w:p>
      <w:pPr>
        <w:spacing w:line="360" w:lineRule="auto"/>
        <w:ind w:firstLine="480" w:firstLineChars="200"/>
        <w:rPr>
          <w:sz w:val="24"/>
          <w:szCs w:val="24"/>
        </w:rPr>
      </w:pPr>
      <w:r>
        <w:rPr>
          <w:rFonts w:hint="eastAsia"/>
          <w:sz w:val="24"/>
          <w:szCs w:val="24"/>
        </w:rPr>
        <w:t>异常恶劣的气候条件是指在施工过程中遇到的，有经验的承包人在订立合同时不可预见的，对合同履行造成实质性影响的，但尚未构成不可抗力事件的恶劣气候条件。合同当事人可以在专用合同条件中约定异常恶劣的气候条件的具体情形。</w:t>
      </w:r>
    </w:p>
    <w:p>
      <w:pPr>
        <w:spacing w:line="360" w:lineRule="auto"/>
        <w:ind w:firstLine="480" w:firstLineChars="200"/>
        <w:rPr>
          <w:sz w:val="24"/>
          <w:szCs w:val="24"/>
        </w:rPr>
      </w:pPr>
      <w:r>
        <w:rPr>
          <w:rFonts w:hint="eastAsia"/>
          <w:sz w:val="24"/>
          <w:szCs w:val="24"/>
        </w:rPr>
        <w:t>承包人应采取克服异常恶劣的气候条件的合理措施继续施工，并及时通知工程师。工程师应当及时发出指示，指示构成变更的，按第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约定办理。承包人因采取合理措施而延误的工期由发包人承担。</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8.8 </w:t>
      </w:r>
      <w:r>
        <w:rPr>
          <w:rFonts w:hint="eastAsia" w:ascii="宋体" w:hAnsi="宋体" w:eastAsia="宋体" w:cs="宋体"/>
        </w:rPr>
        <w:t>工期提前</w:t>
      </w:r>
    </w:p>
    <w:p>
      <w:pPr>
        <w:pStyle w:val="66"/>
        <w:spacing w:afterLines="0"/>
        <w:ind w:left="0" w:firstLine="480" w:firstLineChars="200"/>
        <w:rPr>
          <w:rFonts w:cs="宋体"/>
          <w:szCs w:val="24"/>
        </w:rPr>
      </w:pPr>
      <w:r>
        <w:rPr>
          <w:rFonts w:cs="宋体"/>
          <w:szCs w:val="24"/>
        </w:rPr>
        <w:t xml:space="preserve">8.8.1 </w:t>
      </w:r>
      <w:r>
        <w:rPr>
          <w:rFonts w:hint="eastAsia" w:cs="宋体"/>
          <w:szCs w:val="24"/>
        </w:rPr>
        <w:t>发包人指示承包人提前竣工且被承包人接受的，应与承包人共同协商采取加快工程进度的措施和修订项目进度计划。发包人应承担承包人由此增加的费用，增加的费用按第</w:t>
      </w:r>
      <w:r>
        <w:rPr>
          <w:rFonts w:cs="宋体"/>
          <w:szCs w:val="24"/>
        </w:rPr>
        <w:t>13</w:t>
      </w:r>
      <w:r>
        <w:rPr>
          <w:rFonts w:hint="eastAsia" w:cs="宋体"/>
          <w:szCs w:val="24"/>
        </w:rPr>
        <w:t>条</w:t>
      </w:r>
      <w:r>
        <w:rPr>
          <w:rFonts w:cs="宋体"/>
          <w:szCs w:val="24"/>
        </w:rPr>
        <w:t>[</w:t>
      </w:r>
      <w:r>
        <w:rPr>
          <w:rFonts w:hint="eastAsia" w:cs="宋体"/>
          <w:szCs w:val="24"/>
        </w:rPr>
        <w:t>变更与调整</w:t>
      </w:r>
      <w:r>
        <w:rPr>
          <w:rFonts w:cs="宋体"/>
          <w:szCs w:val="24"/>
        </w:rPr>
        <w:t>]</w:t>
      </w:r>
      <w:r>
        <w:rPr>
          <w:rFonts w:hint="eastAsia" w:cs="宋体"/>
          <w:szCs w:val="24"/>
        </w:rPr>
        <w:t>的约定执行；发包人不得以任何理由要求承包人超过合理限度压缩工期。承包人有权不接受提前竣工的指示，工期按照合同约定执行。</w:t>
      </w:r>
    </w:p>
    <w:p>
      <w:pPr>
        <w:pStyle w:val="66"/>
        <w:spacing w:afterLines="0"/>
        <w:ind w:left="0" w:firstLine="480" w:firstLineChars="200"/>
        <w:rPr>
          <w:rFonts w:cs="宋体"/>
          <w:szCs w:val="24"/>
        </w:rPr>
      </w:pPr>
      <w:r>
        <w:rPr>
          <w:rFonts w:cs="宋体"/>
          <w:szCs w:val="24"/>
        </w:rPr>
        <w:t xml:space="preserve">8.8.2 </w:t>
      </w:r>
      <w:r>
        <w:rPr>
          <w:rFonts w:hint="eastAsia" w:cs="宋体"/>
          <w:szCs w:val="24"/>
        </w:rPr>
        <w:t>承包人提出提前竣工的建议且发包人接受的，应与发包人共同协商采取加快工程进度的措施和修订项目进度计划。发包人应承担承包人由此增加的费用，增加的费用按第</w:t>
      </w:r>
      <w:r>
        <w:rPr>
          <w:rFonts w:cs="宋体"/>
          <w:szCs w:val="24"/>
        </w:rPr>
        <w:t>13</w:t>
      </w:r>
      <w:r>
        <w:rPr>
          <w:rFonts w:hint="eastAsia" w:cs="宋体"/>
          <w:szCs w:val="24"/>
        </w:rPr>
        <w:t>条</w:t>
      </w:r>
      <w:r>
        <w:rPr>
          <w:rFonts w:cs="宋体"/>
          <w:szCs w:val="24"/>
        </w:rPr>
        <w:t>[</w:t>
      </w:r>
      <w:r>
        <w:rPr>
          <w:rFonts w:hint="eastAsia" w:cs="宋体"/>
          <w:szCs w:val="24"/>
        </w:rPr>
        <w:t>变更与调整</w:t>
      </w:r>
      <w:r>
        <w:rPr>
          <w:rFonts w:cs="宋体"/>
          <w:szCs w:val="24"/>
        </w:rPr>
        <w:t>]</w:t>
      </w:r>
      <w:r>
        <w:rPr>
          <w:rFonts w:hint="eastAsia" w:cs="宋体"/>
          <w:szCs w:val="24"/>
        </w:rPr>
        <w:t>的约定执行，并向承包人支付专用合同条件约定的相应奖励金。</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8.9 </w:t>
      </w:r>
      <w:r>
        <w:rPr>
          <w:rFonts w:hint="eastAsia" w:ascii="宋体" w:hAnsi="宋体" w:eastAsia="宋体" w:cs="宋体"/>
        </w:rPr>
        <w:t>暂停工作</w:t>
      </w:r>
      <w:r>
        <w:rPr>
          <w:rFonts w:ascii="宋体" w:hAnsi="宋体" w:eastAsia="宋体" w:cs="宋体"/>
        </w:rPr>
        <w:t xml:space="preserve"> </w:t>
      </w:r>
    </w:p>
    <w:p>
      <w:pPr>
        <w:pStyle w:val="66"/>
        <w:spacing w:afterLines="0"/>
        <w:ind w:left="0" w:firstLine="480" w:firstLineChars="200"/>
        <w:rPr>
          <w:rFonts w:cs="宋体"/>
          <w:szCs w:val="24"/>
        </w:rPr>
      </w:pPr>
      <w:r>
        <w:rPr>
          <w:rFonts w:cs="宋体"/>
          <w:szCs w:val="24"/>
        </w:rPr>
        <w:t xml:space="preserve">8.9.1 </w:t>
      </w:r>
      <w:r>
        <w:rPr>
          <w:rFonts w:hint="eastAsia" w:cs="宋体"/>
          <w:szCs w:val="24"/>
        </w:rPr>
        <w:t>由发包人暂停工作</w:t>
      </w:r>
    </w:p>
    <w:p>
      <w:pPr>
        <w:spacing w:line="360" w:lineRule="auto"/>
        <w:ind w:firstLine="480" w:firstLineChars="200"/>
        <w:rPr>
          <w:sz w:val="24"/>
          <w:szCs w:val="24"/>
        </w:rPr>
      </w:pPr>
      <w:r>
        <w:rPr>
          <w:rFonts w:hint="eastAsia"/>
          <w:sz w:val="24"/>
          <w:szCs w:val="24"/>
        </w:rPr>
        <w:t>发包人认为必要时，可通过工程师向承包人发出经发包人签认的暂停工作通知，应列明暂停原因、暂停的日期及预计暂停的期限。承包人应按该通知暂停工作。</w:t>
      </w:r>
    </w:p>
    <w:p>
      <w:pPr>
        <w:spacing w:line="360" w:lineRule="auto"/>
        <w:ind w:firstLine="480" w:firstLineChars="200"/>
        <w:rPr>
          <w:sz w:val="24"/>
          <w:szCs w:val="24"/>
        </w:rPr>
      </w:pPr>
      <w:r>
        <w:rPr>
          <w:rFonts w:hint="eastAsia"/>
          <w:sz w:val="24"/>
          <w:szCs w:val="24"/>
        </w:rPr>
        <w:t>承包人因执行暂停工作通知而造成费用的增加和（或）工期延误由发包人承担，并有权要求发包人支付合理利润，但由于承包人原因造成发包人暂停工作的除外。</w:t>
      </w:r>
    </w:p>
    <w:p>
      <w:pPr>
        <w:pStyle w:val="66"/>
        <w:spacing w:afterLines="0"/>
        <w:ind w:left="0" w:firstLine="480" w:firstLineChars="200"/>
        <w:rPr>
          <w:rFonts w:cs="宋体"/>
          <w:szCs w:val="24"/>
        </w:rPr>
      </w:pPr>
      <w:r>
        <w:rPr>
          <w:rFonts w:cs="宋体"/>
          <w:szCs w:val="24"/>
        </w:rPr>
        <w:t xml:space="preserve">8.9.2 </w:t>
      </w:r>
      <w:r>
        <w:rPr>
          <w:rFonts w:hint="eastAsia" w:cs="宋体"/>
          <w:szCs w:val="24"/>
        </w:rPr>
        <w:t>由承包人暂停工作</w:t>
      </w:r>
      <w:r>
        <w:rPr>
          <w:rFonts w:cs="宋体"/>
          <w:szCs w:val="24"/>
        </w:rPr>
        <w:t xml:space="preserve"> </w:t>
      </w:r>
    </w:p>
    <w:p>
      <w:pPr>
        <w:spacing w:line="360" w:lineRule="auto"/>
        <w:ind w:firstLine="480" w:firstLineChars="200"/>
        <w:rPr>
          <w:sz w:val="24"/>
          <w:szCs w:val="24"/>
        </w:rPr>
      </w:pPr>
      <w:r>
        <w:rPr>
          <w:rFonts w:hint="eastAsia"/>
          <w:sz w:val="24"/>
          <w:szCs w:val="24"/>
        </w:rPr>
        <w:t>因承包人原因所造成部分或全部工程的暂停，承包人应采取措施尽快复工并赶上进度，由此造成费用的增加或工期延误由承包人承担。因此造成逾期竣工的，承包人应按第</w:t>
      </w:r>
      <w:r>
        <w:rPr>
          <w:sz w:val="24"/>
          <w:szCs w:val="24"/>
        </w:rPr>
        <w:t>8.7.2</w:t>
      </w:r>
      <w:r>
        <w:rPr>
          <w:rFonts w:hint="eastAsia"/>
          <w:sz w:val="24"/>
          <w:szCs w:val="24"/>
        </w:rPr>
        <w:t>项</w:t>
      </w:r>
      <w:r>
        <w:rPr>
          <w:sz w:val="24"/>
          <w:szCs w:val="24"/>
        </w:rPr>
        <w:t>[</w:t>
      </w:r>
      <w:r>
        <w:rPr>
          <w:rFonts w:hint="eastAsia"/>
          <w:sz w:val="24"/>
          <w:szCs w:val="24"/>
        </w:rPr>
        <w:t>因承包人原因导致工期延误</w:t>
      </w:r>
      <w:r>
        <w:rPr>
          <w:sz w:val="24"/>
          <w:szCs w:val="24"/>
        </w:rPr>
        <w:t>]</w:t>
      </w:r>
      <w:r>
        <w:rPr>
          <w:rFonts w:hint="eastAsia"/>
          <w:sz w:val="24"/>
          <w:szCs w:val="24"/>
        </w:rPr>
        <w:t>承担逾期竣工违约责任。</w:t>
      </w:r>
    </w:p>
    <w:p>
      <w:pPr>
        <w:spacing w:line="360" w:lineRule="auto"/>
        <w:ind w:firstLine="480" w:firstLineChars="200"/>
        <w:rPr>
          <w:sz w:val="24"/>
          <w:szCs w:val="24"/>
        </w:rPr>
      </w:pPr>
      <w:r>
        <w:rPr>
          <w:rFonts w:hint="eastAsia"/>
          <w:sz w:val="24"/>
          <w:szCs w:val="24"/>
        </w:rPr>
        <w:t>合同履行过程中发生下列情形之一的，承包人可向发包人发出通知，要求发包人采取有效措施予以纠正。发包人收到承包人通知后的</w:t>
      </w:r>
      <w:r>
        <w:rPr>
          <w:sz w:val="24"/>
          <w:szCs w:val="24"/>
        </w:rPr>
        <w:t>28</w:t>
      </w:r>
      <w:r>
        <w:rPr>
          <w:rFonts w:hint="eastAsia"/>
          <w:sz w:val="24"/>
          <w:szCs w:val="24"/>
        </w:rPr>
        <w:t>天内仍不予以纠正，承包人有权暂停施工，并通知工程师。承包人有权要求发包人延长工期和（或）增加费用，并支付合理利润：</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发包人拖延、拒绝批准付款申请和支付证书，或未能按合同约定支付价款，导致付款延误的；</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发包人未按约定履行合同其他义务导致承包人无法继续履行合同的，或者发包人明确表示暂停或实质上已暂停履行合同的。</w:t>
      </w:r>
    </w:p>
    <w:p>
      <w:pPr>
        <w:pStyle w:val="66"/>
        <w:spacing w:afterLines="0"/>
        <w:ind w:left="0" w:firstLine="480" w:firstLineChars="200"/>
        <w:rPr>
          <w:rFonts w:cs="宋体"/>
          <w:szCs w:val="24"/>
        </w:rPr>
      </w:pPr>
      <w:r>
        <w:rPr>
          <w:rFonts w:cs="宋体"/>
          <w:szCs w:val="24"/>
        </w:rPr>
        <w:t xml:space="preserve">8.9.3 </w:t>
      </w:r>
      <w:r>
        <w:rPr>
          <w:rFonts w:hint="eastAsia" w:cs="宋体"/>
          <w:szCs w:val="24"/>
        </w:rPr>
        <w:t>除上述原因以外的暂停工作，双方应遵守第</w:t>
      </w:r>
      <w:r>
        <w:rPr>
          <w:rFonts w:cs="宋体"/>
          <w:szCs w:val="24"/>
        </w:rPr>
        <w:t>17</w:t>
      </w:r>
      <w:r>
        <w:rPr>
          <w:rFonts w:hint="eastAsia" w:cs="宋体"/>
          <w:szCs w:val="24"/>
        </w:rPr>
        <w:t>条</w:t>
      </w:r>
      <w:r>
        <w:rPr>
          <w:rFonts w:cs="宋体"/>
          <w:szCs w:val="24"/>
        </w:rPr>
        <w:t>[</w:t>
      </w:r>
      <w:r>
        <w:rPr>
          <w:rFonts w:hint="eastAsia" w:cs="宋体"/>
          <w:szCs w:val="24"/>
        </w:rPr>
        <w:t>不可抗力</w:t>
      </w:r>
      <w:r>
        <w:rPr>
          <w:rFonts w:cs="宋体"/>
          <w:szCs w:val="24"/>
        </w:rPr>
        <w:t>]</w:t>
      </w:r>
      <w:r>
        <w:rPr>
          <w:rFonts w:hint="eastAsia" w:cs="宋体"/>
          <w:szCs w:val="24"/>
        </w:rPr>
        <w:t>的相关约定。</w:t>
      </w:r>
    </w:p>
    <w:p>
      <w:pPr>
        <w:pStyle w:val="66"/>
        <w:spacing w:afterLines="0"/>
        <w:ind w:left="0" w:firstLine="480" w:firstLineChars="200"/>
        <w:rPr>
          <w:rFonts w:cs="宋体"/>
          <w:szCs w:val="24"/>
        </w:rPr>
      </w:pPr>
      <w:r>
        <w:rPr>
          <w:rFonts w:cs="宋体"/>
          <w:szCs w:val="24"/>
        </w:rPr>
        <w:t xml:space="preserve">8.9.4 </w:t>
      </w:r>
      <w:r>
        <w:rPr>
          <w:rFonts w:hint="eastAsia" w:cs="宋体"/>
          <w:szCs w:val="24"/>
        </w:rPr>
        <w:t>暂停工作期间的工程照管</w:t>
      </w:r>
      <w:r>
        <w:rPr>
          <w:rFonts w:cs="宋体"/>
          <w:szCs w:val="24"/>
        </w:rPr>
        <w:t xml:space="preserve"> </w:t>
      </w:r>
    </w:p>
    <w:p>
      <w:pPr>
        <w:spacing w:line="360" w:lineRule="auto"/>
        <w:ind w:firstLine="480" w:firstLineChars="200"/>
        <w:rPr>
          <w:sz w:val="24"/>
          <w:szCs w:val="24"/>
        </w:rPr>
      </w:pPr>
      <w:r>
        <w:rPr>
          <w:rFonts w:hint="eastAsia"/>
          <w:sz w:val="24"/>
          <w:szCs w:val="24"/>
        </w:rPr>
        <w:t>不论由于何种原因引起暂停工作的，暂停工作期间，承包人应负责对工程、工程物资及文件等进行照管和保护，并提供安全保障，由此增加的费用按第</w:t>
      </w:r>
      <w:r>
        <w:rPr>
          <w:sz w:val="24"/>
          <w:szCs w:val="24"/>
        </w:rPr>
        <w:t>8.9.1</w:t>
      </w:r>
      <w:r>
        <w:rPr>
          <w:rFonts w:hint="eastAsia"/>
          <w:sz w:val="24"/>
          <w:szCs w:val="24"/>
        </w:rPr>
        <w:t>项</w:t>
      </w:r>
      <w:r>
        <w:rPr>
          <w:sz w:val="24"/>
          <w:szCs w:val="24"/>
        </w:rPr>
        <w:t>[</w:t>
      </w:r>
      <w:r>
        <w:rPr>
          <w:rFonts w:hint="eastAsia"/>
          <w:sz w:val="24"/>
          <w:szCs w:val="24"/>
        </w:rPr>
        <w:t>由发包人暂停工作</w:t>
      </w:r>
      <w:r>
        <w:rPr>
          <w:sz w:val="24"/>
          <w:szCs w:val="24"/>
        </w:rPr>
        <w:t>]</w:t>
      </w:r>
      <w:r>
        <w:rPr>
          <w:rFonts w:hint="eastAsia"/>
          <w:sz w:val="24"/>
          <w:szCs w:val="24"/>
        </w:rPr>
        <w:t>和第</w:t>
      </w:r>
      <w:r>
        <w:rPr>
          <w:sz w:val="24"/>
          <w:szCs w:val="24"/>
        </w:rPr>
        <w:t>8.9.2</w:t>
      </w:r>
      <w:r>
        <w:rPr>
          <w:rFonts w:hint="eastAsia"/>
          <w:sz w:val="24"/>
          <w:szCs w:val="24"/>
        </w:rPr>
        <w:t>项</w:t>
      </w:r>
      <w:r>
        <w:rPr>
          <w:sz w:val="24"/>
          <w:szCs w:val="24"/>
        </w:rPr>
        <w:t>[</w:t>
      </w:r>
      <w:r>
        <w:rPr>
          <w:rFonts w:hint="eastAsia"/>
          <w:sz w:val="24"/>
          <w:szCs w:val="24"/>
        </w:rPr>
        <w:t>由承包人暂停工作</w:t>
      </w:r>
      <w:r>
        <w:rPr>
          <w:sz w:val="24"/>
          <w:szCs w:val="24"/>
        </w:rPr>
        <w:t>]</w:t>
      </w:r>
      <w:r>
        <w:rPr>
          <w:rFonts w:hint="eastAsia"/>
          <w:sz w:val="24"/>
          <w:szCs w:val="24"/>
        </w:rPr>
        <w:t>的约定承担。</w:t>
      </w:r>
    </w:p>
    <w:p>
      <w:pPr>
        <w:spacing w:line="360" w:lineRule="auto"/>
        <w:ind w:firstLine="480" w:firstLineChars="200"/>
        <w:rPr>
          <w:sz w:val="24"/>
          <w:szCs w:val="24"/>
        </w:rPr>
      </w:pPr>
      <w:r>
        <w:rPr>
          <w:rFonts w:hint="eastAsia"/>
          <w:sz w:val="24"/>
          <w:szCs w:val="24"/>
        </w:rPr>
        <w:t>因承包人未能尽到照管、保护的责任造成损失的，使发包人的费用增加，（或）竣工日期延误的，由承包人按本合同约定承担责任。</w:t>
      </w:r>
    </w:p>
    <w:p>
      <w:pPr>
        <w:pStyle w:val="66"/>
        <w:spacing w:afterLines="0"/>
        <w:ind w:left="0" w:firstLine="480" w:firstLineChars="200"/>
        <w:rPr>
          <w:rFonts w:cs="宋体"/>
          <w:szCs w:val="24"/>
        </w:rPr>
      </w:pPr>
      <w:r>
        <w:rPr>
          <w:rFonts w:cs="宋体"/>
          <w:szCs w:val="24"/>
        </w:rPr>
        <w:t xml:space="preserve">8.9.5 </w:t>
      </w:r>
      <w:r>
        <w:rPr>
          <w:rFonts w:hint="eastAsia" w:cs="宋体"/>
          <w:szCs w:val="24"/>
        </w:rPr>
        <w:t>拖长的暂停</w:t>
      </w:r>
    </w:p>
    <w:p>
      <w:pPr>
        <w:spacing w:line="360" w:lineRule="auto"/>
        <w:ind w:firstLine="480" w:firstLineChars="200"/>
        <w:rPr>
          <w:sz w:val="24"/>
          <w:szCs w:val="24"/>
        </w:rPr>
      </w:pPr>
      <w:r>
        <w:rPr>
          <w:rFonts w:hint="eastAsia"/>
          <w:sz w:val="24"/>
          <w:szCs w:val="24"/>
        </w:rPr>
        <w:t>根据第</w:t>
      </w:r>
      <w:r>
        <w:rPr>
          <w:sz w:val="24"/>
          <w:szCs w:val="24"/>
        </w:rPr>
        <w:t>8.9.1</w:t>
      </w:r>
      <w:r>
        <w:rPr>
          <w:rFonts w:hint="eastAsia"/>
          <w:sz w:val="24"/>
          <w:szCs w:val="24"/>
        </w:rPr>
        <w:t>项</w:t>
      </w:r>
      <w:r>
        <w:rPr>
          <w:sz w:val="24"/>
          <w:szCs w:val="24"/>
        </w:rPr>
        <w:t>[</w:t>
      </w:r>
      <w:r>
        <w:rPr>
          <w:rFonts w:hint="eastAsia"/>
          <w:sz w:val="24"/>
          <w:szCs w:val="24"/>
        </w:rPr>
        <w:t>由发包人暂停工作</w:t>
      </w:r>
      <w:r>
        <w:rPr>
          <w:sz w:val="24"/>
          <w:szCs w:val="24"/>
        </w:rPr>
        <w:t>]</w:t>
      </w:r>
      <w:r>
        <w:rPr>
          <w:rFonts w:hint="eastAsia"/>
          <w:sz w:val="24"/>
          <w:szCs w:val="24"/>
        </w:rPr>
        <w:t>暂停工作持续超过</w:t>
      </w:r>
      <w:r>
        <w:rPr>
          <w:sz w:val="24"/>
          <w:szCs w:val="24"/>
        </w:rPr>
        <w:t>56</w:t>
      </w:r>
      <w:r>
        <w:rPr>
          <w:rFonts w:hint="eastAsia"/>
          <w:sz w:val="24"/>
          <w:szCs w:val="24"/>
        </w:rPr>
        <w:t>天的，承包人可向发包人发出要求复工的通知。如果发包人没有在收到书面通知后</w:t>
      </w:r>
      <w:r>
        <w:rPr>
          <w:sz w:val="24"/>
          <w:szCs w:val="24"/>
        </w:rPr>
        <w:t>28</w:t>
      </w:r>
      <w:r>
        <w:rPr>
          <w:rFonts w:hint="eastAsia"/>
          <w:sz w:val="24"/>
          <w:szCs w:val="24"/>
        </w:rPr>
        <w:t>天内准许已暂停工作的全部或部分继续工作，承包人有权根据第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的约定，要求以变更方式调减受暂停影响的部分工程。发包人的暂停超过</w:t>
      </w:r>
      <w:r>
        <w:rPr>
          <w:sz w:val="24"/>
          <w:szCs w:val="24"/>
        </w:rPr>
        <w:t>56</w:t>
      </w:r>
      <w:r>
        <w:rPr>
          <w:rFonts w:hint="eastAsia"/>
          <w:sz w:val="24"/>
          <w:szCs w:val="24"/>
        </w:rPr>
        <w:t>天且暂停影响到整个工程的，承包人有权根据第</w:t>
      </w:r>
      <w:r>
        <w:rPr>
          <w:sz w:val="24"/>
          <w:szCs w:val="24"/>
        </w:rPr>
        <w:t>16.2</w:t>
      </w:r>
      <w:r>
        <w:rPr>
          <w:rFonts w:hint="eastAsia"/>
          <w:sz w:val="24"/>
          <w:szCs w:val="24"/>
        </w:rPr>
        <w:t>款</w:t>
      </w:r>
      <w:r>
        <w:rPr>
          <w:sz w:val="24"/>
          <w:szCs w:val="24"/>
        </w:rPr>
        <w:t>[</w:t>
      </w:r>
      <w:r>
        <w:rPr>
          <w:rFonts w:hint="eastAsia"/>
          <w:sz w:val="24"/>
          <w:szCs w:val="24"/>
        </w:rPr>
        <w:t>由承包人解除合同</w:t>
      </w:r>
      <w:r>
        <w:rPr>
          <w:sz w:val="24"/>
          <w:szCs w:val="24"/>
        </w:rPr>
        <w:t>]</w:t>
      </w:r>
      <w:r>
        <w:rPr>
          <w:rFonts w:hint="eastAsia"/>
          <w:sz w:val="24"/>
          <w:szCs w:val="24"/>
        </w:rPr>
        <w:t>的约定，发出解除合同的通知。</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8.10 </w:t>
      </w:r>
      <w:r>
        <w:rPr>
          <w:rFonts w:hint="eastAsia" w:ascii="宋体" w:hAnsi="宋体" w:eastAsia="宋体" w:cs="宋体"/>
        </w:rPr>
        <w:t>复工</w:t>
      </w:r>
      <w:r>
        <w:rPr>
          <w:rFonts w:ascii="宋体" w:hAnsi="宋体" w:eastAsia="宋体" w:cs="宋体"/>
        </w:rPr>
        <w:t xml:space="preserve"> </w:t>
      </w:r>
    </w:p>
    <w:p>
      <w:pPr>
        <w:pStyle w:val="66"/>
        <w:spacing w:afterLines="0"/>
        <w:ind w:left="0" w:firstLine="480" w:firstLineChars="200"/>
        <w:rPr>
          <w:rFonts w:cs="宋体"/>
          <w:szCs w:val="24"/>
        </w:rPr>
      </w:pPr>
      <w:r>
        <w:rPr>
          <w:rFonts w:cs="宋体"/>
          <w:szCs w:val="24"/>
        </w:rPr>
        <w:t xml:space="preserve">8.10.1 </w:t>
      </w:r>
      <w:r>
        <w:rPr>
          <w:rFonts w:hint="eastAsia" w:cs="宋体"/>
          <w:szCs w:val="24"/>
        </w:rPr>
        <w:t>收到发包人的复工通知后，承包人应按通知时间复工；发包人通知的复工时间应当给予承包人必要的准备复工时间。</w:t>
      </w:r>
    </w:p>
    <w:p>
      <w:pPr>
        <w:pStyle w:val="66"/>
        <w:spacing w:afterLines="0"/>
        <w:ind w:left="0" w:firstLine="480" w:firstLineChars="200"/>
        <w:rPr>
          <w:rFonts w:cs="宋体"/>
          <w:szCs w:val="24"/>
        </w:rPr>
      </w:pPr>
      <w:r>
        <w:rPr>
          <w:rFonts w:cs="宋体"/>
          <w:szCs w:val="24"/>
        </w:rPr>
        <w:t xml:space="preserve">8.10.2 </w:t>
      </w:r>
      <w:r>
        <w:rPr>
          <w:rFonts w:hint="eastAsia" w:cs="宋体"/>
          <w:szCs w:val="24"/>
        </w:rPr>
        <w:t>不论由于何种原因引起暂停工作，双方均可要求对方一同对受暂停影响的工程、工程设备和工程物资进行检查，承包人应将检查结果及需要恢复、修复的内容和估算通知发包人。</w:t>
      </w:r>
    </w:p>
    <w:p>
      <w:pPr>
        <w:pStyle w:val="66"/>
        <w:spacing w:afterLines="0"/>
        <w:ind w:left="0" w:firstLine="480" w:firstLineChars="200"/>
        <w:rPr>
          <w:rFonts w:cs="宋体"/>
          <w:szCs w:val="24"/>
        </w:rPr>
      </w:pPr>
      <w:r>
        <w:rPr>
          <w:rFonts w:cs="宋体"/>
          <w:szCs w:val="24"/>
        </w:rPr>
        <w:t xml:space="preserve">8.10.3 </w:t>
      </w:r>
      <w:r>
        <w:rPr>
          <w:rFonts w:hint="eastAsia" w:cs="宋体"/>
          <w:szCs w:val="24"/>
        </w:rPr>
        <w:t>除第</w:t>
      </w:r>
      <w:r>
        <w:rPr>
          <w:rFonts w:cs="宋体"/>
          <w:szCs w:val="24"/>
        </w:rPr>
        <w:t>17</w:t>
      </w:r>
      <w:r>
        <w:rPr>
          <w:rFonts w:hint="eastAsia" w:cs="宋体"/>
          <w:szCs w:val="24"/>
        </w:rPr>
        <w:t>条</w:t>
      </w:r>
      <w:r>
        <w:rPr>
          <w:rFonts w:cs="宋体"/>
          <w:szCs w:val="24"/>
        </w:rPr>
        <w:t>[</w:t>
      </w:r>
      <w:r>
        <w:rPr>
          <w:rFonts w:hint="eastAsia" w:cs="宋体"/>
          <w:szCs w:val="24"/>
        </w:rPr>
        <w:t>不可抗力</w:t>
      </w:r>
      <w:r>
        <w:rPr>
          <w:rFonts w:cs="宋体"/>
          <w:szCs w:val="24"/>
        </w:rPr>
        <w:t>]</w:t>
      </w:r>
      <w:r>
        <w:rPr>
          <w:rFonts w:hint="eastAsia" w:cs="宋体"/>
          <w:szCs w:val="24"/>
        </w:rPr>
        <w:t>另有约定外，发生的恢复、修复价款及工期延误的后果由责任方承担。</w:t>
      </w:r>
    </w:p>
    <w:p>
      <w:pPr>
        <w:pStyle w:val="64"/>
        <w:numPr>
          <w:ilvl w:val="0"/>
          <w:numId w:val="0"/>
        </w:numPr>
        <w:spacing w:before="0"/>
        <w:ind w:firstLine="482" w:firstLineChars="200"/>
        <w:rPr>
          <w:rFonts w:ascii="宋体"/>
          <w:b/>
          <w:sz w:val="24"/>
          <w:szCs w:val="24"/>
        </w:rPr>
      </w:pPr>
      <w:r>
        <w:rPr>
          <w:rFonts w:hint="eastAsia" w:ascii="宋体" w:hAnsi="宋体"/>
          <w:b/>
          <w:sz w:val="24"/>
          <w:szCs w:val="24"/>
        </w:rPr>
        <w:t>第</w:t>
      </w:r>
      <w:r>
        <w:rPr>
          <w:rFonts w:ascii="宋体" w:hAnsi="宋体"/>
          <w:b/>
          <w:sz w:val="24"/>
          <w:szCs w:val="24"/>
        </w:rPr>
        <w:t>9</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竣工试验</w:t>
      </w:r>
      <w:r>
        <w:rPr>
          <w:rFonts w:ascii="宋体" w:hAnsi="宋体"/>
          <w:b/>
          <w:sz w:val="24"/>
          <w:szCs w:val="24"/>
        </w:rPr>
        <w:t xml:space="preserve"> </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9.1 </w:t>
      </w:r>
      <w:r>
        <w:rPr>
          <w:rFonts w:hint="eastAsia" w:ascii="宋体" w:hAnsi="宋体" w:eastAsia="宋体" w:cs="宋体"/>
        </w:rPr>
        <w:t>竣工试验的义务</w:t>
      </w:r>
    </w:p>
    <w:p>
      <w:pPr>
        <w:pStyle w:val="66"/>
        <w:spacing w:afterLines="0"/>
        <w:ind w:left="0" w:firstLine="480" w:firstLineChars="200"/>
        <w:rPr>
          <w:rFonts w:cs="宋体"/>
          <w:szCs w:val="24"/>
        </w:rPr>
      </w:pPr>
      <w:r>
        <w:rPr>
          <w:rFonts w:cs="宋体"/>
          <w:szCs w:val="24"/>
        </w:rPr>
        <w:t xml:space="preserve">9.1.1 </w:t>
      </w:r>
      <w:r>
        <w:rPr>
          <w:rFonts w:hint="eastAsia" w:cs="宋体"/>
          <w:szCs w:val="24"/>
        </w:rPr>
        <w:t>承包人完成工程或区段工程进行竣工试验所需的作业，并根据第</w:t>
      </w:r>
      <w:r>
        <w:rPr>
          <w:rFonts w:cs="宋体"/>
          <w:szCs w:val="24"/>
        </w:rPr>
        <w:t>5.4</w:t>
      </w:r>
      <w:r>
        <w:rPr>
          <w:rFonts w:hint="eastAsia" w:cs="宋体"/>
          <w:szCs w:val="24"/>
        </w:rPr>
        <w:t>款</w:t>
      </w:r>
      <w:r>
        <w:rPr>
          <w:rFonts w:cs="宋体"/>
          <w:szCs w:val="24"/>
        </w:rPr>
        <w:t>[</w:t>
      </w:r>
      <w:r>
        <w:rPr>
          <w:rFonts w:hint="eastAsia" w:cs="宋体"/>
          <w:szCs w:val="24"/>
        </w:rPr>
        <w:t>竣工文件</w:t>
      </w:r>
      <w:r>
        <w:rPr>
          <w:rFonts w:cs="宋体"/>
          <w:szCs w:val="24"/>
        </w:rPr>
        <w:t>]</w:t>
      </w:r>
      <w:r>
        <w:rPr>
          <w:rFonts w:hint="eastAsia" w:cs="宋体"/>
          <w:szCs w:val="24"/>
        </w:rPr>
        <w:t>和第</w:t>
      </w:r>
      <w:r>
        <w:rPr>
          <w:rFonts w:cs="宋体"/>
          <w:szCs w:val="24"/>
        </w:rPr>
        <w:t>5.5</w:t>
      </w:r>
      <w:r>
        <w:rPr>
          <w:rFonts w:hint="eastAsia" w:cs="宋体"/>
          <w:szCs w:val="24"/>
        </w:rPr>
        <w:t>款</w:t>
      </w:r>
      <w:r>
        <w:rPr>
          <w:rFonts w:cs="宋体"/>
          <w:szCs w:val="24"/>
        </w:rPr>
        <w:t>[</w:t>
      </w:r>
      <w:r>
        <w:rPr>
          <w:rFonts w:hint="eastAsia" w:cs="宋体"/>
          <w:szCs w:val="24"/>
        </w:rPr>
        <w:t>操作和维修手册</w:t>
      </w:r>
      <w:r>
        <w:rPr>
          <w:rFonts w:cs="宋体"/>
          <w:szCs w:val="24"/>
        </w:rPr>
        <w:t>]</w:t>
      </w:r>
      <w:r>
        <w:rPr>
          <w:rFonts w:hint="eastAsia" w:cs="宋体"/>
          <w:szCs w:val="24"/>
        </w:rPr>
        <w:t>提交文件后，进行竣工试验。</w:t>
      </w:r>
    </w:p>
    <w:p>
      <w:pPr>
        <w:pStyle w:val="66"/>
        <w:spacing w:afterLines="0"/>
        <w:ind w:left="0" w:firstLine="480" w:firstLineChars="200"/>
        <w:rPr>
          <w:rFonts w:cs="宋体"/>
          <w:szCs w:val="24"/>
        </w:rPr>
      </w:pPr>
      <w:r>
        <w:rPr>
          <w:rFonts w:cs="宋体"/>
          <w:szCs w:val="24"/>
        </w:rPr>
        <w:t xml:space="preserve">9.1.2 </w:t>
      </w:r>
      <w:r>
        <w:rPr>
          <w:rFonts w:hint="eastAsia" w:cs="宋体"/>
          <w:szCs w:val="24"/>
        </w:rPr>
        <w:t>承包人应在进行竣工试验之前，至少提前</w:t>
      </w:r>
      <w:r>
        <w:rPr>
          <w:rFonts w:cs="宋体"/>
          <w:szCs w:val="24"/>
        </w:rPr>
        <w:t>42</w:t>
      </w:r>
      <w:r>
        <w:rPr>
          <w:rFonts w:hint="eastAsia" w:cs="宋体"/>
          <w:szCs w:val="24"/>
        </w:rPr>
        <w:t>天向工程师提交详细的竣工试验计划，该计划应载明竣工试验的内容、地点、拟开展时间和需要发包人提供的资源条件。工程师应在收到计划后的</w:t>
      </w:r>
      <w:r>
        <w:rPr>
          <w:rFonts w:cs="宋体"/>
          <w:szCs w:val="24"/>
        </w:rPr>
        <w:t>14</w:t>
      </w:r>
      <w:r>
        <w:rPr>
          <w:rFonts w:hint="eastAsia" w:cs="宋体"/>
          <w:szCs w:val="24"/>
        </w:rPr>
        <w:t>天内进行审查，并就该计划不符合合同的部分提出意见，承包人应在收到意见后的</w:t>
      </w:r>
      <w:r>
        <w:rPr>
          <w:rFonts w:cs="宋体"/>
          <w:szCs w:val="24"/>
        </w:rPr>
        <w:t>14</w:t>
      </w:r>
      <w:r>
        <w:rPr>
          <w:rFonts w:hint="eastAsia" w:cs="宋体"/>
          <w:szCs w:val="24"/>
        </w:rPr>
        <w:t>天内自费对计划进行修正。工程师逾期未提出意见的，视为竣工试验计划已得到确认。除提交竣工试验计划外，承包人还应提前</w:t>
      </w:r>
      <w:r>
        <w:rPr>
          <w:rFonts w:cs="宋体"/>
          <w:szCs w:val="24"/>
        </w:rPr>
        <w:t>21</w:t>
      </w:r>
      <w:r>
        <w:rPr>
          <w:rFonts w:hint="eastAsia" w:cs="宋体"/>
          <w:szCs w:val="24"/>
        </w:rPr>
        <w:t>天将可以开始进行各项竣工试验的日期通知工程师，并在该日期后的</w:t>
      </w:r>
      <w:r>
        <w:rPr>
          <w:rFonts w:cs="宋体"/>
          <w:szCs w:val="24"/>
        </w:rPr>
        <w:t>14</w:t>
      </w:r>
      <w:r>
        <w:rPr>
          <w:rFonts w:hint="eastAsia" w:cs="宋体"/>
          <w:szCs w:val="24"/>
        </w:rPr>
        <w:t>天内或工程师指示的日期进行竣工试验。</w:t>
      </w:r>
    </w:p>
    <w:p>
      <w:pPr>
        <w:pStyle w:val="66"/>
        <w:spacing w:afterLines="0"/>
        <w:ind w:left="0" w:firstLine="480" w:firstLineChars="200"/>
        <w:rPr>
          <w:rFonts w:cs="宋体"/>
          <w:szCs w:val="24"/>
        </w:rPr>
      </w:pPr>
      <w:r>
        <w:rPr>
          <w:rFonts w:cs="宋体"/>
          <w:szCs w:val="24"/>
        </w:rPr>
        <w:t xml:space="preserve">9.1.3 </w:t>
      </w:r>
      <w:r>
        <w:rPr>
          <w:rFonts w:hint="eastAsia" w:cs="宋体"/>
          <w:szCs w:val="24"/>
        </w:rPr>
        <w:t>承包人应根据经确认的竣工试验计划以及第</w:t>
      </w:r>
      <w:r>
        <w:rPr>
          <w:rFonts w:cs="宋体"/>
          <w:szCs w:val="24"/>
        </w:rPr>
        <w:t>6.5</w:t>
      </w:r>
      <w:r>
        <w:rPr>
          <w:rFonts w:hint="eastAsia" w:cs="宋体"/>
          <w:szCs w:val="24"/>
        </w:rPr>
        <w:t>款</w:t>
      </w:r>
      <w:r>
        <w:rPr>
          <w:rFonts w:cs="宋体"/>
          <w:szCs w:val="24"/>
        </w:rPr>
        <w:t>[</w:t>
      </w:r>
      <w:r>
        <w:rPr>
          <w:rFonts w:hint="eastAsia" w:cs="宋体"/>
          <w:szCs w:val="24"/>
        </w:rPr>
        <w:t>由承包人试验和检验</w:t>
      </w:r>
      <w:r>
        <w:rPr>
          <w:rFonts w:cs="宋体"/>
          <w:szCs w:val="24"/>
        </w:rPr>
        <w:t>]</w:t>
      </w:r>
      <w:r>
        <w:rPr>
          <w:rFonts w:hint="eastAsia" w:cs="宋体"/>
          <w:szCs w:val="24"/>
        </w:rPr>
        <w:t>进行竣工试验。除《发包人要求》中另有说明外，竣工试验应按以下顺序分阶段进行，即只有在工程或区段工程已通过上一阶段试验的情况下，才可进行下一阶段试验：</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承包人进行启动前试验，包括适当的检查和功能性试验，以证明工程或区段工程的每一部分均能够安全地承受下一阶段试验；</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承包人进行启动试验，以证明工程或区段工程能够在所有可利用的操作条件下安全运行，并按照专用合同条件和《发包人要求》中的规定操作；</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承包人进行试运行试验。当工程或区段工程能稳定安全运行时，承包人应通知工程师，可以进行其他竣工试验，包括各种性能测试，以证明工程或区段工程符合《发包人要求》中列明的性能保证指标。</w:t>
      </w:r>
    </w:p>
    <w:p>
      <w:pPr>
        <w:spacing w:line="360" w:lineRule="auto"/>
        <w:ind w:firstLine="480" w:firstLineChars="200"/>
        <w:rPr>
          <w:sz w:val="24"/>
          <w:szCs w:val="24"/>
        </w:rPr>
      </w:pPr>
      <w:r>
        <w:rPr>
          <w:rFonts w:hint="eastAsia"/>
          <w:sz w:val="24"/>
          <w:szCs w:val="24"/>
        </w:rPr>
        <w:t>进行上述试验不应构成第</w:t>
      </w:r>
      <w:r>
        <w:rPr>
          <w:sz w:val="24"/>
          <w:szCs w:val="24"/>
        </w:rPr>
        <w:t>10</w:t>
      </w:r>
      <w:r>
        <w:rPr>
          <w:rFonts w:hint="eastAsia"/>
          <w:sz w:val="24"/>
          <w:szCs w:val="24"/>
        </w:rPr>
        <w:t>条</w:t>
      </w:r>
      <w:r>
        <w:rPr>
          <w:sz w:val="24"/>
          <w:szCs w:val="24"/>
        </w:rPr>
        <w:t>[</w:t>
      </w:r>
      <w:r>
        <w:rPr>
          <w:rFonts w:hint="eastAsia"/>
          <w:sz w:val="24"/>
          <w:szCs w:val="24"/>
        </w:rPr>
        <w:t>验收和工程接收</w:t>
      </w:r>
      <w:r>
        <w:rPr>
          <w:sz w:val="24"/>
          <w:szCs w:val="24"/>
        </w:rPr>
        <w:t>]</w:t>
      </w:r>
      <w:r>
        <w:rPr>
          <w:rFonts w:hint="eastAsia"/>
          <w:sz w:val="24"/>
          <w:szCs w:val="24"/>
        </w:rPr>
        <w:t>规定的接收，但试验所产生的任何产品或其他收益均应归属于发包人。</w:t>
      </w:r>
    </w:p>
    <w:p>
      <w:pPr>
        <w:pStyle w:val="66"/>
        <w:spacing w:afterLines="0"/>
        <w:ind w:left="0" w:firstLine="480" w:firstLineChars="200"/>
        <w:rPr>
          <w:rFonts w:cs="宋体"/>
          <w:szCs w:val="24"/>
        </w:rPr>
      </w:pPr>
      <w:r>
        <w:rPr>
          <w:rFonts w:cs="宋体"/>
          <w:szCs w:val="24"/>
        </w:rPr>
        <w:t xml:space="preserve">9.1.4 </w:t>
      </w:r>
      <w:r>
        <w:rPr>
          <w:rFonts w:hint="eastAsia" w:cs="宋体"/>
          <w:szCs w:val="24"/>
        </w:rPr>
        <w:t>完成上述各阶段竣工试验后，承包人应向工程师提交试验结果报告，试验结果须符合约定的标准、规范和数据。工程师应在收到报告后</w:t>
      </w:r>
      <w:r>
        <w:rPr>
          <w:rFonts w:cs="宋体"/>
          <w:szCs w:val="24"/>
        </w:rPr>
        <w:t>14</w:t>
      </w:r>
      <w:r>
        <w:rPr>
          <w:rFonts w:hint="eastAsia" w:cs="宋体"/>
          <w:szCs w:val="24"/>
        </w:rPr>
        <w:t>天内予以回复，逾期未回复的，视为认可竣工试验结果。但在考虑工程或区段工程是否通过竣工试验时，应适当考虑发包人对工程或其任何部分的使用，对工程或区段工程的性能、特性和试验结果产生的影响。</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9.2 </w:t>
      </w:r>
      <w:r>
        <w:rPr>
          <w:rFonts w:hint="eastAsia" w:ascii="宋体" w:hAnsi="宋体" w:eastAsia="宋体" w:cs="宋体"/>
        </w:rPr>
        <w:t>延误的试验</w:t>
      </w:r>
    </w:p>
    <w:p>
      <w:pPr>
        <w:pStyle w:val="66"/>
        <w:spacing w:afterLines="0"/>
        <w:ind w:left="0" w:firstLine="480" w:firstLineChars="200"/>
        <w:rPr>
          <w:rFonts w:cs="宋体"/>
          <w:szCs w:val="24"/>
        </w:rPr>
      </w:pPr>
      <w:r>
        <w:rPr>
          <w:rFonts w:cs="宋体"/>
          <w:szCs w:val="24"/>
        </w:rPr>
        <w:t xml:space="preserve">9.2.1 </w:t>
      </w:r>
      <w:r>
        <w:rPr>
          <w:rFonts w:hint="eastAsia" w:cs="宋体"/>
          <w:szCs w:val="24"/>
        </w:rPr>
        <w:t>如果承包人已根据第</w:t>
      </w:r>
      <w:r>
        <w:rPr>
          <w:rFonts w:cs="宋体"/>
          <w:szCs w:val="24"/>
        </w:rPr>
        <w:t>9.1</w:t>
      </w:r>
      <w:r>
        <w:rPr>
          <w:rFonts w:hint="eastAsia" w:cs="宋体"/>
          <w:szCs w:val="24"/>
        </w:rPr>
        <w:t>款</w:t>
      </w:r>
      <w:r>
        <w:rPr>
          <w:rFonts w:cs="宋体"/>
          <w:szCs w:val="24"/>
        </w:rPr>
        <w:t>[</w:t>
      </w:r>
      <w:r>
        <w:rPr>
          <w:rFonts w:hint="eastAsia" w:cs="宋体"/>
          <w:szCs w:val="24"/>
        </w:rPr>
        <w:t>竣工试验的义务</w:t>
      </w:r>
      <w:r>
        <w:rPr>
          <w:rFonts w:cs="宋体"/>
          <w:szCs w:val="24"/>
        </w:rPr>
        <w:t>]</w:t>
      </w:r>
      <w:r>
        <w:rPr>
          <w:rFonts w:hint="eastAsia" w:cs="宋体"/>
          <w:szCs w:val="24"/>
        </w:rPr>
        <w:t>就可以开始进行各项竣工试验的日期通知工程师，但该等试验因发包人原因被延误</w:t>
      </w:r>
      <w:r>
        <w:rPr>
          <w:rFonts w:cs="宋体"/>
          <w:szCs w:val="24"/>
        </w:rPr>
        <w:t>14</w:t>
      </w:r>
      <w:r>
        <w:rPr>
          <w:rFonts w:hint="eastAsia" w:cs="宋体"/>
          <w:szCs w:val="24"/>
        </w:rPr>
        <w:t>天以上的，发包人应承担由此增加的费用和工期延误，并支付承包人合理利润。同时，承包人应在合理可行的情况下尽快进行竣工试验。</w:t>
      </w:r>
    </w:p>
    <w:p>
      <w:pPr>
        <w:pStyle w:val="66"/>
        <w:spacing w:afterLines="0"/>
        <w:ind w:left="0" w:firstLine="480" w:firstLineChars="200"/>
        <w:rPr>
          <w:rFonts w:cs="宋体"/>
          <w:szCs w:val="24"/>
        </w:rPr>
      </w:pPr>
      <w:r>
        <w:rPr>
          <w:rFonts w:cs="宋体"/>
          <w:szCs w:val="24"/>
        </w:rPr>
        <w:t xml:space="preserve">9.2.2 </w:t>
      </w:r>
      <w:r>
        <w:rPr>
          <w:rFonts w:hint="eastAsia" w:cs="宋体"/>
          <w:szCs w:val="24"/>
        </w:rPr>
        <w:t>承包人无正当理由延误进行竣工试验的，工程师可向其发出通知，要求其在收到通知后的</w:t>
      </w:r>
      <w:r>
        <w:rPr>
          <w:rFonts w:cs="宋体"/>
          <w:szCs w:val="24"/>
        </w:rPr>
        <w:t>21</w:t>
      </w:r>
      <w:r>
        <w:rPr>
          <w:rFonts w:hint="eastAsia" w:cs="宋体"/>
          <w:szCs w:val="24"/>
        </w:rPr>
        <w:t>天内进行该项竣工试验。承包人应在该</w:t>
      </w:r>
      <w:r>
        <w:rPr>
          <w:rFonts w:cs="宋体"/>
          <w:szCs w:val="24"/>
        </w:rPr>
        <w:t>21</w:t>
      </w:r>
      <w:r>
        <w:rPr>
          <w:rFonts w:hint="eastAsia" w:cs="宋体"/>
          <w:szCs w:val="24"/>
        </w:rPr>
        <w:t>天的期限内确定进行试验的日期，并至少提前</w:t>
      </w:r>
      <w:r>
        <w:rPr>
          <w:rFonts w:cs="宋体"/>
          <w:szCs w:val="24"/>
        </w:rPr>
        <w:t>7</w:t>
      </w:r>
      <w:r>
        <w:rPr>
          <w:rFonts w:hint="eastAsia" w:cs="宋体"/>
          <w:szCs w:val="24"/>
        </w:rPr>
        <w:t>天通知工程师。</w:t>
      </w:r>
    </w:p>
    <w:p>
      <w:pPr>
        <w:pStyle w:val="66"/>
        <w:spacing w:afterLines="0"/>
        <w:ind w:left="0" w:firstLine="480" w:firstLineChars="200"/>
        <w:rPr>
          <w:rFonts w:cs="宋体"/>
          <w:szCs w:val="24"/>
        </w:rPr>
      </w:pPr>
      <w:r>
        <w:rPr>
          <w:rFonts w:cs="宋体"/>
          <w:szCs w:val="24"/>
        </w:rPr>
        <w:t xml:space="preserve">9.2.3 </w:t>
      </w:r>
      <w:r>
        <w:rPr>
          <w:rFonts w:hint="eastAsia" w:cs="宋体"/>
          <w:szCs w:val="24"/>
        </w:rPr>
        <w:t>如果承包人未在该期限内进行竣工试验，则发包人有权自行组织该项竣工试验，由此产生的合理费用由承包人承担。发包人应在试验完成后</w:t>
      </w:r>
      <w:r>
        <w:rPr>
          <w:rFonts w:cs="宋体"/>
          <w:szCs w:val="24"/>
        </w:rPr>
        <w:t>28</w:t>
      </w:r>
      <w:r>
        <w:rPr>
          <w:rFonts w:hint="eastAsia" w:cs="宋体"/>
          <w:szCs w:val="24"/>
        </w:rPr>
        <w:t>天内向承包人发送试验结果。</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9.3 </w:t>
      </w:r>
      <w:r>
        <w:rPr>
          <w:rFonts w:hint="eastAsia" w:ascii="宋体" w:hAnsi="宋体" w:eastAsia="宋体" w:cs="宋体"/>
        </w:rPr>
        <w:t>重新试验</w:t>
      </w:r>
      <w:r>
        <w:rPr>
          <w:rFonts w:ascii="宋体" w:hAnsi="宋体" w:eastAsia="宋体" w:cs="宋体"/>
        </w:rPr>
        <w:t xml:space="preserve"> </w:t>
      </w:r>
    </w:p>
    <w:p>
      <w:pPr>
        <w:spacing w:line="360" w:lineRule="auto"/>
        <w:ind w:firstLine="480" w:firstLineChars="200"/>
        <w:rPr>
          <w:sz w:val="24"/>
          <w:szCs w:val="24"/>
        </w:rPr>
      </w:pPr>
      <w:r>
        <w:rPr>
          <w:rFonts w:hint="eastAsia"/>
          <w:sz w:val="24"/>
          <w:szCs w:val="24"/>
        </w:rPr>
        <w:t>如果工程或区段工程未能通过竣工试验，则承包人应根据第</w:t>
      </w:r>
      <w:r>
        <w:rPr>
          <w:sz w:val="24"/>
          <w:szCs w:val="24"/>
        </w:rPr>
        <w:t>6.6</w:t>
      </w:r>
      <w:r>
        <w:rPr>
          <w:rFonts w:hint="eastAsia"/>
          <w:sz w:val="24"/>
          <w:szCs w:val="24"/>
        </w:rPr>
        <w:t>款</w:t>
      </w:r>
      <w:r>
        <w:rPr>
          <w:sz w:val="24"/>
          <w:szCs w:val="24"/>
        </w:rPr>
        <w:t>[</w:t>
      </w:r>
      <w:r>
        <w:rPr>
          <w:rFonts w:hint="eastAsia"/>
          <w:sz w:val="24"/>
          <w:szCs w:val="24"/>
        </w:rPr>
        <w:t>缺陷和修补</w:t>
      </w:r>
      <w:r>
        <w:rPr>
          <w:sz w:val="24"/>
          <w:szCs w:val="24"/>
        </w:rPr>
        <w:t>]</w:t>
      </w:r>
      <w:r>
        <w:rPr>
          <w:rFonts w:hint="eastAsia"/>
          <w:sz w:val="24"/>
          <w:szCs w:val="24"/>
        </w:rPr>
        <w:t>修补缺陷。发包人或承包人可要求按相同的条件，重新进行未通过的试验以及相关工程或区段工程的竣工试验。该等重新进行的试验仍应适用本条对于竣工试验的规定。</w:t>
      </w:r>
    </w:p>
    <w:p>
      <w:pPr>
        <w:pStyle w:val="65"/>
        <w:widowControl/>
        <w:spacing w:afterLines="0"/>
        <w:ind w:left="0" w:firstLine="480" w:firstLineChars="200"/>
        <w:rPr>
          <w:rFonts w:ascii="宋体" w:hAnsi="宋体" w:eastAsia="宋体" w:cs="宋体"/>
          <w:b w:val="0"/>
          <w:bCs/>
        </w:rPr>
      </w:pPr>
      <w:r>
        <w:rPr>
          <w:rFonts w:ascii="宋体" w:hAnsi="宋体" w:eastAsia="宋体" w:cs="宋体"/>
          <w:b w:val="0"/>
          <w:bCs/>
        </w:rPr>
        <w:t xml:space="preserve">9.4 </w:t>
      </w:r>
      <w:r>
        <w:rPr>
          <w:rFonts w:hint="eastAsia" w:ascii="宋体" w:hAnsi="宋体" w:eastAsia="宋体" w:cs="宋体"/>
          <w:b w:val="0"/>
          <w:bCs/>
        </w:rPr>
        <w:t>未能通过竣工试验</w:t>
      </w:r>
    </w:p>
    <w:p>
      <w:pPr>
        <w:pStyle w:val="66"/>
        <w:spacing w:afterLines="0"/>
        <w:ind w:left="0" w:firstLine="480" w:firstLineChars="200"/>
        <w:rPr>
          <w:rFonts w:cs="宋体"/>
          <w:szCs w:val="24"/>
        </w:rPr>
      </w:pPr>
      <w:r>
        <w:rPr>
          <w:rFonts w:cs="宋体"/>
          <w:szCs w:val="24"/>
        </w:rPr>
        <w:t xml:space="preserve">9.4.1 </w:t>
      </w:r>
      <w:r>
        <w:rPr>
          <w:rFonts w:hint="eastAsia" w:cs="宋体"/>
          <w:szCs w:val="24"/>
        </w:rPr>
        <w:t>因发包人原因导致竣工试验未能通过的，承包人进行竣工试验的费用由发包人承担，竣工日期相应顺延。</w:t>
      </w:r>
    </w:p>
    <w:p>
      <w:pPr>
        <w:pStyle w:val="66"/>
        <w:spacing w:afterLines="0"/>
        <w:ind w:left="0" w:firstLine="480" w:firstLineChars="200"/>
        <w:rPr>
          <w:rFonts w:cs="宋体"/>
          <w:szCs w:val="24"/>
        </w:rPr>
      </w:pPr>
      <w:r>
        <w:rPr>
          <w:rFonts w:cs="宋体"/>
          <w:szCs w:val="24"/>
        </w:rPr>
        <w:t xml:space="preserve">9.4.2 </w:t>
      </w:r>
      <w:r>
        <w:rPr>
          <w:rFonts w:hint="eastAsia" w:cs="宋体"/>
          <w:szCs w:val="24"/>
        </w:rPr>
        <w:t>如果工程或区段工程未能通过根据第</w:t>
      </w:r>
      <w:r>
        <w:rPr>
          <w:rFonts w:cs="宋体"/>
          <w:szCs w:val="24"/>
        </w:rPr>
        <w:t>9.3</w:t>
      </w:r>
      <w:r>
        <w:rPr>
          <w:rFonts w:hint="eastAsia" w:cs="宋体"/>
          <w:szCs w:val="24"/>
        </w:rPr>
        <w:t>款</w:t>
      </w:r>
      <w:r>
        <w:rPr>
          <w:rFonts w:cs="宋体"/>
          <w:szCs w:val="24"/>
        </w:rPr>
        <w:t>[</w:t>
      </w:r>
      <w:r>
        <w:rPr>
          <w:rFonts w:hint="eastAsia" w:cs="宋体"/>
          <w:szCs w:val="24"/>
        </w:rPr>
        <w:t>重新试验</w:t>
      </w:r>
      <w:r>
        <w:rPr>
          <w:rFonts w:cs="宋体"/>
          <w:szCs w:val="24"/>
        </w:rPr>
        <w:t>]</w:t>
      </w:r>
      <w:r>
        <w:rPr>
          <w:rFonts w:hint="eastAsia" w:cs="宋体"/>
          <w:szCs w:val="24"/>
        </w:rPr>
        <w:t>重新进行的竣工试验的，则：</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发包人有权要求承包人根据第</w:t>
      </w:r>
      <w:r>
        <w:rPr>
          <w:sz w:val="24"/>
          <w:szCs w:val="24"/>
        </w:rPr>
        <w:t>6.6</w:t>
      </w:r>
      <w:r>
        <w:rPr>
          <w:rFonts w:hint="eastAsia"/>
          <w:sz w:val="24"/>
          <w:szCs w:val="24"/>
        </w:rPr>
        <w:t>款</w:t>
      </w:r>
      <w:r>
        <w:rPr>
          <w:sz w:val="24"/>
          <w:szCs w:val="24"/>
        </w:rPr>
        <w:t>[</w:t>
      </w:r>
      <w:r>
        <w:rPr>
          <w:rFonts w:hint="eastAsia"/>
          <w:sz w:val="24"/>
          <w:szCs w:val="24"/>
        </w:rPr>
        <w:t>缺陷和修补</w:t>
      </w:r>
      <w:r>
        <w:rPr>
          <w:sz w:val="24"/>
          <w:szCs w:val="24"/>
        </w:rPr>
        <w:t>]</w:t>
      </w:r>
      <w:r>
        <w:rPr>
          <w:rFonts w:hint="eastAsia"/>
          <w:sz w:val="24"/>
          <w:szCs w:val="24"/>
        </w:rPr>
        <w:t>继续进行修补和改正，并根据第</w:t>
      </w:r>
      <w:r>
        <w:rPr>
          <w:sz w:val="24"/>
          <w:szCs w:val="24"/>
        </w:rPr>
        <w:t>9.3</w:t>
      </w:r>
      <w:r>
        <w:rPr>
          <w:rFonts w:hint="eastAsia"/>
          <w:sz w:val="24"/>
          <w:szCs w:val="24"/>
        </w:rPr>
        <w:t>款</w:t>
      </w:r>
      <w:r>
        <w:rPr>
          <w:sz w:val="24"/>
          <w:szCs w:val="24"/>
        </w:rPr>
        <w:t>[</w:t>
      </w:r>
      <w:r>
        <w:rPr>
          <w:rFonts w:hint="eastAsia"/>
          <w:sz w:val="24"/>
          <w:szCs w:val="24"/>
        </w:rPr>
        <w:t>重新试验</w:t>
      </w:r>
      <w:r>
        <w:rPr>
          <w:sz w:val="24"/>
          <w:szCs w:val="24"/>
        </w:rPr>
        <w:t>]</w:t>
      </w:r>
      <w:r>
        <w:rPr>
          <w:rFonts w:hint="eastAsia"/>
          <w:sz w:val="24"/>
          <w:szCs w:val="24"/>
        </w:rPr>
        <w:t>再次进行竣工试验；</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未能通过竣工试验，对工程或区段工程的操作或使用未产生实质性影响的，发包人有权要求承包人自费修复，承担因此增加的费用和误期损害赔偿责任，并赔偿发包人的相应损失；无法修复时，发包人有权扣减该部分的相应付款，同时视为通过竣工验收；</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未能通过竣工试验，使工程或区段工程的任何主要部分丧失了生产、使用功能时，发包人有权指令承包人更换相关部分，承包人应承担因此增加的费用和误期损害赔偿责任，并赔偿发包人的相应损失；</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未能通过竣工试验，使整个工程或区段工程丧失了生产、使用功能时，发包人可拒收工程或区段工程，或指令承包人重新设计、重置相关部分，承包人应承担因此增加的费用和误期损害赔偿责任，并赔偿发包人的相应损失。同时发包人有权根据第</w:t>
      </w:r>
      <w:r>
        <w:rPr>
          <w:sz w:val="24"/>
          <w:szCs w:val="24"/>
        </w:rPr>
        <w:t>16.1</w:t>
      </w:r>
      <w:r>
        <w:rPr>
          <w:rFonts w:hint="eastAsia"/>
          <w:sz w:val="24"/>
          <w:szCs w:val="24"/>
        </w:rPr>
        <w:t>款</w:t>
      </w:r>
      <w:r>
        <w:rPr>
          <w:sz w:val="24"/>
          <w:szCs w:val="24"/>
        </w:rPr>
        <w:t>[</w:t>
      </w:r>
      <w:r>
        <w:rPr>
          <w:rFonts w:hint="eastAsia"/>
          <w:sz w:val="24"/>
          <w:szCs w:val="24"/>
        </w:rPr>
        <w:t>由发包人解除合同</w:t>
      </w:r>
      <w:r>
        <w:rPr>
          <w:sz w:val="24"/>
          <w:szCs w:val="24"/>
        </w:rPr>
        <w:t>]</w:t>
      </w:r>
      <w:r>
        <w:rPr>
          <w:rFonts w:hint="eastAsia"/>
          <w:sz w:val="24"/>
          <w:szCs w:val="24"/>
        </w:rPr>
        <w:t>的约定解除合同。</w:t>
      </w:r>
    </w:p>
    <w:p>
      <w:pPr>
        <w:pStyle w:val="64"/>
        <w:numPr>
          <w:ilvl w:val="0"/>
          <w:numId w:val="0"/>
        </w:numPr>
        <w:spacing w:before="0"/>
        <w:ind w:firstLine="482" w:firstLineChars="200"/>
        <w:rPr>
          <w:rFonts w:ascii="宋体"/>
          <w:b/>
          <w:sz w:val="24"/>
          <w:szCs w:val="24"/>
        </w:rPr>
      </w:pPr>
      <w:r>
        <w:rPr>
          <w:rFonts w:hint="eastAsia" w:ascii="宋体" w:hAnsi="宋体"/>
          <w:b/>
          <w:sz w:val="24"/>
          <w:szCs w:val="24"/>
        </w:rPr>
        <w:t>第</w:t>
      </w:r>
      <w:r>
        <w:rPr>
          <w:rFonts w:ascii="宋体" w:hAnsi="宋体"/>
          <w:b/>
          <w:sz w:val="24"/>
          <w:szCs w:val="24"/>
        </w:rPr>
        <w:t>10</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验收和工程接收</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10.1 </w:t>
      </w:r>
      <w:r>
        <w:rPr>
          <w:rFonts w:hint="eastAsia" w:ascii="宋体" w:hAnsi="宋体" w:eastAsia="宋体" w:cs="宋体"/>
        </w:rPr>
        <w:t>竣工验收</w:t>
      </w:r>
    </w:p>
    <w:p>
      <w:pPr>
        <w:pStyle w:val="66"/>
        <w:spacing w:afterLines="0"/>
        <w:ind w:left="0" w:firstLine="480" w:firstLineChars="200"/>
        <w:rPr>
          <w:rFonts w:cs="宋体"/>
          <w:szCs w:val="24"/>
        </w:rPr>
      </w:pPr>
      <w:r>
        <w:rPr>
          <w:rFonts w:cs="宋体"/>
          <w:szCs w:val="24"/>
        </w:rPr>
        <w:t xml:space="preserve">10.1.1 </w:t>
      </w:r>
      <w:r>
        <w:rPr>
          <w:rFonts w:hint="eastAsia" w:cs="宋体"/>
          <w:szCs w:val="24"/>
        </w:rPr>
        <w:t>竣工验收条件</w:t>
      </w:r>
    </w:p>
    <w:p>
      <w:pPr>
        <w:spacing w:line="360" w:lineRule="auto"/>
        <w:ind w:firstLine="480" w:firstLineChars="200"/>
        <w:rPr>
          <w:sz w:val="24"/>
          <w:szCs w:val="24"/>
        </w:rPr>
      </w:pPr>
      <w:r>
        <w:rPr>
          <w:rFonts w:hint="eastAsia"/>
          <w:sz w:val="24"/>
          <w:szCs w:val="24"/>
        </w:rPr>
        <w:t>工程具备以下条件的，承包人可以申请竣工验收：</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除因第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导致的工程量删减和第</w:t>
      </w:r>
      <w:r>
        <w:rPr>
          <w:sz w:val="24"/>
          <w:szCs w:val="24"/>
        </w:rPr>
        <w:t>14.5.3</w:t>
      </w:r>
      <w:r>
        <w:rPr>
          <w:rFonts w:hint="eastAsia"/>
          <w:sz w:val="24"/>
          <w:szCs w:val="24"/>
        </w:rPr>
        <w:t>项</w:t>
      </w:r>
      <w:r>
        <w:rPr>
          <w:sz w:val="24"/>
          <w:szCs w:val="24"/>
        </w:rPr>
        <w:t>[</w:t>
      </w:r>
      <w:r>
        <w:rPr>
          <w:rFonts w:hint="eastAsia"/>
          <w:sz w:val="24"/>
          <w:szCs w:val="24"/>
        </w:rPr>
        <w:t>扫尾工作清单</w:t>
      </w:r>
      <w:r>
        <w:rPr>
          <w:sz w:val="24"/>
          <w:szCs w:val="24"/>
        </w:rPr>
        <w:t>]</w:t>
      </w:r>
      <w:r>
        <w:rPr>
          <w:rFonts w:hint="eastAsia"/>
          <w:sz w:val="24"/>
          <w:szCs w:val="24"/>
        </w:rPr>
        <w:t>列入缺陷责任期内完成的扫尾工程和缺陷修补工作外，合同范围内的全部单位</w:t>
      </w:r>
      <w:r>
        <w:rPr>
          <w:sz w:val="24"/>
          <w:szCs w:val="24"/>
        </w:rPr>
        <w:t>/</w:t>
      </w:r>
      <w:r>
        <w:rPr>
          <w:rFonts w:hint="eastAsia"/>
          <w:sz w:val="24"/>
          <w:szCs w:val="24"/>
        </w:rPr>
        <w:t>区段工程以及有关工作，包括合同要求的试验和竣工试验均已完成，并符合合同要求；</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已按合同约定编制了扫尾工作和缺陷修补工作清单以及相应实施计划；</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已按合同约定的内容和份数备齐竣工资料；</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合同约定要求在竣工验收前应完成的其他工作。</w:t>
      </w:r>
    </w:p>
    <w:p>
      <w:pPr>
        <w:pStyle w:val="66"/>
        <w:spacing w:afterLines="0"/>
        <w:ind w:left="0" w:firstLine="480" w:firstLineChars="200"/>
        <w:rPr>
          <w:rFonts w:cs="宋体"/>
          <w:szCs w:val="24"/>
        </w:rPr>
      </w:pPr>
      <w:r>
        <w:rPr>
          <w:rFonts w:cs="宋体"/>
          <w:szCs w:val="24"/>
        </w:rPr>
        <w:t xml:space="preserve">10.1.2 </w:t>
      </w:r>
      <w:r>
        <w:rPr>
          <w:rFonts w:hint="eastAsia" w:cs="宋体"/>
          <w:szCs w:val="24"/>
        </w:rPr>
        <w:t>竣工验收程序</w:t>
      </w:r>
    </w:p>
    <w:p>
      <w:pPr>
        <w:spacing w:line="360" w:lineRule="auto"/>
        <w:ind w:firstLine="480" w:firstLineChars="200"/>
        <w:rPr>
          <w:sz w:val="24"/>
          <w:szCs w:val="24"/>
        </w:rPr>
      </w:pPr>
      <w:r>
        <w:rPr>
          <w:rFonts w:hint="eastAsia"/>
          <w:sz w:val="24"/>
          <w:szCs w:val="24"/>
        </w:rPr>
        <w:t>除专用合同条件另有约定外，承包人申请竣工验收的，应当按照以下程序进行：</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承包人向工程师报送竣工验收申请报告，工程师应在收到竣工验收申请报告后</w:t>
      </w:r>
      <w:r>
        <w:rPr>
          <w:sz w:val="24"/>
          <w:szCs w:val="24"/>
        </w:rPr>
        <w:t>14</w:t>
      </w:r>
      <w:r>
        <w:rPr>
          <w:rFonts w:hint="eastAsia"/>
          <w:sz w:val="24"/>
          <w:szCs w:val="24"/>
        </w:rPr>
        <w:t>天内完成审查并报送发包人。工程师审查后认为尚不具备竣工验收条件的，应在收到竣工验收申请报告后的</w:t>
      </w:r>
      <w:r>
        <w:rPr>
          <w:sz w:val="24"/>
          <w:szCs w:val="24"/>
        </w:rPr>
        <w:t>14</w:t>
      </w:r>
      <w:r>
        <w:rPr>
          <w:rFonts w:hint="eastAsia"/>
          <w:sz w:val="24"/>
          <w:szCs w:val="24"/>
        </w:rPr>
        <w:t>天内通知承包人，指出在颁发接收证书前承包人还需进行的工作内容。承包人完成工程师通知的全部工作内容后，应再次提交竣工验收申请报告，直至工程师同意为止。</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工程师同意承包人提交的竣工验收申请报告的，或工程师收到竣工验收申请报告后</w:t>
      </w:r>
      <w:r>
        <w:rPr>
          <w:sz w:val="24"/>
          <w:szCs w:val="24"/>
        </w:rPr>
        <w:t>14</w:t>
      </w:r>
      <w:r>
        <w:rPr>
          <w:rFonts w:hint="eastAsia"/>
          <w:sz w:val="24"/>
          <w:szCs w:val="24"/>
        </w:rPr>
        <w:t>天内不予答复的，视为发包人收到并同意承包人的竣工验收申请，发包人应在收到该竣工验收申请报告后的</w:t>
      </w:r>
      <w:r>
        <w:rPr>
          <w:sz w:val="24"/>
          <w:szCs w:val="24"/>
        </w:rPr>
        <w:t>28</w:t>
      </w:r>
      <w:r>
        <w:rPr>
          <w:rFonts w:hint="eastAsia"/>
          <w:sz w:val="24"/>
          <w:szCs w:val="24"/>
        </w:rPr>
        <w:t>天内进行竣工验收。工程经竣工验收合格的，以竣工验收合格之日为实际竣工日期，并在工程接收证书中载明；完成竣工验收但发包人不予签发工程接收证书的，视为竣工验收合格，以完成竣工验收之日为实际竣工日期。</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竣工验收不合格的，工程师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因发包人原因，未在工程师收到承包人竣工验收申请报告之日起</w:t>
      </w:r>
      <w:r>
        <w:rPr>
          <w:sz w:val="24"/>
          <w:szCs w:val="24"/>
        </w:rPr>
        <w:t>42</w:t>
      </w:r>
      <w:r>
        <w:rPr>
          <w:rFonts w:hint="eastAsia"/>
          <w:sz w:val="24"/>
          <w:szCs w:val="24"/>
        </w:rPr>
        <w:t>天内完成竣工验收的，以承包人提交竣工验收申请报告之日作为工程实际竣工日期。</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工程未经竣工验收，发包人擅自使用的，以转移占有工程之日为实际竣工日期。</w:t>
      </w:r>
    </w:p>
    <w:p>
      <w:pPr>
        <w:spacing w:line="360" w:lineRule="auto"/>
        <w:ind w:firstLine="480" w:firstLineChars="200"/>
        <w:rPr>
          <w:sz w:val="24"/>
          <w:szCs w:val="24"/>
        </w:rPr>
      </w:pPr>
      <w:r>
        <w:rPr>
          <w:rFonts w:hint="eastAsia"/>
          <w:sz w:val="24"/>
          <w:szCs w:val="24"/>
        </w:rPr>
        <w:t>除专用合同条件另有约定外，发包人不按照本项和第</w:t>
      </w:r>
      <w:r>
        <w:rPr>
          <w:sz w:val="24"/>
          <w:szCs w:val="24"/>
        </w:rPr>
        <w:t>10.4</w:t>
      </w:r>
      <w:r>
        <w:rPr>
          <w:rFonts w:hint="eastAsia"/>
          <w:sz w:val="24"/>
          <w:szCs w:val="24"/>
        </w:rPr>
        <w:t>款</w:t>
      </w:r>
      <w:r>
        <w:rPr>
          <w:sz w:val="24"/>
          <w:szCs w:val="24"/>
        </w:rPr>
        <w:t>[</w:t>
      </w:r>
      <w:r>
        <w:rPr>
          <w:rFonts w:hint="eastAsia"/>
          <w:sz w:val="24"/>
          <w:szCs w:val="24"/>
        </w:rPr>
        <w:t>接收证书</w:t>
      </w:r>
      <w:r>
        <w:rPr>
          <w:sz w:val="24"/>
          <w:szCs w:val="24"/>
        </w:rPr>
        <w:t>]</w:t>
      </w:r>
      <w:r>
        <w:rPr>
          <w:rFonts w:hint="eastAsia"/>
          <w:sz w:val="24"/>
          <w:szCs w:val="24"/>
        </w:rPr>
        <w:t>约定组织竣工验收、颁发工程接收证书的，每逾期一天，应以签约合同价为基数，按照贷款市场报价利率（</w:t>
      </w:r>
      <w:r>
        <w:rPr>
          <w:sz w:val="24"/>
          <w:szCs w:val="24"/>
        </w:rPr>
        <w:t>LPR</w:t>
      </w:r>
      <w:r>
        <w:rPr>
          <w:rFonts w:hint="eastAsia"/>
          <w:sz w:val="24"/>
          <w:szCs w:val="24"/>
        </w:rPr>
        <w:t>）支付违约金。</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10.2 </w:t>
      </w:r>
      <w:r>
        <w:rPr>
          <w:rFonts w:hint="eastAsia" w:ascii="宋体" w:hAnsi="宋体" w:eastAsia="宋体" w:cs="宋体"/>
        </w:rPr>
        <w:t>单位</w:t>
      </w:r>
      <w:r>
        <w:rPr>
          <w:rFonts w:ascii="宋体" w:hAnsi="宋体" w:eastAsia="宋体" w:cs="宋体"/>
        </w:rPr>
        <w:t>/</w:t>
      </w:r>
      <w:r>
        <w:rPr>
          <w:rFonts w:hint="eastAsia" w:ascii="宋体" w:hAnsi="宋体" w:eastAsia="宋体" w:cs="宋体"/>
        </w:rPr>
        <w:t>区段工程的验收</w:t>
      </w:r>
    </w:p>
    <w:p>
      <w:pPr>
        <w:pStyle w:val="66"/>
        <w:spacing w:afterLines="0"/>
        <w:ind w:left="0" w:firstLine="480" w:firstLineChars="200"/>
        <w:rPr>
          <w:rFonts w:cs="宋体"/>
          <w:szCs w:val="24"/>
        </w:rPr>
      </w:pPr>
      <w:r>
        <w:rPr>
          <w:rFonts w:cs="宋体"/>
          <w:szCs w:val="24"/>
        </w:rPr>
        <w:t xml:space="preserve">10.2.1 </w:t>
      </w:r>
      <w:r>
        <w:rPr>
          <w:rFonts w:hint="eastAsia" w:cs="宋体"/>
          <w:szCs w:val="24"/>
        </w:rPr>
        <w:t>发包人根据项目进度计划安排，在全部工程竣工前需要使用已经竣工的单位</w:t>
      </w:r>
      <w:r>
        <w:rPr>
          <w:rFonts w:cs="宋体"/>
          <w:szCs w:val="24"/>
        </w:rPr>
        <w:t>/</w:t>
      </w:r>
      <w:r>
        <w:rPr>
          <w:rFonts w:hint="eastAsia" w:cs="宋体"/>
          <w:szCs w:val="24"/>
        </w:rPr>
        <w:t>区段工程时，或承包人提出经发包人同意时，可进行单位</w:t>
      </w:r>
      <w:r>
        <w:rPr>
          <w:rFonts w:cs="宋体"/>
          <w:szCs w:val="24"/>
        </w:rPr>
        <w:t>/</w:t>
      </w:r>
      <w:r>
        <w:rPr>
          <w:rFonts w:hint="eastAsia" w:cs="宋体"/>
          <w:szCs w:val="24"/>
        </w:rPr>
        <w:t>区段工程验收。验收的程序可参照第</w:t>
      </w:r>
      <w:r>
        <w:rPr>
          <w:rFonts w:cs="宋体"/>
          <w:szCs w:val="24"/>
        </w:rPr>
        <w:t>10.1</w:t>
      </w:r>
      <w:r>
        <w:rPr>
          <w:rFonts w:hint="eastAsia" w:cs="宋体"/>
          <w:szCs w:val="24"/>
        </w:rPr>
        <w:t>款</w:t>
      </w:r>
      <w:r>
        <w:rPr>
          <w:rFonts w:cs="宋体"/>
          <w:szCs w:val="24"/>
        </w:rPr>
        <w:t>[</w:t>
      </w:r>
      <w:r>
        <w:rPr>
          <w:rFonts w:hint="eastAsia" w:cs="宋体"/>
          <w:szCs w:val="24"/>
        </w:rPr>
        <w:t>竣工验收</w:t>
      </w:r>
      <w:r>
        <w:rPr>
          <w:rFonts w:cs="宋体"/>
          <w:szCs w:val="24"/>
        </w:rPr>
        <w:t>]</w:t>
      </w:r>
      <w:r>
        <w:rPr>
          <w:rFonts w:hint="eastAsia" w:cs="宋体"/>
          <w:szCs w:val="24"/>
        </w:rPr>
        <w:t>的约定进行。验收合格后，由工程师向承包人出具经发包人签认的单位</w:t>
      </w:r>
      <w:r>
        <w:rPr>
          <w:rFonts w:cs="宋体"/>
          <w:szCs w:val="24"/>
        </w:rPr>
        <w:t>/</w:t>
      </w:r>
      <w:r>
        <w:rPr>
          <w:rFonts w:hint="eastAsia" w:cs="宋体"/>
          <w:szCs w:val="24"/>
        </w:rPr>
        <w:t>区段工程验收证书。单位</w:t>
      </w:r>
      <w:r>
        <w:rPr>
          <w:rFonts w:cs="宋体"/>
          <w:szCs w:val="24"/>
        </w:rPr>
        <w:t>/</w:t>
      </w:r>
      <w:r>
        <w:rPr>
          <w:rFonts w:hint="eastAsia" w:cs="宋体"/>
          <w:szCs w:val="24"/>
        </w:rPr>
        <w:t>区段工程的验收成果和结论作为全部工程竣工验收申请报告的附件。</w:t>
      </w:r>
    </w:p>
    <w:p>
      <w:pPr>
        <w:pStyle w:val="66"/>
        <w:spacing w:afterLines="0"/>
        <w:ind w:left="0" w:firstLine="480" w:firstLineChars="200"/>
        <w:rPr>
          <w:rFonts w:cs="宋体"/>
          <w:szCs w:val="24"/>
        </w:rPr>
      </w:pPr>
      <w:r>
        <w:rPr>
          <w:rFonts w:cs="宋体"/>
          <w:szCs w:val="24"/>
        </w:rPr>
        <w:t xml:space="preserve">10.2.2 </w:t>
      </w:r>
      <w:r>
        <w:rPr>
          <w:rFonts w:hint="eastAsia" w:cs="宋体"/>
          <w:szCs w:val="24"/>
        </w:rPr>
        <w:t>发包人在全部工程竣工前，使用已接收的单位</w:t>
      </w:r>
      <w:r>
        <w:rPr>
          <w:rFonts w:cs="宋体"/>
          <w:szCs w:val="24"/>
        </w:rPr>
        <w:t>/</w:t>
      </w:r>
      <w:r>
        <w:rPr>
          <w:rFonts w:hint="eastAsia" w:cs="宋体"/>
          <w:szCs w:val="24"/>
        </w:rPr>
        <w:t>区段工程导致承包人费用增加的，发包人应承担由此增加的费用和（或）工期延误，并支付承包人合理利润。</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10.3 </w:t>
      </w:r>
      <w:r>
        <w:rPr>
          <w:rFonts w:hint="eastAsia" w:ascii="宋体" w:hAnsi="宋体" w:eastAsia="宋体" w:cs="宋体"/>
        </w:rPr>
        <w:t>工程的接收</w:t>
      </w:r>
    </w:p>
    <w:p>
      <w:pPr>
        <w:pStyle w:val="66"/>
        <w:spacing w:afterLines="0"/>
        <w:ind w:left="0" w:firstLine="480" w:firstLineChars="200"/>
        <w:rPr>
          <w:rFonts w:cs="宋体"/>
          <w:szCs w:val="24"/>
        </w:rPr>
      </w:pPr>
      <w:r>
        <w:rPr>
          <w:rFonts w:cs="宋体"/>
          <w:szCs w:val="24"/>
        </w:rPr>
        <w:t xml:space="preserve">10.3.1 </w:t>
      </w:r>
      <w:r>
        <w:rPr>
          <w:rFonts w:hint="eastAsia" w:cs="宋体"/>
          <w:szCs w:val="24"/>
        </w:rPr>
        <w:t>根据工程项目的具体情况和特点，可按工程或单位</w:t>
      </w:r>
      <w:r>
        <w:rPr>
          <w:rFonts w:cs="宋体"/>
          <w:szCs w:val="24"/>
        </w:rPr>
        <w:t>/</w:t>
      </w:r>
      <w:r>
        <w:rPr>
          <w:rFonts w:hint="eastAsia" w:cs="宋体"/>
          <w:szCs w:val="24"/>
        </w:rPr>
        <w:t>区段工程进行接收，并在专用合同条件约定接收的先后顺序、时间安排和其他要求。</w:t>
      </w:r>
    </w:p>
    <w:p>
      <w:pPr>
        <w:pStyle w:val="66"/>
        <w:spacing w:afterLines="0"/>
        <w:ind w:left="0" w:firstLine="480" w:firstLineChars="200"/>
        <w:rPr>
          <w:rFonts w:cs="宋体"/>
          <w:szCs w:val="24"/>
        </w:rPr>
      </w:pPr>
      <w:r>
        <w:rPr>
          <w:rFonts w:cs="宋体"/>
          <w:szCs w:val="24"/>
        </w:rPr>
        <w:t xml:space="preserve">10.3.2 </w:t>
      </w:r>
      <w:r>
        <w:rPr>
          <w:rFonts w:hint="eastAsia" w:cs="宋体"/>
          <w:szCs w:val="24"/>
        </w:rPr>
        <w:t>除按本条约定已经提交的资料外，接收工程时承包人需提交竣工验收资料的类别、内容、份数和提交时间，在专用合同条件中约定。</w:t>
      </w:r>
    </w:p>
    <w:p>
      <w:pPr>
        <w:pStyle w:val="66"/>
        <w:spacing w:afterLines="0"/>
        <w:ind w:left="0" w:firstLine="480" w:firstLineChars="200"/>
        <w:rPr>
          <w:rFonts w:cs="宋体"/>
          <w:szCs w:val="24"/>
        </w:rPr>
      </w:pPr>
      <w:r>
        <w:rPr>
          <w:rFonts w:cs="宋体"/>
          <w:szCs w:val="24"/>
        </w:rPr>
        <w:t xml:space="preserve">10.3.3 </w:t>
      </w:r>
      <w:r>
        <w:rPr>
          <w:rFonts w:hint="eastAsia" w:cs="宋体"/>
          <w:szCs w:val="24"/>
        </w:rPr>
        <w:t>发包人无正当理由不接收工程的，发包人自应当接收工程之日起，承担工程照管、成品保护、保管等与工程有关的各项费用，合同当事人可以在专用合同条件中另行约定发包人逾期接收工程的违约责任。</w:t>
      </w:r>
    </w:p>
    <w:p>
      <w:pPr>
        <w:pStyle w:val="66"/>
        <w:spacing w:afterLines="0"/>
        <w:ind w:left="0" w:firstLine="480" w:firstLineChars="200"/>
        <w:rPr>
          <w:rFonts w:cs="宋体"/>
          <w:szCs w:val="24"/>
        </w:rPr>
      </w:pPr>
      <w:r>
        <w:rPr>
          <w:rFonts w:cs="宋体"/>
          <w:szCs w:val="24"/>
        </w:rPr>
        <w:t xml:space="preserve">10.3.4 </w:t>
      </w:r>
      <w:r>
        <w:rPr>
          <w:rFonts w:hint="eastAsia" w:cs="宋体"/>
          <w:szCs w:val="24"/>
        </w:rPr>
        <w:t>承包人无正当理由不移交工程的，承包人应承担工程照管、成品保护、保管等与工程有关的各项费用，合同当事人可以在专用合同条件中另行约定承包人无正当理由不移交工程的违约责任。</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10.4 </w:t>
      </w:r>
      <w:r>
        <w:rPr>
          <w:rFonts w:hint="eastAsia" w:ascii="宋体" w:hAnsi="宋体" w:eastAsia="宋体" w:cs="宋体"/>
        </w:rPr>
        <w:t>接收证书</w:t>
      </w:r>
    </w:p>
    <w:p>
      <w:pPr>
        <w:pStyle w:val="66"/>
        <w:spacing w:afterLines="0"/>
        <w:ind w:left="0" w:firstLine="480" w:firstLineChars="200"/>
        <w:rPr>
          <w:rFonts w:cs="宋体"/>
          <w:szCs w:val="24"/>
        </w:rPr>
      </w:pPr>
      <w:r>
        <w:rPr>
          <w:rFonts w:cs="宋体"/>
          <w:szCs w:val="24"/>
        </w:rPr>
        <w:t xml:space="preserve">10.4.1 </w:t>
      </w:r>
      <w:r>
        <w:rPr>
          <w:rFonts w:hint="eastAsia" w:cs="宋体"/>
          <w:szCs w:val="24"/>
        </w:rPr>
        <w:t>除专用合同条件另有约定外，承包人应在竣工验收合格后向发包人提交第</w:t>
      </w:r>
      <w:r>
        <w:rPr>
          <w:rFonts w:cs="宋体"/>
          <w:szCs w:val="24"/>
        </w:rPr>
        <w:t>14.6</w:t>
      </w:r>
      <w:r>
        <w:rPr>
          <w:rFonts w:hint="eastAsia" w:cs="宋体"/>
          <w:szCs w:val="24"/>
        </w:rPr>
        <w:t>款</w:t>
      </w:r>
      <w:r>
        <w:rPr>
          <w:rFonts w:cs="宋体"/>
          <w:szCs w:val="24"/>
        </w:rPr>
        <w:t>[</w:t>
      </w:r>
      <w:r>
        <w:rPr>
          <w:rFonts w:hint="eastAsia" w:cs="宋体"/>
          <w:szCs w:val="24"/>
        </w:rPr>
        <w:t>质量保证金</w:t>
      </w:r>
      <w:r>
        <w:rPr>
          <w:rFonts w:cs="宋体"/>
          <w:szCs w:val="24"/>
        </w:rPr>
        <w:t>]</w:t>
      </w:r>
      <w:r>
        <w:rPr>
          <w:rFonts w:hint="eastAsia" w:cs="宋体"/>
          <w:szCs w:val="24"/>
        </w:rPr>
        <w:t>约定的质量保证金，发包人应在竣工验收合格且工程具备接收条件后的</w:t>
      </w:r>
      <w:r>
        <w:rPr>
          <w:rFonts w:cs="宋体"/>
          <w:szCs w:val="24"/>
        </w:rPr>
        <w:t>14</w:t>
      </w:r>
      <w:r>
        <w:rPr>
          <w:rFonts w:hint="eastAsia" w:cs="宋体"/>
          <w:szCs w:val="24"/>
        </w:rPr>
        <w:t>天内向承包人颁发工程接收证书，但承包人未提交质量保证金的，发包人有权拒绝颁发。发包人拒绝颁发工程接收证书的，应向承包人发出通知，说明理由并指出在颁发接收证书前承包人需要做的工作，需要修补的缺陷和承包人需要提供的文件。</w:t>
      </w:r>
    </w:p>
    <w:p>
      <w:pPr>
        <w:pStyle w:val="66"/>
        <w:spacing w:afterLines="0"/>
        <w:ind w:left="0" w:firstLine="480" w:firstLineChars="200"/>
        <w:rPr>
          <w:rFonts w:cs="宋体"/>
          <w:szCs w:val="24"/>
        </w:rPr>
      </w:pPr>
      <w:r>
        <w:rPr>
          <w:rFonts w:cs="宋体"/>
          <w:szCs w:val="24"/>
        </w:rPr>
        <w:t xml:space="preserve">10.4.2 </w:t>
      </w:r>
      <w:r>
        <w:rPr>
          <w:rFonts w:hint="eastAsia" w:cs="宋体"/>
          <w:szCs w:val="24"/>
        </w:rPr>
        <w:t>发包人向承包人颁发的接收证书，应注明工程或单位</w:t>
      </w:r>
      <w:r>
        <w:rPr>
          <w:rFonts w:cs="宋体"/>
          <w:szCs w:val="24"/>
        </w:rPr>
        <w:t>/</w:t>
      </w:r>
      <w:r>
        <w:rPr>
          <w:rFonts w:hint="eastAsia" w:cs="宋体"/>
          <w:szCs w:val="24"/>
        </w:rPr>
        <w:t>区段工程经验收合格的实际竣工日期，并列明不在接收范围内的，在收尾工作和缺陷修补完成之前对工程或单位</w:t>
      </w:r>
      <w:r>
        <w:rPr>
          <w:rFonts w:cs="宋体"/>
          <w:szCs w:val="24"/>
        </w:rPr>
        <w:t>/</w:t>
      </w:r>
      <w:r>
        <w:rPr>
          <w:rFonts w:hint="eastAsia" w:cs="宋体"/>
          <w:szCs w:val="24"/>
        </w:rPr>
        <w:t>区段工程预期使用目的没有实质影响的少量收尾工作和缺陷。</w:t>
      </w:r>
    </w:p>
    <w:p>
      <w:pPr>
        <w:pStyle w:val="66"/>
        <w:spacing w:afterLines="0"/>
        <w:ind w:left="0" w:firstLine="480" w:firstLineChars="200"/>
        <w:rPr>
          <w:rFonts w:cs="宋体"/>
          <w:szCs w:val="24"/>
        </w:rPr>
      </w:pPr>
      <w:r>
        <w:rPr>
          <w:rFonts w:cs="宋体"/>
          <w:szCs w:val="24"/>
        </w:rPr>
        <w:t xml:space="preserve">10.4.3 </w:t>
      </w:r>
      <w:r>
        <w:rPr>
          <w:rFonts w:hint="eastAsia" w:cs="宋体"/>
          <w:szCs w:val="24"/>
        </w:rPr>
        <w:t>竣工验收合格而发包人无正当理由逾期不颁发工程接收证书的，自验收合格后第</w:t>
      </w:r>
      <w:r>
        <w:rPr>
          <w:rFonts w:cs="宋体"/>
          <w:szCs w:val="24"/>
        </w:rPr>
        <w:t>15</w:t>
      </w:r>
      <w:r>
        <w:rPr>
          <w:rFonts w:hint="eastAsia" w:cs="宋体"/>
          <w:szCs w:val="24"/>
        </w:rPr>
        <w:t>天起视为已颁发工程接收证书。</w:t>
      </w:r>
    </w:p>
    <w:p>
      <w:pPr>
        <w:pStyle w:val="66"/>
        <w:spacing w:afterLines="0"/>
        <w:ind w:left="0" w:firstLine="480" w:firstLineChars="200"/>
        <w:rPr>
          <w:rFonts w:cs="宋体"/>
          <w:szCs w:val="24"/>
        </w:rPr>
      </w:pPr>
      <w:r>
        <w:rPr>
          <w:rFonts w:cs="宋体"/>
          <w:szCs w:val="24"/>
        </w:rPr>
        <w:t xml:space="preserve">10.4.4 </w:t>
      </w:r>
      <w:r>
        <w:rPr>
          <w:rFonts w:hint="eastAsia" w:cs="宋体"/>
          <w:szCs w:val="24"/>
        </w:rPr>
        <w:t>工程未经验收或验收不合格，发包人擅自使用的，应在转移占有工程后</w:t>
      </w:r>
      <w:r>
        <w:rPr>
          <w:rFonts w:cs="宋体"/>
          <w:szCs w:val="24"/>
        </w:rPr>
        <w:t>7</w:t>
      </w:r>
      <w:r>
        <w:rPr>
          <w:rFonts w:hint="eastAsia" w:cs="宋体"/>
          <w:szCs w:val="24"/>
        </w:rPr>
        <w:t>天内向承包人颁发工程接收证书；发包人无正当理由逾期不颁发工程接收证书的，自转移占有后第</w:t>
      </w:r>
      <w:r>
        <w:rPr>
          <w:rFonts w:cs="宋体"/>
          <w:szCs w:val="24"/>
        </w:rPr>
        <w:t>15</w:t>
      </w:r>
      <w:r>
        <w:rPr>
          <w:rFonts w:hint="eastAsia" w:cs="宋体"/>
          <w:szCs w:val="24"/>
        </w:rPr>
        <w:t>天起视为已颁发工程接收证书。</w:t>
      </w:r>
    </w:p>
    <w:p>
      <w:pPr>
        <w:pStyle w:val="66"/>
        <w:spacing w:afterLines="0"/>
        <w:ind w:left="0" w:firstLine="480" w:firstLineChars="200"/>
        <w:rPr>
          <w:rFonts w:cs="宋体"/>
          <w:szCs w:val="24"/>
        </w:rPr>
      </w:pPr>
      <w:r>
        <w:rPr>
          <w:rFonts w:cs="宋体"/>
          <w:szCs w:val="24"/>
        </w:rPr>
        <w:t xml:space="preserve">10.4.5 </w:t>
      </w:r>
      <w:r>
        <w:rPr>
          <w:rFonts w:hint="eastAsia" w:cs="宋体"/>
          <w:szCs w:val="24"/>
        </w:rPr>
        <w:t>存在扫尾工作的，工程接收证书中应当将第</w:t>
      </w:r>
      <w:r>
        <w:rPr>
          <w:rFonts w:cs="宋体"/>
          <w:szCs w:val="24"/>
        </w:rPr>
        <w:t>14.5.3</w:t>
      </w:r>
      <w:r>
        <w:rPr>
          <w:rFonts w:hint="eastAsia" w:cs="宋体"/>
          <w:szCs w:val="24"/>
        </w:rPr>
        <w:t>项</w:t>
      </w:r>
      <w:r>
        <w:rPr>
          <w:rFonts w:cs="宋体"/>
          <w:szCs w:val="24"/>
        </w:rPr>
        <w:t>[</w:t>
      </w:r>
      <w:r>
        <w:rPr>
          <w:rFonts w:hint="eastAsia" w:cs="宋体"/>
          <w:szCs w:val="24"/>
        </w:rPr>
        <w:t>扫尾工作清单</w:t>
      </w:r>
      <w:r>
        <w:rPr>
          <w:rFonts w:cs="宋体"/>
          <w:szCs w:val="24"/>
        </w:rPr>
        <w:t>]</w:t>
      </w:r>
      <w:r>
        <w:rPr>
          <w:rFonts w:hint="eastAsia" w:cs="宋体"/>
          <w:szCs w:val="24"/>
        </w:rPr>
        <w:t>中约定的扫尾工作清单作为工程接收证书附件。</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10.5 </w:t>
      </w:r>
      <w:r>
        <w:rPr>
          <w:rFonts w:hint="eastAsia" w:ascii="宋体" w:hAnsi="宋体" w:eastAsia="宋体" w:cs="宋体"/>
        </w:rPr>
        <w:t>竣工退场</w:t>
      </w:r>
    </w:p>
    <w:p>
      <w:pPr>
        <w:pStyle w:val="66"/>
        <w:spacing w:afterLines="0"/>
        <w:ind w:left="0" w:firstLine="480" w:firstLineChars="200"/>
        <w:rPr>
          <w:rFonts w:cs="宋体"/>
          <w:szCs w:val="24"/>
        </w:rPr>
      </w:pPr>
      <w:r>
        <w:rPr>
          <w:rFonts w:cs="宋体"/>
          <w:szCs w:val="24"/>
        </w:rPr>
        <w:t xml:space="preserve">10.5.1 </w:t>
      </w:r>
      <w:r>
        <w:rPr>
          <w:rFonts w:hint="eastAsia" w:cs="宋体"/>
          <w:szCs w:val="24"/>
        </w:rPr>
        <w:t>竣工退场</w:t>
      </w:r>
    </w:p>
    <w:p>
      <w:pPr>
        <w:spacing w:line="360" w:lineRule="auto"/>
        <w:ind w:firstLine="480" w:firstLineChars="200"/>
        <w:rPr>
          <w:sz w:val="24"/>
          <w:szCs w:val="24"/>
        </w:rPr>
      </w:pPr>
      <w:r>
        <w:rPr>
          <w:rFonts w:hint="eastAsia"/>
          <w:sz w:val="24"/>
          <w:szCs w:val="24"/>
        </w:rPr>
        <w:t>颁发工程接收证书后，承包人应对施工现场进行清理，并撤离相关人员，使得施工现场处于以下状态，直至工程师检验合格为止：</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施工现场内残留的垃圾已全部清除出场；</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临时工程已拆除，场地已按合同约定进行清理、平整或复原；</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按合同约定应撤离的人员、承包人提供的施工设备和剩余的材料，包括废弃的施工设备和材料，已按计划撤离施工现场；</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施工现场周边及其附近道路、河道的施工堆积物，已全部清理；</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施工现场其他竣工退场工作已全部完成。</w:t>
      </w:r>
    </w:p>
    <w:p>
      <w:pPr>
        <w:spacing w:line="360" w:lineRule="auto"/>
        <w:ind w:firstLine="480" w:firstLineChars="200"/>
        <w:rPr>
          <w:sz w:val="24"/>
          <w:szCs w:val="24"/>
        </w:rPr>
      </w:pPr>
      <w:r>
        <w:rPr>
          <w:rFonts w:hint="eastAsia"/>
          <w:sz w:val="24"/>
          <w:szCs w:val="24"/>
        </w:rPr>
        <w:t>施工现场的竣工退场费用由承包人承担。承包人应在专用合同条件约定的期限内完成竣工退场，逾期未完成的，发包人有权出售或另行处理承包人遗留的物品，由此支出的费用由承包人承担，发包人出售承包人遗留物品所得款项在扣除必要费用后应返还承包人。</w:t>
      </w:r>
    </w:p>
    <w:p>
      <w:pPr>
        <w:pStyle w:val="66"/>
        <w:spacing w:afterLines="0"/>
        <w:ind w:left="0" w:firstLine="480" w:firstLineChars="200"/>
        <w:rPr>
          <w:rFonts w:cs="宋体"/>
          <w:szCs w:val="24"/>
        </w:rPr>
      </w:pPr>
      <w:r>
        <w:rPr>
          <w:rFonts w:cs="宋体"/>
          <w:szCs w:val="24"/>
        </w:rPr>
        <w:t xml:space="preserve">10.5.2 </w:t>
      </w:r>
      <w:r>
        <w:rPr>
          <w:rFonts w:hint="eastAsia" w:cs="宋体"/>
          <w:szCs w:val="24"/>
        </w:rPr>
        <w:t>地表还原</w:t>
      </w:r>
    </w:p>
    <w:p>
      <w:pPr>
        <w:spacing w:line="360" w:lineRule="auto"/>
        <w:ind w:firstLine="480" w:firstLineChars="200"/>
        <w:rPr>
          <w:sz w:val="24"/>
          <w:szCs w:val="24"/>
        </w:rPr>
      </w:pPr>
      <w:r>
        <w:rPr>
          <w:rFonts w:hint="eastAsia"/>
          <w:sz w:val="24"/>
          <w:szCs w:val="24"/>
        </w:rPr>
        <w:t>承包人应按合同约定和工程师的要求恢复临时占地及清理场地，否则发包人有权委托其他人恢复或清理，所发生的费用由承包人承担。</w:t>
      </w:r>
    </w:p>
    <w:p>
      <w:pPr>
        <w:pStyle w:val="66"/>
        <w:spacing w:afterLines="0"/>
        <w:ind w:left="0" w:firstLine="480" w:firstLineChars="200"/>
        <w:rPr>
          <w:rFonts w:cs="宋体"/>
          <w:szCs w:val="24"/>
        </w:rPr>
      </w:pPr>
      <w:r>
        <w:rPr>
          <w:rFonts w:cs="宋体"/>
          <w:szCs w:val="24"/>
        </w:rPr>
        <w:t xml:space="preserve">10.5.3 </w:t>
      </w:r>
      <w:r>
        <w:rPr>
          <w:rFonts w:hint="eastAsia" w:cs="宋体"/>
          <w:szCs w:val="24"/>
        </w:rPr>
        <w:t>人员撤离</w:t>
      </w:r>
    </w:p>
    <w:p>
      <w:pPr>
        <w:spacing w:line="360" w:lineRule="auto"/>
        <w:ind w:firstLine="480" w:firstLineChars="200"/>
        <w:rPr>
          <w:sz w:val="24"/>
          <w:szCs w:val="24"/>
        </w:rPr>
      </w:pPr>
      <w:r>
        <w:rPr>
          <w:rFonts w:hint="eastAsia"/>
          <w:sz w:val="24"/>
          <w:szCs w:val="24"/>
        </w:rPr>
        <w:t>除了经工程师同意需在缺陷责任期内继续工作和使用的人员、施工设备和临时工程外，承包人应按专用合同条件约定和工程师的要求将其余的人员、施工设备和临时工程撤离施工现场或拆除。除专用合同条件另有约定外，缺陷责任期满时，承包人的人员和施工设备应全部撤离施工现场。</w:t>
      </w:r>
    </w:p>
    <w:p>
      <w:pPr>
        <w:pStyle w:val="64"/>
        <w:numPr>
          <w:ilvl w:val="0"/>
          <w:numId w:val="0"/>
        </w:numPr>
        <w:spacing w:before="0"/>
        <w:ind w:firstLine="482" w:firstLineChars="200"/>
        <w:rPr>
          <w:rFonts w:ascii="宋体"/>
          <w:b/>
          <w:sz w:val="24"/>
          <w:szCs w:val="24"/>
        </w:rPr>
      </w:pPr>
      <w:r>
        <w:rPr>
          <w:rFonts w:hint="eastAsia" w:ascii="宋体" w:hAnsi="宋体"/>
          <w:b/>
          <w:sz w:val="24"/>
          <w:szCs w:val="24"/>
        </w:rPr>
        <w:t>第</w:t>
      </w:r>
      <w:r>
        <w:rPr>
          <w:rFonts w:ascii="宋体" w:hAnsi="宋体"/>
          <w:b/>
          <w:sz w:val="24"/>
          <w:szCs w:val="24"/>
        </w:rPr>
        <w:t>11</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缺陷责任与保修</w:t>
      </w:r>
      <w:r>
        <w:rPr>
          <w:rFonts w:ascii="宋体" w:hAnsi="宋体"/>
          <w:b/>
          <w:sz w:val="24"/>
          <w:szCs w:val="24"/>
        </w:rPr>
        <w:t xml:space="preserve"> </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11.1 </w:t>
      </w:r>
      <w:r>
        <w:rPr>
          <w:rFonts w:hint="eastAsia" w:ascii="宋体" w:hAnsi="宋体" w:eastAsia="宋体" w:cs="宋体"/>
        </w:rPr>
        <w:t>工程保修的原则</w:t>
      </w:r>
    </w:p>
    <w:p>
      <w:pPr>
        <w:spacing w:line="360" w:lineRule="auto"/>
        <w:ind w:firstLine="480" w:firstLineChars="200"/>
        <w:rPr>
          <w:sz w:val="24"/>
          <w:szCs w:val="24"/>
        </w:rPr>
      </w:pPr>
      <w:r>
        <w:rPr>
          <w:rFonts w:hint="eastAsia"/>
          <w:sz w:val="24"/>
          <w:szCs w:val="24"/>
        </w:rPr>
        <w:t>在工程移交发包人后，因承包人原因产生的质量缺陷，承包人应承担质量缺陷责任和保修义务。缺陷责任期届满，承包人仍应按合同约定的工程各部位保修年限承担保修义务。</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11.2 </w:t>
      </w:r>
      <w:r>
        <w:rPr>
          <w:rFonts w:hint="eastAsia" w:ascii="宋体" w:hAnsi="宋体" w:eastAsia="宋体" w:cs="宋体"/>
        </w:rPr>
        <w:t>缺陷责任期</w:t>
      </w:r>
      <w:r>
        <w:rPr>
          <w:rFonts w:ascii="宋体" w:hAnsi="宋体" w:eastAsia="宋体" w:cs="宋体"/>
        </w:rPr>
        <w:t xml:space="preserve"> </w:t>
      </w:r>
    </w:p>
    <w:p>
      <w:pPr>
        <w:spacing w:line="360" w:lineRule="auto"/>
        <w:ind w:firstLine="480" w:firstLineChars="200"/>
        <w:rPr>
          <w:sz w:val="24"/>
          <w:szCs w:val="24"/>
        </w:rPr>
      </w:pPr>
      <w:r>
        <w:rPr>
          <w:rFonts w:hint="eastAsia"/>
          <w:sz w:val="24"/>
          <w:szCs w:val="24"/>
        </w:rPr>
        <w:t>缺陷责任期原则上从工程竣工验收合格之日起计算，合同当事人应在专用合同条件约定缺陷责任期的具体期限，但该期限最长不超过</w:t>
      </w:r>
      <w:r>
        <w:rPr>
          <w:sz w:val="24"/>
          <w:szCs w:val="24"/>
        </w:rPr>
        <w:t>24</w:t>
      </w:r>
      <w:r>
        <w:rPr>
          <w:rFonts w:hint="eastAsia"/>
          <w:sz w:val="24"/>
          <w:szCs w:val="24"/>
        </w:rPr>
        <w:t>个月。</w:t>
      </w:r>
    </w:p>
    <w:p>
      <w:pPr>
        <w:spacing w:line="360" w:lineRule="auto"/>
        <w:ind w:firstLine="480" w:firstLineChars="200"/>
        <w:rPr>
          <w:sz w:val="24"/>
          <w:szCs w:val="24"/>
        </w:rPr>
      </w:pPr>
      <w:r>
        <w:rPr>
          <w:rFonts w:hint="eastAsia"/>
          <w:sz w:val="24"/>
          <w:szCs w:val="24"/>
        </w:rPr>
        <w:t>单位</w:t>
      </w:r>
      <w:r>
        <w:rPr>
          <w:sz w:val="24"/>
          <w:szCs w:val="24"/>
        </w:rPr>
        <w:t>/</w:t>
      </w:r>
      <w:r>
        <w:rPr>
          <w:rFonts w:hint="eastAsia"/>
          <w:sz w:val="24"/>
          <w:szCs w:val="24"/>
        </w:rPr>
        <w:t>区段工程先于全部工程进行验收，经验收合格并交付使用的，该单位</w:t>
      </w:r>
      <w:r>
        <w:rPr>
          <w:sz w:val="24"/>
          <w:szCs w:val="24"/>
        </w:rPr>
        <w:t>/</w:t>
      </w:r>
      <w:r>
        <w:rPr>
          <w:rFonts w:hint="eastAsia"/>
          <w:sz w:val="24"/>
          <w:szCs w:val="24"/>
        </w:rPr>
        <w:t>区段工程缺陷责任期自单位</w:t>
      </w:r>
      <w:r>
        <w:rPr>
          <w:sz w:val="24"/>
          <w:szCs w:val="24"/>
        </w:rPr>
        <w:t>/</w:t>
      </w:r>
      <w:r>
        <w:rPr>
          <w:rFonts w:hint="eastAsia"/>
          <w:sz w:val="24"/>
          <w:szCs w:val="24"/>
        </w:rPr>
        <w:t>区段工程验收合格之日起算。因发包人原因导致工程未在合同约定期限进行验收，但工程经验收合格的，以承包人提交竣工验收报告之日起算；因发包人原因导致工程未能进行竣工验收的，在承包人提交竣工验收报告</w:t>
      </w:r>
      <w:r>
        <w:rPr>
          <w:sz w:val="24"/>
          <w:szCs w:val="24"/>
        </w:rPr>
        <w:t>90</w:t>
      </w:r>
      <w:r>
        <w:rPr>
          <w:rFonts w:hint="eastAsia"/>
          <w:sz w:val="24"/>
          <w:szCs w:val="24"/>
        </w:rPr>
        <w:t>天后，工程自动进入缺陷责任期；发包人未经竣工验收擅自使用工程的，缺陷责任期自工程转移占有之日起开始计算。</w:t>
      </w:r>
    </w:p>
    <w:p>
      <w:pPr>
        <w:spacing w:line="360" w:lineRule="auto"/>
        <w:ind w:firstLine="480" w:firstLineChars="200"/>
        <w:rPr>
          <w:sz w:val="24"/>
          <w:szCs w:val="24"/>
        </w:rPr>
      </w:pPr>
      <w:r>
        <w:rPr>
          <w:rFonts w:hint="eastAsia"/>
          <w:sz w:val="24"/>
          <w:szCs w:val="24"/>
        </w:rPr>
        <w:t>由于承包人原因造成某项缺陷或损坏使某项工程或工程设备不能按原定目标使用而需要再次检查、检验和修复的，发包人有权要求承包人延长该项工程或工程设备的缺陷责任期，并应在原缺陷责任期届满前发出延长通知。但缺陷责任期最长不超过</w:t>
      </w:r>
      <w:r>
        <w:rPr>
          <w:sz w:val="24"/>
          <w:szCs w:val="24"/>
        </w:rPr>
        <w:t>24</w:t>
      </w:r>
      <w:r>
        <w:rPr>
          <w:rFonts w:hint="eastAsia"/>
          <w:sz w:val="24"/>
          <w:szCs w:val="24"/>
        </w:rPr>
        <w:t>个月。</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11.3 </w:t>
      </w:r>
      <w:r>
        <w:rPr>
          <w:rFonts w:hint="eastAsia" w:ascii="宋体" w:hAnsi="宋体" w:eastAsia="宋体" w:cs="宋体"/>
        </w:rPr>
        <w:t>缺陷调查</w:t>
      </w:r>
    </w:p>
    <w:p>
      <w:pPr>
        <w:pStyle w:val="66"/>
        <w:spacing w:afterLines="0"/>
        <w:ind w:left="0" w:firstLine="480" w:firstLineChars="200"/>
        <w:rPr>
          <w:rFonts w:cs="宋体"/>
          <w:b/>
          <w:szCs w:val="24"/>
        </w:rPr>
      </w:pPr>
      <w:r>
        <w:rPr>
          <w:rFonts w:cs="宋体"/>
          <w:szCs w:val="24"/>
        </w:rPr>
        <w:t xml:space="preserve">11.3.1 </w:t>
      </w:r>
      <w:r>
        <w:rPr>
          <w:rFonts w:hint="eastAsia" w:cs="宋体"/>
          <w:szCs w:val="24"/>
        </w:rPr>
        <w:t>承包人缺陷调查</w:t>
      </w:r>
    </w:p>
    <w:p>
      <w:pPr>
        <w:spacing w:line="360" w:lineRule="auto"/>
        <w:ind w:firstLine="480" w:firstLineChars="200"/>
        <w:rPr>
          <w:sz w:val="24"/>
          <w:szCs w:val="24"/>
        </w:rPr>
      </w:pPr>
      <w:r>
        <w:rPr>
          <w:rFonts w:hint="eastAsia"/>
          <w:sz w:val="24"/>
          <w:szCs w:val="24"/>
        </w:rPr>
        <w:t>如果发包人指示承包人调查任何缺陷的原因，承包人应在发包人的指导下进行调查。承包人应在发包人指示中说明的日期或与发包人达成一致的其他日期开展调查。除非该缺陷应由承包人负责自费进行修补，承包人有权就调查的成本和利润获得支付。</w:t>
      </w:r>
    </w:p>
    <w:p>
      <w:pPr>
        <w:spacing w:line="360" w:lineRule="auto"/>
        <w:ind w:firstLine="480" w:firstLineChars="200"/>
        <w:rPr>
          <w:sz w:val="24"/>
          <w:szCs w:val="24"/>
        </w:rPr>
      </w:pPr>
      <w:r>
        <w:rPr>
          <w:rFonts w:hint="eastAsia"/>
          <w:sz w:val="24"/>
          <w:szCs w:val="24"/>
        </w:rPr>
        <w:t>如果承包人未能根据本款开展调查，该调查可由发包人开展。但应将上述调查开展的日期通知承包人，承包人可自费参加调查。如果该缺陷应由承包人自费进行修补，则发包人有权要求承包人支付发包人因调查产生的合理费用。</w:t>
      </w:r>
    </w:p>
    <w:p>
      <w:pPr>
        <w:pStyle w:val="66"/>
        <w:spacing w:afterLines="0"/>
        <w:ind w:left="0" w:firstLine="480" w:firstLineChars="200"/>
        <w:rPr>
          <w:rFonts w:cs="宋体"/>
          <w:szCs w:val="24"/>
        </w:rPr>
      </w:pPr>
      <w:r>
        <w:rPr>
          <w:rFonts w:cs="宋体"/>
          <w:szCs w:val="24"/>
        </w:rPr>
        <w:t xml:space="preserve">11.3.2 </w:t>
      </w:r>
      <w:r>
        <w:rPr>
          <w:rFonts w:hint="eastAsia" w:cs="宋体"/>
          <w:szCs w:val="24"/>
        </w:rPr>
        <w:t>缺陷责任</w:t>
      </w:r>
    </w:p>
    <w:p>
      <w:pPr>
        <w:spacing w:line="360" w:lineRule="auto"/>
        <w:ind w:firstLine="480" w:firstLineChars="200"/>
        <w:rPr>
          <w:sz w:val="24"/>
          <w:szCs w:val="24"/>
        </w:rPr>
      </w:pPr>
      <w:r>
        <w:rPr>
          <w:rFonts w:hint="eastAsia"/>
          <w:sz w:val="24"/>
          <w:szCs w:val="24"/>
        </w:rPr>
        <w:t>缺陷责任期内，由承包人原因造成的缺陷，承包人应负责维修，并承担鉴定及维修费用。如承包人不维修也不承担费用，发包人可按合同约定从质量保证金中扣除，费用超出质量保证金金额的，发包人可按合同约定向承包人进行索赔。承包人维修并承担相应费用后，不免除对工程的损失赔偿责任。发包人在使用过程中，发现已修补的缺陷部位或部件还存在质量缺陷的，承包人应负责修复，直至检验合格为止。</w:t>
      </w:r>
    </w:p>
    <w:p>
      <w:pPr>
        <w:pStyle w:val="66"/>
        <w:spacing w:afterLines="0"/>
        <w:ind w:left="0" w:firstLine="480" w:firstLineChars="200"/>
        <w:rPr>
          <w:rFonts w:cs="宋体"/>
          <w:szCs w:val="24"/>
        </w:rPr>
      </w:pPr>
      <w:r>
        <w:rPr>
          <w:rFonts w:cs="宋体"/>
          <w:szCs w:val="24"/>
        </w:rPr>
        <w:t xml:space="preserve">11.3.3 </w:t>
      </w:r>
      <w:r>
        <w:rPr>
          <w:rFonts w:hint="eastAsia" w:cs="宋体"/>
          <w:szCs w:val="24"/>
        </w:rPr>
        <w:t>修复费用</w:t>
      </w:r>
    </w:p>
    <w:p>
      <w:pPr>
        <w:spacing w:line="360" w:lineRule="auto"/>
        <w:ind w:firstLine="480" w:firstLineChars="200"/>
        <w:rPr>
          <w:sz w:val="24"/>
          <w:szCs w:val="24"/>
        </w:rPr>
      </w:pPr>
      <w:r>
        <w:rPr>
          <w:rFonts w:hint="eastAsia"/>
          <w:sz w:val="24"/>
          <w:szCs w:val="24"/>
        </w:rPr>
        <w:t>发包人和承包人应共同查清缺陷或损坏的原因。经查明属承包人原因造成的，应由承包人承担修复的费用。经查验非承包人原因造成的，发包人应承担修复的费用，并支付承包人合理利润。</w:t>
      </w:r>
    </w:p>
    <w:p>
      <w:pPr>
        <w:pStyle w:val="66"/>
        <w:spacing w:afterLines="0"/>
        <w:ind w:left="0" w:firstLine="480" w:firstLineChars="200"/>
        <w:rPr>
          <w:rFonts w:cs="宋体"/>
          <w:szCs w:val="24"/>
        </w:rPr>
      </w:pPr>
      <w:r>
        <w:rPr>
          <w:rFonts w:cs="宋体"/>
          <w:szCs w:val="24"/>
        </w:rPr>
        <w:t xml:space="preserve">11.3.4 </w:t>
      </w:r>
      <w:r>
        <w:rPr>
          <w:rFonts w:hint="eastAsia" w:cs="宋体"/>
          <w:szCs w:val="24"/>
        </w:rPr>
        <w:t>修复通知</w:t>
      </w:r>
    </w:p>
    <w:p>
      <w:pPr>
        <w:spacing w:line="360" w:lineRule="auto"/>
        <w:ind w:firstLine="480" w:firstLineChars="200"/>
        <w:rPr>
          <w:sz w:val="24"/>
          <w:szCs w:val="24"/>
        </w:rPr>
      </w:pPr>
      <w:r>
        <w:rPr>
          <w:rFonts w:hint="eastAsia"/>
          <w:sz w:val="24"/>
          <w:szCs w:val="24"/>
        </w:rPr>
        <w:t>在缺陷责任期内，发包人在使用过程中，发现已接收的工程存在缺陷或损坏的，应书面通知承包人予以修复，但情况紧急必须立即修复缺陷或损坏的，发包人可以口头通知承包人并在口头通知后</w:t>
      </w:r>
      <w:r>
        <w:rPr>
          <w:sz w:val="24"/>
          <w:szCs w:val="24"/>
        </w:rPr>
        <w:t>48</w:t>
      </w:r>
      <w:r>
        <w:rPr>
          <w:rFonts w:hint="eastAsia"/>
          <w:sz w:val="24"/>
          <w:szCs w:val="24"/>
        </w:rPr>
        <w:t>小时内书面确认，承包人应在专用合同条件约定的合理期限内到达工程现场并修复缺陷或损坏。</w:t>
      </w:r>
    </w:p>
    <w:p>
      <w:pPr>
        <w:pStyle w:val="66"/>
        <w:spacing w:afterLines="0"/>
        <w:ind w:left="0" w:firstLine="480" w:firstLineChars="200"/>
        <w:rPr>
          <w:rFonts w:cs="宋体"/>
          <w:szCs w:val="24"/>
        </w:rPr>
      </w:pPr>
      <w:r>
        <w:rPr>
          <w:rFonts w:cs="宋体"/>
          <w:szCs w:val="24"/>
        </w:rPr>
        <w:t xml:space="preserve">11.3.5 </w:t>
      </w:r>
      <w:r>
        <w:rPr>
          <w:rFonts w:hint="eastAsia" w:cs="宋体"/>
          <w:szCs w:val="24"/>
        </w:rPr>
        <w:t>在现场外修复</w:t>
      </w:r>
    </w:p>
    <w:p>
      <w:pPr>
        <w:spacing w:line="360" w:lineRule="auto"/>
        <w:ind w:firstLine="480" w:firstLineChars="200"/>
        <w:rPr>
          <w:sz w:val="24"/>
          <w:szCs w:val="24"/>
        </w:rPr>
      </w:pPr>
      <w:r>
        <w:rPr>
          <w:rFonts w:hint="eastAsia"/>
          <w:sz w:val="24"/>
          <w:szCs w:val="24"/>
        </w:rPr>
        <w:t>在缺陷责任期内，承包人认为设备中的缺陷或损害不能在现场得到迅速修复，承包人应当向发包人发出通知，请求发包人同意把这些有缺陷或者损害的设备移出现场进行修复，通知应当注明有缺陷或者损害的设备及维修的相关内容，发包人可要求承包人按移出设备的全部重置成本增加质量保证金的数额。</w:t>
      </w:r>
    </w:p>
    <w:p>
      <w:pPr>
        <w:pStyle w:val="66"/>
        <w:spacing w:afterLines="0"/>
        <w:ind w:left="0" w:firstLine="480" w:firstLineChars="200"/>
        <w:rPr>
          <w:rFonts w:cs="宋体"/>
          <w:szCs w:val="24"/>
        </w:rPr>
      </w:pPr>
      <w:r>
        <w:rPr>
          <w:rFonts w:cs="宋体"/>
          <w:szCs w:val="24"/>
        </w:rPr>
        <w:t xml:space="preserve">11.3.6 </w:t>
      </w:r>
      <w:r>
        <w:rPr>
          <w:rFonts w:hint="eastAsia" w:cs="宋体"/>
          <w:szCs w:val="24"/>
        </w:rPr>
        <w:t>未能修复</w:t>
      </w:r>
    </w:p>
    <w:p>
      <w:pPr>
        <w:spacing w:line="360" w:lineRule="auto"/>
        <w:ind w:firstLine="480" w:firstLineChars="200"/>
        <w:rPr>
          <w:sz w:val="24"/>
          <w:szCs w:val="24"/>
        </w:rPr>
      </w:pPr>
      <w:r>
        <w:rPr>
          <w:rFonts w:hint="eastAsia"/>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auto"/>
        <w:ind w:firstLine="480" w:firstLineChars="200"/>
        <w:rPr>
          <w:sz w:val="24"/>
          <w:szCs w:val="24"/>
        </w:rPr>
      </w:pPr>
      <w:r>
        <w:rPr>
          <w:rFonts w:hint="eastAsia"/>
          <w:sz w:val="24"/>
          <w:szCs w:val="24"/>
        </w:rPr>
        <w:t>如果工程或工程设备的缺陷或损害使发包人实质上失去了工程的整体功能，发包人有权向承包人追回已支付的工程款项，并要求其赔偿发包人相应损失。</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11.4 </w:t>
      </w:r>
      <w:r>
        <w:rPr>
          <w:rFonts w:hint="eastAsia" w:ascii="宋体" w:hAnsi="宋体" w:eastAsia="宋体" w:cs="宋体"/>
        </w:rPr>
        <w:t>缺陷修复后的进一步试验</w:t>
      </w:r>
    </w:p>
    <w:p>
      <w:pPr>
        <w:spacing w:line="360" w:lineRule="auto"/>
        <w:ind w:firstLine="480" w:firstLineChars="200"/>
        <w:rPr>
          <w:sz w:val="24"/>
          <w:szCs w:val="24"/>
        </w:rPr>
      </w:pPr>
      <w:r>
        <w:rPr>
          <w:rFonts w:hint="eastAsia"/>
          <w:sz w:val="24"/>
          <w:szCs w:val="24"/>
        </w:rPr>
        <w:t>任何一项缺陷修补后的</w:t>
      </w:r>
      <w:r>
        <w:rPr>
          <w:sz w:val="24"/>
          <w:szCs w:val="24"/>
        </w:rPr>
        <w:t>7</w:t>
      </w:r>
      <w:r>
        <w:rPr>
          <w:rFonts w:hint="eastAsia"/>
          <w:sz w:val="24"/>
          <w:szCs w:val="24"/>
        </w:rPr>
        <w:t>天内，承包人应向发包人发出通知，告知已修补的情况。如根据第</w:t>
      </w:r>
      <w:r>
        <w:rPr>
          <w:sz w:val="24"/>
          <w:szCs w:val="24"/>
        </w:rPr>
        <w:t>9</w:t>
      </w:r>
      <w:r>
        <w:rPr>
          <w:rFonts w:hint="eastAsia"/>
          <w:sz w:val="24"/>
          <w:szCs w:val="24"/>
        </w:rPr>
        <w:t>条</w:t>
      </w:r>
      <w:r>
        <w:rPr>
          <w:sz w:val="24"/>
          <w:szCs w:val="24"/>
        </w:rPr>
        <w:t>[</w:t>
      </w:r>
      <w:r>
        <w:rPr>
          <w:rFonts w:hint="eastAsia"/>
          <w:sz w:val="24"/>
          <w:szCs w:val="24"/>
        </w:rPr>
        <w:t>竣工试验</w:t>
      </w:r>
      <w:r>
        <w:rPr>
          <w:sz w:val="24"/>
          <w:szCs w:val="24"/>
        </w:rPr>
        <w:t>]</w:t>
      </w:r>
      <w:r>
        <w:rPr>
          <w:rFonts w:hint="eastAsia"/>
          <w:sz w:val="24"/>
          <w:szCs w:val="24"/>
        </w:rPr>
        <w:t>或第</w:t>
      </w:r>
      <w:r>
        <w:rPr>
          <w:sz w:val="24"/>
          <w:szCs w:val="24"/>
        </w:rPr>
        <w:t>12</w:t>
      </w:r>
      <w:r>
        <w:rPr>
          <w:rFonts w:hint="eastAsia"/>
          <w:sz w:val="24"/>
          <w:szCs w:val="24"/>
        </w:rPr>
        <w:t>条</w:t>
      </w:r>
      <w:r>
        <w:rPr>
          <w:sz w:val="24"/>
          <w:szCs w:val="24"/>
        </w:rPr>
        <w:t>[</w:t>
      </w:r>
      <w:r>
        <w:rPr>
          <w:rFonts w:hint="eastAsia"/>
          <w:sz w:val="24"/>
          <w:szCs w:val="24"/>
        </w:rPr>
        <w:t>竣工后试验</w:t>
      </w:r>
      <w:r>
        <w:rPr>
          <w:sz w:val="24"/>
          <w:szCs w:val="24"/>
        </w:rPr>
        <w:t>]</w:t>
      </w:r>
      <w:r>
        <w:rPr>
          <w:rFonts w:hint="eastAsia"/>
          <w:sz w:val="24"/>
          <w:szCs w:val="24"/>
        </w:rPr>
        <w:t>的规定适用重新试验的，还应建议重新试验。发包人应在收到重新试验的通知后</w:t>
      </w:r>
      <w:r>
        <w:rPr>
          <w:sz w:val="24"/>
          <w:szCs w:val="24"/>
        </w:rPr>
        <w:t>14</w:t>
      </w:r>
      <w:r>
        <w:rPr>
          <w:rFonts w:hint="eastAsia"/>
          <w:sz w:val="24"/>
          <w:szCs w:val="24"/>
        </w:rPr>
        <w:t>天内答复，逾期未进行答复的视为同意重新试验。承包人未建议重新试验的，发包人也可在缺陷修补后的</w:t>
      </w:r>
      <w:r>
        <w:rPr>
          <w:sz w:val="24"/>
          <w:szCs w:val="24"/>
        </w:rPr>
        <w:t>14</w:t>
      </w:r>
      <w:r>
        <w:rPr>
          <w:rFonts w:hint="eastAsia"/>
          <w:sz w:val="24"/>
          <w:szCs w:val="24"/>
        </w:rPr>
        <w:t>天内指示进行必要的重新试验，以证明已修复的部分符合合同要求。</w:t>
      </w:r>
    </w:p>
    <w:p>
      <w:pPr>
        <w:spacing w:line="360" w:lineRule="auto"/>
        <w:ind w:firstLine="480" w:firstLineChars="200"/>
        <w:rPr>
          <w:sz w:val="24"/>
          <w:szCs w:val="24"/>
        </w:rPr>
      </w:pPr>
      <w:r>
        <w:rPr>
          <w:rFonts w:hint="eastAsia"/>
          <w:sz w:val="24"/>
          <w:szCs w:val="24"/>
        </w:rPr>
        <w:t>所有的重复试验应按照适用于先前试验的条款进行，但应由责任方承担修补工作的成本和重新试验的风险和费用。</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11.5 </w:t>
      </w:r>
      <w:r>
        <w:rPr>
          <w:rFonts w:hint="eastAsia" w:ascii="宋体" w:hAnsi="宋体" w:eastAsia="宋体" w:cs="宋体"/>
        </w:rPr>
        <w:t>承包人出入权</w:t>
      </w:r>
    </w:p>
    <w:p>
      <w:pPr>
        <w:spacing w:line="360" w:lineRule="auto"/>
        <w:ind w:firstLine="480" w:firstLineChars="200"/>
        <w:rPr>
          <w:sz w:val="24"/>
          <w:szCs w:val="24"/>
        </w:rPr>
      </w:pPr>
      <w:r>
        <w:rPr>
          <w:rFonts w:hint="eastAsia"/>
          <w:sz w:val="24"/>
          <w:szCs w:val="24"/>
        </w:rPr>
        <w:t>在缺陷责任期内，为了修复缺陷或损坏，承包人有权出入工程现场，除情况紧急必须立即修复缺陷或损坏外，承包人应提前</w:t>
      </w:r>
      <w:r>
        <w:rPr>
          <w:sz w:val="24"/>
          <w:szCs w:val="24"/>
        </w:rPr>
        <w:t>24</w:t>
      </w:r>
      <w:r>
        <w:rPr>
          <w:rFonts w:hint="eastAsia"/>
          <w:sz w:val="24"/>
          <w:szCs w:val="24"/>
        </w:rPr>
        <w:t>小时通知发包人进场修复的时间。承包人进入工程现场前应获得发包人同意，且不应影响发包人正常的生产经营，并应遵守发包人有关安保和保密等规定。</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11.6 </w:t>
      </w:r>
      <w:r>
        <w:rPr>
          <w:rFonts w:hint="eastAsia" w:ascii="宋体" w:hAnsi="宋体" w:eastAsia="宋体" w:cs="宋体"/>
        </w:rPr>
        <w:t>缺陷责任期终止证书</w:t>
      </w:r>
    </w:p>
    <w:p>
      <w:pPr>
        <w:spacing w:line="360" w:lineRule="auto"/>
        <w:ind w:firstLine="480" w:firstLineChars="200"/>
        <w:rPr>
          <w:sz w:val="24"/>
          <w:szCs w:val="24"/>
        </w:rPr>
      </w:pPr>
      <w:r>
        <w:rPr>
          <w:rFonts w:hint="eastAsia"/>
          <w:sz w:val="24"/>
          <w:szCs w:val="24"/>
        </w:rPr>
        <w:t>除专用合同条件另有约定外，承包人应于缺陷责任期届满前</w:t>
      </w:r>
      <w:r>
        <w:rPr>
          <w:sz w:val="24"/>
          <w:szCs w:val="24"/>
        </w:rPr>
        <w:t>7</w:t>
      </w:r>
      <w:r>
        <w:rPr>
          <w:rFonts w:hint="eastAsia"/>
          <w:sz w:val="24"/>
          <w:szCs w:val="24"/>
        </w:rPr>
        <w:t>天内向发包人发出缺陷责任期即将届满通知，发包人应在收到通知后</w:t>
      </w:r>
      <w:r>
        <w:rPr>
          <w:sz w:val="24"/>
          <w:szCs w:val="24"/>
        </w:rPr>
        <w:t>7</w:t>
      </w:r>
      <w:r>
        <w:rPr>
          <w:rFonts w:hint="eastAsia"/>
          <w:sz w:val="24"/>
          <w:szCs w:val="24"/>
        </w:rPr>
        <w:t>天内核实承包人是否履行缺陷修复义务，承包人未能履行缺陷修复义务的，发包人有权扣除相应金额的维修费用。发包人应在缺陷责任期届满之日，向承包人颁发缺陷责任期终止证书，并按第</w:t>
      </w:r>
      <w:r>
        <w:rPr>
          <w:sz w:val="24"/>
          <w:szCs w:val="24"/>
        </w:rPr>
        <w:t>14.6.3</w:t>
      </w:r>
      <w:r>
        <w:rPr>
          <w:rFonts w:hint="eastAsia"/>
          <w:sz w:val="24"/>
          <w:szCs w:val="24"/>
        </w:rPr>
        <w:t>项</w:t>
      </w:r>
      <w:r>
        <w:rPr>
          <w:sz w:val="24"/>
          <w:szCs w:val="24"/>
        </w:rPr>
        <w:t>[</w:t>
      </w:r>
      <w:r>
        <w:rPr>
          <w:rFonts w:hint="eastAsia"/>
          <w:sz w:val="24"/>
          <w:szCs w:val="24"/>
        </w:rPr>
        <w:t>质量保证金的返还</w:t>
      </w:r>
      <w:r>
        <w:rPr>
          <w:sz w:val="24"/>
          <w:szCs w:val="24"/>
        </w:rPr>
        <w:t>]</w:t>
      </w:r>
      <w:r>
        <w:rPr>
          <w:rFonts w:hint="eastAsia"/>
          <w:sz w:val="24"/>
          <w:szCs w:val="24"/>
        </w:rPr>
        <w:t>返还质量保证金。</w:t>
      </w:r>
    </w:p>
    <w:p>
      <w:pPr>
        <w:spacing w:line="360" w:lineRule="auto"/>
        <w:ind w:firstLine="480" w:firstLineChars="200"/>
        <w:rPr>
          <w:sz w:val="24"/>
          <w:szCs w:val="24"/>
        </w:rPr>
      </w:pPr>
      <w:r>
        <w:rPr>
          <w:rFonts w:hint="eastAsia"/>
          <w:sz w:val="24"/>
          <w:szCs w:val="24"/>
        </w:rPr>
        <w:t>如根据第</w:t>
      </w:r>
      <w:r>
        <w:rPr>
          <w:sz w:val="24"/>
          <w:szCs w:val="24"/>
        </w:rPr>
        <w:t>10.5.3</w:t>
      </w:r>
      <w:r>
        <w:rPr>
          <w:rFonts w:hint="eastAsia"/>
          <w:sz w:val="24"/>
          <w:szCs w:val="24"/>
        </w:rPr>
        <w:t>项</w:t>
      </w:r>
      <w:r>
        <w:rPr>
          <w:sz w:val="24"/>
          <w:szCs w:val="24"/>
        </w:rPr>
        <w:t>[</w:t>
      </w:r>
      <w:r>
        <w:rPr>
          <w:rFonts w:hint="eastAsia"/>
          <w:sz w:val="24"/>
          <w:szCs w:val="24"/>
        </w:rPr>
        <w:t>人员撤离</w:t>
      </w:r>
      <w:r>
        <w:rPr>
          <w:sz w:val="24"/>
          <w:szCs w:val="24"/>
        </w:rPr>
        <w:t>]</w:t>
      </w:r>
      <w:r>
        <w:rPr>
          <w:rFonts w:hint="eastAsia"/>
          <w:sz w:val="24"/>
          <w:szCs w:val="24"/>
        </w:rPr>
        <w:t>承包人在施工现场还留有人员、施工设备和临时工程的，承包人应当在收到缺陷责任期终止证书后</w:t>
      </w:r>
      <w:r>
        <w:rPr>
          <w:sz w:val="24"/>
          <w:szCs w:val="24"/>
        </w:rPr>
        <w:t>28</w:t>
      </w:r>
      <w:r>
        <w:rPr>
          <w:rFonts w:hint="eastAsia"/>
          <w:sz w:val="24"/>
          <w:szCs w:val="24"/>
        </w:rPr>
        <w:t>天内，将上述人员、施工设备和临时工程撤离施工现场。</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11.7 </w:t>
      </w:r>
      <w:r>
        <w:rPr>
          <w:rFonts w:hint="eastAsia" w:ascii="宋体" w:hAnsi="宋体" w:eastAsia="宋体" w:cs="宋体"/>
        </w:rPr>
        <w:t>保修责任</w:t>
      </w:r>
    </w:p>
    <w:p>
      <w:pPr>
        <w:spacing w:line="360" w:lineRule="auto"/>
        <w:ind w:firstLine="480" w:firstLineChars="200"/>
        <w:rPr>
          <w:sz w:val="24"/>
          <w:szCs w:val="24"/>
        </w:rPr>
      </w:pPr>
      <w:r>
        <w:rPr>
          <w:rFonts w:hint="eastAsia"/>
          <w:sz w:val="24"/>
          <w:szCs w:val="24"/>
        </w:rPr>
        <w:t>因承包人原因导致的质量缺陷责任，由合同当事人根据有关法律规定，在专用合同条件和工程质量保修书中约定工程质量保修范围、期限和责任。</w:t>
      </w:r>
    </w:p>
    <w:p>
      <w:pPr>
        <w:pStyle w:val="64"/>
        <w:numPr>
          <w:ilvl w:val="0"/>
          <w:numId w:val="0"/>
        </w:numPr>
        <w:spacing w:before="0"/>
        <w:ind w:firstLine="482" w:firstLineChars="200"/>
        <w:rPr>
          <w:rFonts w:ascii="宋体"/>
          <w:b/>
          <w:sz w:val="24"/>
          <w:szCs w:val="24"/>
        </w:rPr>
      </w:pPr>
      <w:r>
        <w:rPr>
          <w:rFonts w:hint="eastAsia" w:ascii="宋体" w:hAnsi="宋体"/>
          <w:b/>
          <w:sz w:val="24"/>
          <w:szCs w:val="24"/>
        </w:rPr>
        <w:t>第</w:t>
      </w:r>
      <w:r>
        <w:rPr>
          <w:rFonts w:ascii="宋体" w:hAnsi="宋体"/>
          <w:b/>
          <w:sz w:val="24"/>
          <w:szCs w:val="24"/>
        </w:rPr>
        <w:t>12</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竣工后试验</w:t>
      </w:r>
    </w:p>
    <w:p>
      <w:pPr>
        <w:spacing w:line="360" w:lineRule="auto"/>
        <w:ind w:firstLine="480" w:firstLineChars="200"/>
        <w:rPr>
          <w:sz w:val="24"/>
          <w:szCs w:val="24"/>
        </w:rPr>
      </w:pPr>
      <w:r>
        <w:rPr>
          <w:rFonts w:hint="eastAsia"/>
          <w:sz w:val="24"/>
          <w:szCs w:val="24"/>
        </w:rPr>
        <w:t>本合同工程包含竣工后试验的，遵守本条约定。</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12.1 </w:t>
      </w:r>
      <w:r>
        <w:rPr>
          <w:rFonts w:hint="eastAsia" w:ascii="宋体" w:hAnsi="宋体" w:eastAsia="宋体" w:cs="宋体"/>
        </w:rPr>
        <w:t>竣工后试验的程序</w:t>
      </w:r>
    </w:p>
    <w:p>
      <w:pPr>
        <w:pStyle w:val="66"/>
        <w:spacing w:afterLines="0"/>
        <w:ind w:left="0" w:firstLine="480" w:firstLineChars="200"/>
        <w:rPr>
          <w:rFonts w:cs="宋体"/>
          <w:szCs w:val="24"/>
        </w:rPr>
      </w:pPr>
      <w:r>
        <w:rPr>
          <w:rFonts w:cs="宋体"/>
          <w:szCs w:val="24"/>
        </w:rPr>
        <w:t xml:space="preserve">12.1.1 </w:t>
      </w:r>
      <w:r>
        <w:rPr>
          <w:rFonts w:hint="eastAsia" w:cs="宋体"/>
          <w:szCs w:val="24"/>
        </w:rPr>
        <w:t>工程或区段工程被发包人接收后，在合理可行的情况下应根据合同约定尽早进行竣工后试验。</w:t>
      </w:r>
    </w:p>
    <w:p>
      <w:pPr>
        <w:pStyle w:val="66"/>
        <w:spacing w:afterLines="0"/>
        <w:ind w:left="0" w:firstLine="480" w:firstLineChars="200"/>
        <w:rPr>
          <w:rFonts w:cs="宋体"/>
          <w:szCs w:val="24"/>
        </w:rPr>
      </w:pPr>
      <w:r>
        <w:rPr>
          <w:rFonts w:cs="宋体"/>
          <w:szCs w:val="24"/>
        </w:rPr>
        <w:t xml:space="preserve">12.1.2 </w:t>
      </w:r>
      <w:r>
        <w:rPr>
          <w:rFonts w:hint="eastAsia" w:cs="宋体"/>
          <w:szCs w:val="24"/>
        </w:rPr>
        <w:t>除专用合同条件另有约定外，发包人应提供全部电力、水、污水处理、燃料、消耗品和材料，以及全部其他仪器、协助、文件或其他信息、设备、工具、劳力，启动工程设备，并组织安排有适当资质、经验和能力的工作人员实施竣工后试验。</w:t>
      </w:r>
    </w:p>
    <w:p>
      <w:pPr>
        <w:pStyle w:val="66"/>
        <w:spacing w:afterLines="0"/>
        <w:ind w:left="0" w:firstLine="480" w:firstLineChars="200"/>
        <w:rPr>
          <w:rFonts w:cs="宋体"/>
          <w:szCs w:val="24"/>
        </w:rPr>
      </w:pPr>
      <w:r>
        <w:rPr>
          <w:rFonts w:cs="宋体"/>
          <w:szCs w:val="24"/>
        </w:rPr>
        <w:t xml:space="preserve">12.1.3 </w:t>
      </w:r>
      <w:r>
        <w:rPr>
          <w:rFonts w:hint="eastAsia" w:cs="宋体"/>
          <w:szCs w:val="24"/>
        </w:rPr>
        <w:t>除《发包人要求》另有约定外，发包人应在合理可行的情况下尽快进行每项竣工后试验，并至少提前</w:t>
      </w:r>
      <w:r>
        <w:rPr>
          <w:rFonts w:cs="宋体"/>
          <w:szCs w:val="24"/>
        </w:rPr>
        <w:t>21</w:t>
      </w:r>
      <w:r>
        <w:rPr>
          <w:rFonts w:hint="eastAsia" w:cs="宋体"/>
          <w:szCs w:val="24"/>
        </w:rPr>
        <w:t>天将该项竣工后试验的内容、地点和时间，以及显示其他竣工后试验拟开展时间的竣工后试验计划通知承包人。</w:t>
      </w:r>
    </w:p>
    <w:p>
      <w:pPr>
        <w:pStyle w:val="66"/>
        <w:spacing w:afterLines="0"/>
        <w:ind w:left="0" w:firstLine="480" w:firstLineChars="200"/>
        <w:rPr>
          <w:rFonts w:cs="宋体"/>
          <w:szCs w:val="24"/>
        </w:rPr>
      </w:pPr>
      <w:r>
        <w:rPr>
          <w:rFonts w:cs="宋体"/>
          <w:szCs w:val="24"/>
        </w:rPr>
        <w:t xml:space="preserve">12.1.4 </w:t>
      </w:r>
      <w:r>
        <w:rPr>
          <w:rFonts w:hint="eastAsia" w:cs="宋体"/>
          <w:szCs w:val="24"/>
        </w:rPr>
        <w:t>发包人应根据《发包人要求》、承包人按照第</w:t>
      </w:r>
      <w:r>
        <w:rPr>
          <w:rFonts w:cs="宋体"/>
          <w:szCs w:val="24"/>
        </w:rPr>
        <w:t>5.5</w:t>
      </w:r>
      <w:r>
        <w:rPr>
          <w:rFonts w:hint="eastAsia" w:cs="宋体"/>
          <w:szCs w:val="24"/>
        </w:rPr>
        <w:t>款</w:t>
      </w:r>
      <w:r>
        <w:rPr>
          <w:rFonts w:cs="宋体"/>
          <w:szCs w:val="24"/>
        </w:rPr>
        <w:t>[</w:t>
      </w:r>
      <w:r>
        <w:rPr>
          <w:rFonts w:hint="eastAsia" w:cs="宋体"/>
          <w:szCs w:val="24"/>
        </w:rPr>
        <w:t>操作和维修手册</w:t>
      </w:r>
      <w:r>
        <w:rPr>
          <w:rFonts w:cs="宋体"/>
          <w:szCs w:val="24"/>
        </w:rPr>
        <w:t>]</w:t>
      </w:r>
      <w:r>
        <w:rPr>
          <w:rFonts w:hint="eastAsia" w:cs="宋体"/>
          <w:szCs w:val="24"/>
        </w:rPr>
        <w:t>提交的文件，以及承包人被要求提供的指导进行竣工后试验。如承包人未在发包人通知的时间和地点参加竣工后试验，发包人可自行进行，该试验应被视为是承包人在场的情况下进行的，且承包人应视为认可试验数据。</w:t>
      </w:r>
    </w:p>
    <w:p>
      <w:pPr>
        <w:pStyle w:val="66"/>
        <w:spacing w:afterLines="0"/>
        <w:ind w:left="0" w:firstLine="480" w:firstLineChars="200"/>
        <w:rPr>
          <w:rFonts w:cs="宋体"/>
          <w:szCs w:val="24"/>
        </w:rPr>
      </w:pPr>
      <w:r>
        <w:rPr>
          <w:rFonts w:cs="宋体"/>
          <w:szCs w:val="24"/>
        </w:rPr>
        <w:t xml:space="preserve">12.1.5 </w:t>
      </w:r>
      <w:r>
        <w:rPr>
          <w:rFonts w:hint="eastAsia" w:cs="宋体"/>
          <w:szCs w:val="24"/>
        </w:rPr>
        <w:t>竣工后试验的结果应由双方进行整理和评价，并应适当考虑发包人对工程或其任何部分的使用，对工程或区段工程的性能、特性和试验结果产生的影响。</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12.2 </w:t>
      </w:r>
      <w:r>
        <w:rPr>
          <w:rFonts w:hint="eastAsia" w:ascii="宋体" w:hAnsi="宋体" w:eastAsia="宋体" w:cs="宋体"/>
        </w:rPr>
        <w:t>延误的试验</w:t>
      </w:r>
      <w:r>
        <w:rPr>
          <w:rFonts w:ascii="宋体" w:hAnsi="宋体" w:eastAsia="宋体" w:cs="宋体"/>
        </w:rPr>
        <w:t xml:space="preserve"> </w:t>
      </w:r>
    </w:p>
    <w:p>
      <w:pPr>
        <w:pStyle w:val="66"/>
        <w:spacing w:afterLines="0"/>
        <w:ind w:left="0" w:firstLine="480" w:firstLineChars="200"/>
        <w:rPr>
          <w:rFonts w:cs="宋体"/>
          <w:szCs w:val="24"/>
        </w:rPr>
      </w:pPr>
      <w:r>
        <w:rPr>
          <w:rFonts w:cs="宋体"/>
          <w:szCs w:val="24"/>
        </w:rPr>
        <w:t xml:space="preserve">12.2.1 </w:t>
      </w:r>
      <w:r>
        <w:rPr>
          <w:rFonts w:hint="eastAsia" w:cs="宋体"/>
          <w:szCs w:val="24"/>
        </w:rPr>
        <w:t>如果竣工后试验因发包人原因被延误的，发包人应承担承包人由此增加的费用并支付承包人合理利润。</w:t>
      </w:r>
    </w:p>
    <w:p>
      <w:pPr>
        <w:pStyle w:val="66"/>
        <w:spacing w:afterLines="0"/>
        <w:ind w:left="0" w:firstLine="480" w:firstLineChars="200"/>
        <w:rPr>
          <w:rFonts w:cs="宋体"/>
          <w:szCs w:val="24"/>
        </w:rPr>
      </w:pPr>
      <w:r>
        <w:rPr>
          <w:rFonts w:cs="宋体"/>
          <w:szCs w:val="24"/>
        </w:rPr>
        <w:t xml:space="preserve">12.2.2 </w:t>
      </w:r>
      <w:r>
        <w:rPr>
          <w:rFonts w:hint="eastAsia" w:cs="宋体"/>
          <w:szCs w:val="24"/>
        </w:rPr>
        <w:t>如果因承包人以外的原因，导致竣工后试验未能在缺陷责任期或双方另行同意的其他期限内完成，则相关工程或区段工程应视为已通过该竣工后试验。</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12.3 </w:t>
      </w:r>
      <w:r>
        <w:rPr>
          <w:rFonts w:hint="eastAsia" w:ascii="宋体" w:hAnsi="宋体" w:eastAsia="宋体" w:cs="宋体"/>
        </w:rPr>
        <w:t>重新试验</w:t>
      </w:r>
    </w:p>
    <w:p>
      <w:pPr>
        <w:spacing w:line="360" w:lineRule="auto"/>
        <w:ind w:firstLine="480" w:firstLineChars="200"/>
        <w:rPr>
          <w:sz w:val="24"/>
          <w:szCs w:val="24"/>
        </w:rPr>
      </w:pPr>
      <w:r>
        <w:rPr>
          <w:rFonts w:hint="eastAsia"/>
          <w:sz w:val="24"/>
          <w:szCs w:val="24"/>
        </w:rPr>
        <w:t>如工程或区段工程未能通过竣工后试验，则承包人应根据第</w:t>
      </w:r>
      <w:r>
        <w:rPr>
          <w:sz w:val="24"/>
          <w:szCs w:val="24"/>
        </w:rPr>
        <w:t>11.3</w:t>
      </w:r>
      <w:r>
        <w:rPr>
          <w:rFonts w:hint="eastAsia"/>
          <w:sz w:val="24"/>
          <w:szCs w:val="24"/>
        </w:rPr>
        <w:t>款</w:t>
      </w:r>
      <w:r>
        <w:rPr>
          <w:sz w:val="24"/>
          <w:szCs w:val="24"/>
        </w:rPr>
        <w:t>[</w:t>
      </w:r>
      <w:r>
        <w:rPr>
          <w:rFonts w:hint="eastAsia"/>
          <w:sz w:val="24"/>
          <w:szCs w:val="24"/>
        </w:rPr>
        <w:t>缺陷调查</w:t>
      </w:r>
      <w:r>
        <w:rPr>
          <w:sz w:val="24"/>
          <w:szCs w:val="24"/>
        </w:rPr>
        <w:t>]</w:t>
      </w:r>
      <w:r>
        <w:rPr>
          <w:rFonts w:hint="eastAsia"/>
          <w:sz w:val="24"/>
          <w:szCs w:val="24"/>
        </w:rPr>
        <w:t>的规定修补缺陷，以达到合同约定的要求；并按照第</w:t>
      </w:r>
      <w:r>
        <w:rPr>
          <w:sz w:val="24"/>
          <w:szCs w:val="24"/>
        </w:rPr>
        <w:t>11.4</w:t>
      </w:r>
      <w:r>
        <w:rPr>
          <w:rFonts w:hint="eastAsia"/>
          <w:sz w:val="24"/>
          <w:szCs w:val="24"/>
        </w:rPr>
        <w:t>款</w:t>
      </w:r>
      <w:r>
        <w:rPr>
          <w:sz w:val="24"/>
          <w:szCs w:val="24"/>
        </w:rPr>
        <w:t>[</w:t>
      </w:r>
      <w:r>
        <w:rPr>
          <w:rFonts w:hint="eastAsia"/>
          <w:sz w:val="24"/>
          <w:szCs w:val="24"/>
        </w:rPr>
        <w:t>缺陷修复后的进一步试验</w:t>
      </w:r>
      <w:r>
        <w:rPr>
          <w:sz w:val="24"/>
          <w:szCs w:val="24"/>
        </w:rPr>
        <w:t>]</w:t>
      </w:r>
      <w:r>
        <w:rPr>
          <w:rFonts w:hint="eastAsia"/>
          <w:sz w:val="24"/>
          <w:szCs w:val="24"/>
        </w:rPr>
        <w:t>重新进行竣工后试验以及承担风险和费用。如未通过试验和重新试验是承包人原因造成的，则承包人还应承担发包人因此增加的费用。</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12.4 </w:t>
      </w:r>
      <w:r>
        <w:rPr>
          <w:rFonts w:hint="eastAsia" w:ascii="宋体" w:hAnsi="宋体" w:eastAsia="宋体" w:cs="宋体"/>
        </w:rPr>
        <w:t>未能通过竣工后试验</w:t>
      </w:r>
    </w:p>
    <w:p>
      <w:pPr>
        <w:pStyle w:val="66"/>
        <w:spacing w:afterLines="0"/>
        <w:ind w:left="0" w:firstLine="480" w:firstLineChars="200"/>
        <w:rPr>
          <w:rFonts w:cs="宋体"/>
          <w:szCs w:val="24"/>
        </w:rPr>
      </w:pPr>
      <w:r>
        <w:rPr>
          <w:rFonts w:cs="宋体"/>
          <w:szCs w:val="24"/>
        </w:rPr>
        <w:t xml:space="preserve">12.4.1 </w:t>
      </w:r>
      <w:r>
        <w:rPr>
          <w:rFonts w:hint="eastAsia" w:cs="宋体"/>
          <w:szCs w:val="24"/>
        </w:rPr>
        <w:t>工程或区段工程未能通过竣工后试验，且合同中就该项未通过的试验约定了性能损害赔偿违约金及其计算方法的，或者就该项未通过的试验另行达成补充协议的，承包人在缺陷责任期内向发包人支付相应违约金或按补充协议履行后，视为通过竣工后试验。</w:t>
      </w:r>
    </w:p>
    <w:p>
      <w:pPr>
        <w:pStyle w:val="66"/>
        <w:spacing w:afterLines="0"/>
        <w:ind w:left="0" w:firstLine="480" w:firstLineChars="200"/>
        <w:rPr>
          <w:rFonts w:cs="宋体"/>
          <w:szCs w:val="24"/>
        </w:rPr>
      </w:pPr>
      <w:r>
        <w:rPr>
          <w:rFonts w:cs="宋体"/>
          <w:szCs w:val="24"/>
        </w:rPr>
        <w:t xml:space="preserve">12.4.2 </w:t>
      </w:r>
      <w:r>
        <w:rPr>
          <w:rFonts w:hint="eastAsia" w:cs="宋体"/>
          <w:szCs w:val="24"/>
        </w:rPr>
        <w:t>对未能通过竣工后试验的工程或区段工程，承包人可向发包人建议，由承包人对该工程或区段工程进行调整或修补。发包人收到建议后，可向承包人发出通知，指示其在发包人方便的合理时间进入工程或区段工程进行调查、调整或修补，并为承包人的进入提供方便。承包人提出建议，但未在缺陷责任期内收到上述发包人通知的，相关工程或区段工程应视为已通过该竣工后试验。</w:t>
      </w:r>
    </w:p>
    <w:p>
      <w:pPr>
        <w:pStyle w:val="66"/>
        <w:spacing w:afterLines="0"/>
        <w:ind w:left="0" w:firstLine="480" w:firstLineChars="200"/>
        <w:rPr>
          <w:rFonts w:cs="宋体"/>
          <w:szCs w:val="24"/>
        </w:rPr>
      </w:pPr>
      <w:r>
        <w:rPr>
          <w:rFonts w:cs="宋体"/>
          <w:szCs w:val="24"/>
        </w:rPr>
        <w:t xml:space="preserve">12.4.3 </w:t>
      </w:r>
      <w:r>
        <w:rPr>
          <w:rFonts w:hint="eastAsia" w:cs="宋体"/>
          <w:szCs w:val="24"/>
        </w:rPr>
        <w:t>发包人无故拖延给予承包人进行调查、调整或修补所需的进入工程或区段工程的许可，并造成承包人费用增加的，应承担由此增加的费用并支付承包人合理利润。</w:t>
      </w:r>
    </w:p>
    <w:p>
      <w:pPr>
        <w:pStyle w:val="64"/>
        <w:numPr>
          <w:ilvl w:val="0"/>
          <w:numId w:val="0"/>
        </w:numPr>
        <w:spacing w:before="0"/>
        <w:ind w:firstLine="482" w:firstLineChars="200"/>
        <w:rPr>
          <w:rFonts w:ascii="宋体"/>
          <w:b/>
          <w:sz w:val="24"/>
          <w:szCs w:val="24"/>
        </w:rPr>
      </w:pPr>
      <w:r>
        <w:rPr>
          <w:rFonts w:hint="eastAsia" w:ascii="宋体" w:hAnsi="宋体"/>
          <w:b/>
          <w:sz w:val="24"/>
          <w:szCs w:val="24"/>
        </w:rPr>
        <w:t>第</w:t>
      </w:r>
      <w:r>
        <w:rPr>
          <w:rFonts w:ascii="宋体" w:hAnsi="宋体"/>
          <w:b/>
          <w:sz w:val="24"/>
          <w:szCs w:val="24"/>
        </w:rPr>
        <w:t>13</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变更与调整</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13.1 </w:t>
      </w:r>
      <w:r>
        <w:rPr>
          <w:rFonts w:hint="eastAsia" w:ascii="宋体" w:hAnsi="宋体" w:eastAsia="宋体" w:cs="宋体"/>
        </w:rPr>
        <w:t>发包人变更权</w:t>
      </w:r>
      <w:r>
        <w:rPr>
          <w:rFonts w:ascii="宋体" w:hAnsi="宋体" w:eastAsia="宋体" w:cs="宋体"/>
        </w:rPr>
        <w:t xml:space="preserve"> </w:t>
      </w:r>
    </w:p>
    <w:p>
      <w:pPr>
        <w:pStyle w:val="66"/>
        <w:spacing w:afterLines="0"/>
        <w:ind w:left="0" w:firstLine="480" w:firstLineChars="200"/>
        <w:rPr>
          <w:rFonts w:cs="宋体"/>
          <w:szCs w:val="24"/>
        </w:rPr>
      </w:pPr>
      <w:r>
        <w:rPr>
          <w:rFonts w:cs="宋体"/>
          <w:szCs w:val="24"/>
        </w:rPr>
        <w:t xml:space="preserve">13.1.1 </w:t>
      </w:r>
      <w:r>
        <w:rPr>
          <w:rFonts w:hint="eastAsia" w:cs="宋体"/>
          <w:szCs w:val="24"/>
        </w:rPr>
        <w:t>变更指示应经发包人同意，并由工程师发出经发包人签认的变更指示。除第</w:t>
      </w:r>
      <w:r>
        <w:rPr>
          <w:rFonts w:cs="宋体"/>
          <w:szCs w:val="24"/>
        </w:rPr>
        <w:t>11.3.6</w:t>
      </w:r>
      <w:r>
        <w:rPr>
          <w:rFonts w:hint="eastAsia" w:cs="宋体"/>
          <w:szCs w:val="24"/>
        </w:rPr>
        <w:t>项</w:t>
      </w:r>
      <w:r>
        <w:rPr>
          <w:rFonts w:cs="宋体"/>
          <w:szCs w:val="24"/>
        </w:rPr>
        <w:t>[</w:t>
      </w:r>
      <w:r>
        <w:rPr>
          <w:rFonts w:hint="eastAsia" w:cs="宋体"/>
          <w:szCs w:val="24"/>
        </w:rPr>
        <w:t>未能修复</w:t>
      </w:r>
      <w:r>
        <w:rPr>
          <w:rFonts w:cs="宋体"/>
          <w:szCs w:val="24"/>
        </w:rPr>
        <w:t>]</w:t>
      </w:r>
      <w:r>
        <w:rPr>
          <w:rFonts w:hint="eastAsia" w:cs="宋体"/>
          <w:szCs w:val="24"/>
        </w:rPr>
        <w:t>约定的情况外，变更不应包括准备将任何工作删减并交由他人或发包人自行实施的情况。承包人收到变更指示后，方可实施变更。未经许可，承包人不得擅自对工程的任何部分进行变更。发包人与承包人对某项指示或批准是否构成变更产生争议的，按第</w:t>
      </w:r>
      <w:r>
        <w:rPr>
          <w:rFonts w:cs="宋体"/>
          <w:szCs w:val="24"/>
        </w:rPr>
        <w:t>20</w:t>
      </w:r>
      <w:r>
        <w:rPr>
          <w:rFonts w:hint="eastAsia" w:cs="宋体"/>
          <w:szCs w:val="24"/>
        </w:rPr>
        <w:t>条</w:t>
      </w:r>
      <w:r>
        <w:rPr>
          <w:rFonts w:cs="宋体"/>
          <w:szCs w:val="24"/>
        </w:rPr>
        <w:t>[</w:t>
      </w:r>
      <w:r>
        <w:rPr>
          <w:rFonts w:hint="eastAsia" w:cs="宋体"/>
          <w:szCs w:val="24"/>
        </w:rPr>
        <w:t>争议解决</w:t>
      </w:r>
      <w:r>
        <w:rPr>
          <w:rFonts w:cs="宋体"/>
          <w:szCs w:val="24"/>
        </w:rPr>
        <w:t>]</w:t>
      </w:r>
      <w:r>
        <w:rPr>
          <w:rFonts w:hint="eastAsia" w:cs="宋体"/>
          <w:szCs w:val="24"/>
        </w:rPr>
        <w:t>处理。</w:t>
      </w:r>
    </w:p>
    <w:p>
      <w:pPr>
        <w:pStyle w:val="66"/>
        <w:spacing w:afterLines="0"/>
        <w:ind w:left="0" w:firstLine="480" w:firstLineChars="200"/>
        <w:rPr>
          <w:rFonts w:cs="宋体"/>
          <w:szCs w:val="24"/>
        </w:rPr>
      </w:pPr>
      <w:r>
        <w:rPr>
          <w:rFonts w:cs="宋体"/>
          <w:szCs w:val="24"/>
        </w:rPr>
        <w:t xml:space="preserve">13.1.2 </w:t>
      </w:r>
      <w:r>
        <w:rPr>
          <w:rFonts w:hint="eastAsia" w:cs="宋体"/>
          <w:szCs w:val="24"/>
        </w:rPr>
        <w:t>承包人应按照变更指示执行，除非承包人及时向工程师发出通知，说明该项变更指示将降低工程的安全性、稳定性或适用性；涉及的工作内容和范围不可预见；所涉设备难以采购；导致承包人无法执行第</w:t>
      </w:r>
      <w:r>
        <w:rPr>
          <w:rFonts w:cs="宋体"/>
          <w:szCs w:val="24"/>
        </w:rPr>
        <w:t>7.5</w:t>
      </w:r>
      <w:r>
        <w:rPr>
          <w:rFonts w:hint="eastAsia" w:cs="宋体"/>
          <w:szCs w:val="24"/>
        </w:rPr>
        <w:t>款</w:t>
      </w:r>
      <w:r>
        <w:rPr>
          <w:rFonts w:cs="宋体"/>
          <w:szCs w:val="24"/>
        </w:rPr>
        <w:t>[</w:t>
      </w:r>
      <w:r>
        <w:rPr>
          <w:rFonts w:hint="eastAsia" w:cs="宋体"/>
          <w:szCs w:val="24"/>
        </w:rPr>
        <w:t>现场劳动用工</w:t>
      </w:r>
      <w:r>
        <w:rPr>
          <w:rFonts w:cs="宋体"/>
          <w:szCs w:val="24"/>
        </w:rPr>
        <w:t>]</w:t>
      </w:r>
      <w:r>
        <w:rPr>
          <w:rFonts w:hint="eastAsia" w:cs="宋体"/>
          <w:szCs w:val="24"/>
        </w:rPr>
        <w:t>、第</w:t>
      </w:r>
      <w:r>
        <w:rPr>
          <w:rFonts w:cs="宋体"/>
          <w:szCs w:val="24"/>
        </w:rPr>
        <w:t>7.6</w:t>
      </w:r>
      <w:r>
        <w:rPr>
          <w:rFonts w:hint="eastAsia" w:cs="宋体"/>
          <w:szCs w:val="24"/>
        </w:rPr>
        <w:t>款</w:t>
      </w:r>
      <w:r>
        <w:rPr>
          <w:rFonts w:cs="宋体"/>
          <w:szCs w:val="24"/>
        </w:rPr>
        <w:t>[</w:t>
      </w:r>
      <w:r>
        <w:rPr>
          <w:rFonts w:hint="eastAsia" w:cs="宋体"/>
          <w:szCs w:val="24"/>
        </w:rPr>
        <w:t>安全文明施工</w:t>
      </w:r>
      <w:r>
        <w:rPr>
          <w:rFonts w:cs="宋体"/>
          <w:szCs w:val="24"/>
        </w:rPr>
        <w:t>]</w:t>
      </w:r>
      <w:r>
        <w:rPr>
          <w:rFonts w:hint="eastAsia" w:cs="宋体"/>
          <w:szCs w:val="24"/>
        </w:rPr>
        <w:t>、第</w:t>
      </w:r>
      <w:r>
        <w:rPr>
          <w:rFonts w:cs="宋体"/>
          <w:szCs w:val="24"/>
        </w:rPr>
        <w:t>7.7</w:t>
      </w:r>
      <w:r>
        <w:rPr>
          <w:rFonts w:hint="eastAsia" w:cs="宋体"/>
          <w:szCs w:val="24"/>
        </w:rPr>
        <w:t>款</w:t>
      </w:r>
      <w:r>
        <w:rPr>
          <w:rFonts w:cs="宋体"/>
          <w:szCs w:val="24"/>
        </w:rPr>
        <w:t>[</w:t>
      </w:r>
      <w:r>
        <w:rPr>
          <w:rFonts w:hint="eastAsia" w:cs="宋体"/>
          <w:szCs w:val="24"/>
        </w:rPr>
        <w:t>职业健康</w:t>
      </w:r>
      <w:r>
        <w:rPr>
          <w:rFonts w:cs="宋体"/>
          <w:szCs w:val="24"/>
        </w:rPr>
        <w:t>]</w:t>
      </w:r>
      <w:r>
        <w:rPr>
          <w:rFonts w:hint="eastAsia" w:cs="宋体"/>
          <w:szCs w:val="24"/>
        </w:rPr>
        <w:t>或第</w:t>
      </w:r>
      <w:r>
        <w:rPr>
          <w:rFonts w:cs="宋体"/>
          <w:szCs w:val="24"/>
        </w:rPr>
        <w:t>7.8</w:t>
      </w:r>
      <w:r>
        <w:rPr>
          <w:rFonts w:hint="eastAsia" w:cs="宋体"/>
          <w:szCs w:val="24"/>
        </w:rPr>
        <w:t>款</w:t>
      </w:r>
      <w:r>
        <w:rPr>
          <w:rFonts w:cs="宋体"/>
          <w:szCs w:val="24"/>
        </w:rPr>
        <w:t>[</w:t>
      </w:r>
      <w:r>
        <w:rPr>
          <w:rFonts w:hint="eastAsia" w:cs="宋体"/>
          <w:szCs w:val="24"/>
        </w:rPr>
        <w:t>环境保护</w:t>
      </w:r>
      <w:r>
        <w:rPr>
          <w:rFonts w:cs="宋体"/>
          <w:szCs w:val="24"/>
        </w:rPr>
        <w:t>]</w:t>
      </w:r>
      <w:r>
        <w:rPr>
          <w:rFonts w:hint="eastAsia" w:cs="宋体"/>
          <w:szCs w:val="24"/>
        </w:rPr>
        <w:t>内容；将造成工期延误；与第</w:t>
      </w:r>
      <w:r>
        <w:rPr>
          <w:rFonts w:cs="宋体"/>
          <w:szCs w:val="24"/>
        </w:rPr>
        <w:t>4.1</w:t>
      </w:r>
      <w:r>
        <w:rPr>
          <w:rFonts w:hint="eastAsia" w:cs="宋体"/>
          <w:szCs w:val="24"/>
        </w:rPr>
        <w:t>款</w:t>
      </w:r>
      <w:r>
        <w:rPr>
          <w:rFonts w:cs="宋体"/>
          <w:szCs w:val="24"/>
        </w:rPr>
        <w:t>[</w:t>
      </w:r>
      <w:r>
        <w:rPr>
          <w:rFonts w:hint="eastAsia" w:cs="宋体"/>
          <w:szCs w:val="24"/>
        </w:rPr>
        <w:t>承包人的一般义务</w:t>
      </w:r>
      <w:r>
        <w:rPr>
          <w:rFonts w:cs="宋体"/>
          <w:szCs w:val="24"/>
        </w:rPr>
        <w:t>]</w:t>
      </w:r>
      <w:r>
        <w:rPr>
          <w:rFonts w:hint="eastAsia" w:cs="宋体"/>
          <w:szCs w:val="24"/>
        </w:rPr>
        <w:t>相冲突等无法执行的理由。工程师接到承包人的通知后，应作出经发包人签认的取消、确认或改变原指示的书面回复。</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13.2 </w:t>
      </w:r>
      <w:r>
        <w:rPr>
          <w:rFonts w:hint="eastAsia" w:ascii="宋体" w:hAnsi="宋体" w:eastAsia="宋体" w:cs="宋体"/>
        </w:rPr>
        <w:t>承包人的合理化建议</w:t>
      </w:r>
    </w:p>
    <w:p>
      <w:pPr>
        <w:pStyle w:val="66"/>
        <w:spacing w:afterLines="0"/>
        <w:ind w:left="0" w:firstLine="480" w:firstLineChars="200"/>
        <w:rPr>
          <w:rFonts w:cs="宋体"/>
          <w:szCs w:val="24"/>
        </w:rPr>
      </w:pPr>
      <w:r>
        <w:rPr>
          <w:rFonts w:cs="宋体"/>
          <w:szCs w:val="24"/>
        </w:rPr>
        <w:t xml:space="preserve">13.2.1 </w:t>
      </w:r>
      <w:r>
        <w:rPr>
          <w:rFonts w:hint="eastAsia" w:cs="宋体"/>
          <w:szCs w:val="24"/>
        </w:rPr>
        <w:t>承包人提出合理化建议的，应向工程师提交合理化建议说明，说明建议的内容、理由以及实施该建议对合同价格和工期的影响。</w:t>
      </w:r>
    </w:p>
    <w:p>
      <w:pPr>
        <w:pStyle w:val="66"/>
        <w:spacing w:afterLines="0"/>
        <w:ind w:left="0" w:firstLine="480" w:firstLineChars="200"/>
        <w:rPr>
          <w:rFonts w:cs="宋体"/>
          <w:szCs w:val="24"/>
        </w:rPr>
      </w:pPr>
      <w:r>
        <w:rPr>
          <w:rFonts w:cs="宋体"/>
          <w:szCs w:val="24"/>
        </w:rPr>
        <w:t xml:space="preserve">13.2.2 </w:t>
      </w:r>
      <w:r>
        <w:rPr>
          <w:rFonts w:hint="eastAsia" w:cs="宋体"/>
          <w:szCs w:val="24"/>
        </w:rPr>
        <w:t>除专用合同条件另有约定外，工程师应在收到承包人提交的合理化建议后</w:t>
      </w:r>
      <w:r>
        <w:rPr>
          <w:rFonts w:cs="宋体"/>
          <w:szCs w:val="24"/>
        </w:rPr>
        <w:t>7</w:t>
      </w:r>
      <w:r>
        <w:rPr>
          <w:rFonts w:hint="eastAsia" w:cs="宋体"/>
          <w:szCs w:val="24"/>
        </w:rPr>
        <w:t>天内审查完毕并报送发包人，发现其中存在技术上的缺陷，应通知承包人修改。发包人应在收到工程师报送的合理化建议后</w:t>
      </w:r>
      <w:r>
        <w:rPr>
          <w:rFonts w:cs="宋体"/>
          <w:szCs w:val="24"/>
        </w:rPr>
        <w:t>7</w:t>
      </w:r>
      <w:r>
        <w:rPr>
          <w:rFonts w:hint="eastAsia" w:cs="宋体"/>
          <w:szCs w:val="24"/>
        </w:rPr>
        <w:t>天内审批完毕。合理化建议经发包人批准的，工程师应及时发出变更指示，由此引起的合同价格调整按照第</w:t>
      </w:r>
      <w:r>
        <w:rPr>
          <w:rFonts w:cs="宋体"/>
          <w:szCs w:val="24"/>
        </w:rPr>
        <w:t>13.3.3</w:t>
      </w:r>
      <w:r>
        <w:rPr>
          <w:rFonts w:hint="eastAsia" w:cs="宋体"/>
          <w:szCs w:val="24"/>
        </w:rPr>
        <w:t>项</w:t>
      </w:r>
      <w:r>
        <w:rPr>
          <w:rFonts w:cs="宋体"/>
          <w:szCs w:val="24"/>
        </w:rPr>
        <w:t>[</w:t>
      </w:r>
      <w:r>
        <w:rPr>
          <w:rFonts w:hint="eastAsia" w:cs="宋体"/>
          <w:szCs w:val="24"/>
        </w:rPr>
        <w:t>变更估价</w:t>
      </w:r>
      <w:r>
        <w:rPr>
          <w:rFonts w:cs="宋体"/>
          <w:szCs w:val="24"/>
        </w:rPr>
        <w:t>]</w:t>
      </w:r>
      <w:r>
        <w:rPr>
          <w:rFonts w:hint="eastAsia" w:cs="宋体"/>
          <w:szCs w:val="24"/>
        </w:rPr>
        <w:t>约定执行。发包人不同意变更的，工程师应书面通知承包人。</w:t>
      </w:r>
    </w:p>
    <w:p>
      <w:pPr>
        <w:pStyle w:val="66"/>
        <w:spacing w:afterLines="0"/>
        <w:ind w:left="0" w:firstLine="480" w:firstLineChars="200"/>
        <w:rPr>
          <w:rFonts w:cs="宋体"/>
          <w:szCs w:val="24"/>
        </w:rPr>
      </w:pPr>
      <w:r>
        <w:rPr>
          <w:rFonts w:cs="宋体"/>
          <w:szCs w:val="24"/>
        </w:rPr>
        <w:t xml:space="preserve">13.2.3 </w:t>
      </w:r>
      <w:r>
        <w:rPr>
          <w:rFonts w:hint="eastAsia" w:cs="宋体"/>
          <w:szCs w:val="24"/>
        </w:rPr>
        <w:t>合理化建议降低了合同价格、缩短了工期或者提高了工程经济效益的，双方可以按照专用合同条件的约定进行利益分享。</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13.3 </w:t>
      </w:r>
      <w:r>
        <w:rPr>
          <w:rFonts w:hint="eastAsia" w:ascii="宋体" w:hAnsi="宋体" w:eastAsia="宋体" w:cs="宋体"/>
        </w:rPr>
        <w:t>变更程序</w:t>
      </w:r>
    </w:p>
    <w:p>
      <w:pPr>
        <w:pStyle w:val="66"/>
        <w:spacing w:afterLines="0"/>
        <w:ind w:left="0" w:firstLine="480" w:firstLineChars="200"/>
        <w:rPr>
          <w:rFonts w:cs="宋体"/>
          <w:szCs w:val="24"/>
        </w:rPr>
      </w:pPr>
      <w:r>
        <w:rPr>
          <w:rFonts w:cs="宋体"/>
          <w:szCs w:val="24"/>
        </w:rPr>
        <w:t xml:space="preserve">13.3.1 </w:t>
      </w:r>
      <w:r>
        <w:rPr>
          <w:rFonts w:hint="eastAsia" w:cs="宋体"/>
          <w:szCs w:val="24"/>
        </w:rPr>
        <w:t>发包人提出变更</w:t>
      </w:r>
    </w:p>
    <w:p>
      <w:pPr>
        <w:spacing w:line="360" w:lineRule="auto"/>
        <w:ind w:firstLine="480" w:firstLineChars="200"/>
        <w:rPr>
          <w:sz w:val="24"/>
          <w:szCs w:val="24"/>
        </w:rPr>
      </w:pPr>
      <w:r>
        <w:rPr>
          <w:rFonts w:hint="eastAsia"/>
          <w:sz w:val="24"/>
          <w:szCs w:val="24"/>
        </w:rPr>
        <w:t>发包人提出变更的，应通过工程师向承包人发出书面形式的变更指示，变更指示应说明计划变更的工程范围和变更的内容。</w:t>
      </w:r>
    </w:p>
    <w:p>
      <w:pPr>
        <w:pStyle w:val="66"/>
        <w:spacing w:afterLines="0"/>
        <w:ind w:left="0" w:firstLine="480" w:firstLineChars="200"/>
        <w:rPr>
          <w:rFonts w:cs="宋体"/>
          <w:szCs w:val="24"/>
        </w:rPr>
      </w:pPr>
      <w:r>
        <w:rPr>
          <w:rFonts w:cs="宋体"/>
          <w:szCs w:val="24"/>
        </w:rPr>
        <w:t xml:space="preserve">13.3.2 </w:t>
      </w:r>
      <w:r>
        <w:rPr>
          <w:rFonts w:hint="eastAsia" w:cs="宋体"/>
          <w:szCs w:val="24"/>
        </w:rPr>
        <w:t>变更执行</w:t>
      </w:r>
    </w:p>
    <w:p>
      <w:pPr>
        <w:spacing w:line="360" w:lineRule="auto"/>
        <w:ind w:firstLine="480" w:firstLineChars="200"/>
        <w:rPr>
          <w:sz w:val="24"/>
          <w:szCs w:val="24"/>
        </w:rPr>
      </w:pPr>
      <w:r>
        <w:rPr>
          <w:rFonts w:hint="eastAsia"/>
          <w:sz w:val="24"/>
          <w:szCs w:val="24"/>
        </w:rPr>
        <w:t>承包人收到工程师下达的变更指示后，认为不能执行，应在合理期限内提出不能执行该变更指示的理由。承包人认为可以执行变更的，应当书面说明实施该变更指示需要采取的具体措施及对合同价格和工期的影响，且合同当事人应当按照第</w:t>
      </w:r>
      <w:r>
        <w:rPr>
          <w:sz w:val="24"/>
          <w:szCs w:val="24"/>
        </w:rPr>
        <w:t>13.3.3</w:t>
      </w:r>
      <w:r>
        <w:rPr>
          <w:rFonts w:hint="eastAsia"/>
          <w:sz w:val="24"/>
          <w:szCs w:val="24"/>
        </w:rPr>
        <w:t>项</w:t>
      </w:r>
      <w:r>
        <w:rPr>
          <w:sz w:val="24"/>
          <w:szCs w:val="24"/>
        </w:rPr>
        <w:t>[</w:t>
      </w:r>
      <w:r>
        <w:rPr>
          <w:rFonts w:hint="eastAsia"/>
          <w:sz w:val="24"/>
          <w:szCs w:val="24"/>
        </w:rPr>
        <w:t>变更估价</w:t>
      </w:r>
      <w:r>
        <w:rPr>
          <w:sz w:val="24"/>
          <w:szCs w:val="24"/>
        </w:rPr>
        <w:t>]</w:t>
      </w:r>
      <w:r>
        <w:rPr>
          <w:rFonts w:hint="eastAsia"/>
          <w:sz w:val="24"/>
          <w:szCs w:val="24"/>
        </w:rPr>
        <w:t>约定确定变更估价。</w:t>
      </w:r>
    </w:p>
    <w:p>
      <w:pPr>
        <w:pStyle w:val="66"/>
        <w:spacing w:afterLines="0"/>
        <w:ind w:left="0" w:firstLine="482" w:firstLineChars="200"/>
        <w:rPr>
          <w:rFonts w:cs="宋体"/>
          <w:b/>
          <w:bCs/>
          <w:szCs w:val="24"/>
        </w:rPr>
      </w:pPr>
      <w:r>
        <w:rPr>
          <w:rFonts w:cs="宋体"/>
          <w:b/>
          <w:bCs/>
          <w:szCs w:val="24"/>
        </w:rPr>
        <w:t xml:space="preserve">13.3.3 </w:t>
      </w:r>
      <w:r>
        <w:rPr>
          <w:rFonts w:hint="eastAsia" w:cs="宋体"/>
          <w:b/>
          <w:bCs/>
          <w:szCs w:val="24"/>
        </w:rPr>
        <w:t>变更估价</w:t>
      </w:r>
    </w:p>
    <w:p>
      <w:pPr>
        <w:pStyle w:val="67"/>
        <w:widowControl/>
        <w:spacing w:afterLines="0"/>
        <w:ind w:left="0" w:firstLine="480" w:firstLineChars="200"/>
        <w:rPr>
          <w:rFonts w:cs="宋体"/>
          <w:szCs w:val="24"/>
        </w:rPr>
      </w:pPr>
      <w:r>
        <w:rPr>
          <w:rFonts w:cs="宋体"/>
          <w:szCs w:val="24"/>
        </w:rPr>
        <w:t xml:space="preserve">13.3.3.1 </w:t>
      </w:r>
      <w:r>
        <w:rPr>
          <w:rFonts w:hint="eastAsia" w:cs="宋体"/>
          <w:szCs w:val="24"/>
        </w:rPr>
        <w:t>变更估价原则</w:t>
      </w:r>
    </w:p>
    <w:p>
      <w:pPr>
        <w:spacing w:line="360" w:lineRule="auto"/>
        <w:ind w:firstLine="480" w:firstLineChars="200"/>
        <w:rPr>
          <w:sz w:val="24"/>
          <w:szCs w:val="24"/>
        </w:rPr>
      </w:pPr>
      <w:r>
        <w:rPr>
          <w:rFonts w:hint="eastAsia"/>
          <w:sz w:val="24"/>
          <w:szCs w:val="24"/>
        </w:rPr>
        <w:t>除专用合同条件另有约定外，变更估价按照本款约定处理：</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合同中未包含价格清单，合同价格应按照所执行的变更工程的成本加利润调整；</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合同中包含价格清单，合同价格按照如下规则调整：</w:t>
      </w:r>
    </w:p>
    <w:p>
      <w:pPr>
        <w:spacing w:line="360" w:lineRule="auto"/>
        <w:ind w:firstLine="480" w:firstLineChars="200"/>
        <w:rPr>
          <w:sz w:val="24"/>
          <w:szCs w:val="24"/>
        </w:rPr>
      </w:pPr>
      <w:r>
        <w:rPr>
          <w:rFonts w:hint="eastAsia"/>
          <w:sz w:val="24"/>
          <w:szCs w:val="24"/>
        </w:rPr>
        <w:t>（</w:t>
      </w:r>
      <w:r>
        <w:rPr>
          <w:sz w:val="24"/>
          <w:szCs w:val="24"/>
          <w:lang w:val="en-US"/>
        </w:rPr>
        <w:t>3</w:t>
      </w:r>
      <w:r>
        <w:rPr>
          <w:rFonts w:hint="eastAsia"/>
          <w:sz w:val="24"/>
          <w:szCs w:val="24"/>
        </w:rPr>
        <w:t>）</w:t>
      </w:r>
      <w:r>
        <w:rPr>
          <w:sz w:val="24"/>
          <w:szCs w:val="24"/>
        </w:rPr>
        <w:t xml:space="preserve"> </w:t>
      </w:r>
      <w:r>
        <w:rPr>
          <w:rFonts w:hint="eastAsia"/>
          <w:sz w:val="24"/>
          <w:szCs w:val="24"/>
        </w:rPr>
        <w:t>价格清单中有适用于变更工程项目的，应采用该项目的费率和价格；</w:t>
      </w:r>
    </w:p>
    <w:p>
      <w:pPr>
        <w:spacing w:line="360" w:lineRule="auto"/>
        <w:ind w:firstLine="480" w:firstLineChars="200"/>
        <w:rPr>
          <w:sz w:val="24"/>
          <w:szCs w:val="24"/>
        </w:rPr>
      </w:pPr>
      <w:r>
        <w:rPr>
          <w:rFonts w:hint="eastAsia"/>
          <w:sz w:val="24"/>
          <w:szCs w:val="24"/>
        </w:rPr>
        <w:t>（</w:t>
      </w:r>
      <w:r>
        <w:rPr>
          <w:sz w:val="24"/>
          <w:szCs w:val="24"/>
          <w:lang w:val="en-US"/>
        </w:rPr>
        <w:t>4</w:t>
      </w:r>
      <w:r>
        <w:rPr>
          <w:rFonts w:hint="eastAsia"/>
          <w:sz w:val="24"/>
          <w:szCs w:val="24"/>
        </w:rPr>
        <w:t>）</w:t>
      </w:r>
      <w:r>
        <w:rPr>
          <w:sz w:val="24"/>
          <w:szCs w:val="24"/>
        </w:rPr>
        <w:t xml:space="preserve"> </w:t>
      </w:r>
      <w:r>
        <w:rPr>
          <w:rFonts w:hint="eastAsia"/>
          <w:sz w:val="24"/>
          <w:szCs w:val="24"/>
        </w:rPr>
        <w:t>价格清单中没有适用但有类似于变更工程项目的，可在合理范围内参照类似项目的费率或价格；</w:t>
      </w:r>
    </w:p>
    <w:p>
      <w:pPr>
        <w:spacing w:line="360" w:lineRule="auto"/>
        <w:ind w:firstLine="480" w:firstLineChars="200"/>
        <w:rPr>
          <w:sz w:val="24"/>
          <w:szCs w:val="24"/>
        </w:rPr>
      </w:pPr>
      <w:r>
        <w:rPr>
          <w:rFonts w:hint="eastAsia"/>
          <w:sz w:val="24"/>
          <w:szCs w:val="24"/>
        </w:rPr>
        <w:t>（</w:t>
      </w:r>
      <w:r>
        <w:rPr>
          <w:sz w:val="24"/>
          <w:szCs w:val="24"/>
          <w:lang w:val="en-US"/>
        </w:rPr>
        <w:t>5</w:t>
      </w:r>
      <w:r>
        <w:rPr>
          <w:rFonts w:hint="eastAsia"/>
          <w:sz w:val="24"/>
          <w:szCs w:val="24"/>
        </w:rPr>
        <w:t>）</w:t>
      </w:r>
      <w:r>
        <w:rPr>
          <w:sz w:val="24"/>
          <w:szCs w:val="24"/>
        </w:rPr>
        <w:t xml:space="preserve"> </w:t>
      </w:r>
      <w:r>
        <w:rPr>
          <w:rFonts w:hint="eastAsia"/>
          <w:sz w:val="24"/>
          <w:szCs w:val="24"/>
        </w:rPr>
        <w:t>价格清单中没有适用也没有类似于变更工程项目的，该工程项目应按成本加利润原则调整适用新的费率或价格。</w:t>
      </w:r>
    </w:p>
    <w:p>
      <w:pPr>
        <w:pStyle w:val="67"/>
        <w:widowControl/>
        <w:spacing w:afterLines="0"/>
        <w:ind w:left="0" w:firstLine="480" w:firstLineChars="200"/>
        <w:rPr>
          <w:rFonts w:cs="宋体"/>
          <w:szCs w:val="24"/>
        </w:rPr>
      </w:pPr>
      <w:r>
        <w:rPr>
          <w:rFonts w:cs="宋体"/>
          <w:szCs w:val="24"/>
        </w:rPr>
        <w:t xml:space="preserve">13.3.3.2 </w:t>
      </w:r>
      <w:r>
        <w:rPr>
          <w:rFonts w:hint="eastAsia" w:cs="宋体"/>
          <w:szCs w:val="24"/>
        </w:rPr>
        <w:t>变更估价程序</w:t>
      </w:r>
    </w:p>
    <w:p>
      <w:pPr>
        <w:spacing w:line="360" w:lineRule="auto"/>
        <w:ind w:firstLine="480" w:firstLineChars="200"/>
        <w:rPr>
          <w:sz w:val="24"/>
          <w:szCs w:val="24"/>
        </w:rPr>
      </w:pPr>
      <w:r>
        <w:rPr>
          <w:rFonts w:hint="eastAsia"/>
          <w:sz w:val="24"/>
          <w:szCs w:val="24"/>
        </w:rPr>
        <w:t>承包人应在收到变更指示后</w:t>
      </w:r>
      <w:r>
        <w:rPr>
          <w:sz w:val="24"/>
          <w:szCs w:val="24"/>
        </w:rPr>
        <w:t>14</w:t>
      </w:r>
      <w:r>
        <w:rPr>
          <w:rFonts w:hint="eastAsia"/>
          <w:sz w:val="24"/>
          <w:szCs w:val="24"/>
        </w:rPr>
        <w:t>天内，向工程师提交变更估价申请。工程师应在收到承包人提交的变更估价申请后</w:t>
      </w:r>
      <w:r>
        <w:rPr>
          <w:sz w:val="24"/>
          <w:szCs w:val="24"/>
        </w:rPr>
        <w:t>7</w:t>
      </w:r>
      <w:r>
        <w:rPr>
          <w:rFonts w:hint="eastAsia"/>
          <w:sz w:val="24"/>
          <w:szCs w:val="24"/>
        </w:rPr>
        <w:t>天内审查完毕并报送发包人，工程师对变更估价申请有异议，通知承包人修改后重新提交。发包人应在承包人提交变更估价申请后</w:t>
      </w:r>
      <w:r>
        <w:rPr>
          <w:sz w:val="24"/>
          <w:szCs w:val="24"/>
        </w:rPr>
        <w:t>14</w:t>
      </w:r>
      <w:r>
        <w:rPr>
          <w:rFonts w:hint="eastAsia"/>
          <w:sz w:val="24"/>
          <w:szCs w:val="24"/>
        </w:rPr>
        <w:t>天内审批完毕。发包人逾期未完成审批或未提出异议的，视为认可承包人提交的变更估价申请。</w:t>
      </w:r>
    </w:p>
    <w:p>
      <w:pPr>
        <w:spacing w:line="360" w:lineRule="auto"/>
        <w:ind w:firstLine="480" w:firstLineChars="200"/>
        <w:rPr>
          <w:sz w:val="24"/>
          <w:szCs w:val="24"/>
        </w:rPr>
      </w:pPr>
      <w:r>
        <w:rPr>
          <w:rFonts w:hint="eastAsia"/>
          <w:sz w:val="24"/>
          <w:szCs w:val="24"/>
        </w:rPr>
        <w:t>因变更引起的价格调整应计入最近一期的进度款中支付。</w:t>
      </w:r>
    </w:p>
    <w:p>
      <w:pPr>
        <w:pStyle w:val="66"/>
        <w:spacing w:afterLines="0"/>
        <w:ind w:left="0" w:firstLine="482" w:firstLineChars="200"/>
        <w:rPr>
          <w:rFonts w:cs="宋体"/>
          <w:b/>
          <w:bCs/>
          <w:szCs w:val="24"/>
        </w:rPr>
      </w:pPr>
      <w:r>
        <w:rPr>
          <w:rFonts w:cs="宋体"/>
          <w:b/>
          <w:bCs/>
          <w:szCs w:val="24"/>
        </w:rPr>
        <w:t xml:space="preserve">13.3.4 </w:t>
      </w:r>
      <w:r>
        <w:rPr>
          <w:rFonts w:hint="eastAsia" w:cs="宋体"/>
          <w:b/>
          <w:bCs/>
          <w:szCs w:val="24"/>
        </w:rPr>
        <w:t>变更引起的工期调整</w:t>
      </w:r>
    </w:p>
    <w:p>
      <w:pPr>
        <w:spacing w:line="360" w:lineRule="auto"/>
        <w:ind w:firstLine="480" w:firstLineChars="200"/>
        <w:rPr>
          <w:sz w:val="24"/>
          <w:szCs w:val="24"/>
        </w:rPr>
      </w:pPr>
      <w:r>
        <w:rPr>
          <w:rFonts w:hint="eastAsia"/>
          <w:sz w:val="24"/>
          <w:szCs w:val="24"/>
        </w:rPr>
        <w:t>因变更引起工期变化的，合同当事人均可要求调整合同工期，由合同当事人按照第</w:t>
      </w:r>
      <w:r>
        <w:rPr>
          <w:sz w:val="24"/>
          <w:szCs w:val="24"/>
        </w:rPr>
        <w:t>3.6</w:t>
      </w:r>
      <w:r>
        <w:rPr>
          <w:rFonts w:hint="eastAsia"/>
          <w:sz w:val="24"/>
          <w:szCs w:val="24"/>
        </w:rPr>
        <w:t>款</w:t>
      </w:r>
      <w:r>
        <w:rPr>
          <w:sz w:val="24"/>
          <w:szCs w:val="24"/>
        </w:rPr>
        <w:t>[</w:t>
      </w:r>
      <w:r>
        <w:rPr>
          <w:rFonts w:hint="eastAsia"/>
          <w:sz w:val="24"/>
          <w:szCs w:val="24"/>
        </w:rPr>
        <w:t>商定或确定</w:t>
      </w:r>
      <w:r>
        <w:rPr>
          <w:sz w:val="24"/>
          <w:szCs w:val="24"/>
        </w:rPr>
        <w:t>]</w:t>
      </w:r>
      <w:r>
        <w:rPr>
          <w:rFonts w:hint="eastAsia"/>
          <w:sz w:val="24"/>
          <w:szCs w:val="24"/>
        </w:rPr>
        <w:t>并参考工程所在地的工期定额标准确定增减工期天数。</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13.4 </w:t>
      </w:r>
      <w:r>
        <w:rPr>
          <w:rFonts w:hint="eastAsia" w:ascii="宋体" w:hAnsi="宋体" w:eastAsia="宋体" w:cs="宋体"/>
        </w:rPr>
        <w:t>暂估价</w:t>
      </w:r>
    </w:p>
    <w:p>
      <w:pPr>
        <w:pStyle w:val="66"/>
        <w:spacing w:afterLines="0"/>
        <w:ind w:left="0" w:firstLine="480" w:firstLineChars="200"/>
        <w:rPr>
          <w:rFonts w:cs="宋体"/>
          <w:szCs w:val="24"/>
        </w:rPr>
      </w:pPr>
      <w:r>
        <w:rPr>
          <w:rFonts w:cs="宋体"/>
          <w:szCs w:val="24"/>
        </w:rPr>
        <w:t xml:space="preserve">13.4.1 </w:t>
      </w:r>
      <w:r>
        <w:rPr>
          <w:rFonts w:hint="eastAsia" w:cs="宋体"/>
          <w:szCs w:val="24"/>
        </w:rPr>
        <w:t>依法必须招标的暂估价项目</w:t>
      </w:r>
    </w:p>
    <w:p>
      <w:pPr>
        <w:spacing w:line="360" w:lineRule="auto"/>
        <w:ind w:firstLine="480" w:firstLineChars="200"/>
        <w:rPr>
          <w:sz w:val="24"/>
          <w:szCs w:val="24"/>
        </w:rPr>
      </w:pPr>
      <w:r>
        <w:rPr>
          <w:rFonts w:hint="eastAsia"/>
          <w:sz w:val="24"/>
          <w:szCs w:val="24"/>
        </w:rPr>
        <w:t>对于依法必须招标的暂估价项目，专用合同条件约定由承包人作为招标人的，招标文件、评标方案、评标结果应报送发包人批准。与组织招标工作有关的费用应当被认为已经包括在承包人的签约合同价中。</w:t>
      </w:r>
    </w:p>
    <w:p>
      <w:pPr>
        <w:pStyle w:val="68"/>
        <w:spacing w:line="360" w:lineRule="auto"/>
        <w:ind w:left="0" w:firstLine="480" w:firstLineChars="200"/>
        <w:rPr>
          <w:sz w:val="24"/>
          <w:szCs w:val="24"/>
        </w:rPr>
      </w:pPr>
      <w:r>
        <w:rPr>
          <w:rFonts w:hint="eastAsia"/>
          <w:sz w:val="24"/>
          <w:szCs w:val="24"/>
        </w:rPr>
        <w:t>专用合同条件约定由发包人和承包人共同作为招标人的，与组织招标工作有关的费用在专用合同条件中约定。</w:t>
      </w:r>
    </w:p>
    <w:p>
      <w:pPr>
        <w:spacing w:line="360" w:lineRule="auto"/>
        <w:ind w:firstLine="480" w:firstLineChars="200"/>
        <w:rPr>
          <w:sz w:val="24"/>
          <w:szCs w:val="24"/>
        </w:rPr>
      </w:pPr>
      <w:r>
        <w:rPr>
          <w:rFonts w:hint="eastAsia"/>
          <w:sz w:val="24"/>
          <w:szCs w:val="24"/>
        </w:rPr>
        <w:t>具体的招标程序以及发包人和承包人权利义务关系可在专用合同条件中约定。暂估价项目的中标金额与价格清单中所列暂估价的金额差以及相应的税金等其他费用应列入合同价格。</w:t>
      </w:r>
    </w:p>
    <w:p>
      <w:pPr>
        <w:pStyle w:val="66"/>
        <w:spacing w:afterLines="0"/>
        <w:ind w:left="0" w:firstLine="480" w:firstLineChars="200"/>
        <w:rPr>
          <w:rFonts w:cs="宋体"/>
          <w:szCs w:val="24"/>
        </w:rPr>
      </w:pPr>
      <w:r>
        <w:rPr>
          <w:rFonts w:cs="宋体"/>
          <w:szCs w:val="24"/>
        </w:rPr>
        <w:t xml:space="preserve">13.4.2 </w:t>
      </w:r>
      <w:r>
        <w:rPr>
          <w:rFonts w:hint="eastAsia" w:cs="宋体"/>
          <w:szCs w:val="24"/>
        </w:rPr>
        <w:t>不属于依法必须招标的暂估价项目</w:t>
      </w:r>
    </w:p>
    <w:p>
      <w:pPr>
        <w:spacing w:line="360" w:lineRule="auto"/>
        <w:ind w:firstLine="480" w:firstLineChars="200"/>
        <w:rPr>
          <w:sz w:val="24"/>
          <w:szCs w:val="24"/>
        </w:rPr>
      </w:pPr>
      <w:r>
        <w:rPr>
          <w:rFonts w:hint="eastAsia"/>
          <w:sz w:val="24"/>
          <w:szCs w:val="24"/>
        </w:rPr>
        <w:t>对于不属于依法必须招标的暂估价项目，承包人具备实施暂估价项目的资格和条件的，经发包人和承包人协商一致后，可由承包人自行实施暂估价项目，具体的协商和估价程序以及发包人和承包人权利义务关系可在专用合同条件中约定。确定后的暂估价项目金额与价格清单中所列暂估价的金额差以及相应的税金等其他费用应列入合同价格。</w:t>
      </w:r>
    </w:p>
    <w:p>
      <w:pPr>
        <w:spacing w:line="360" w:lineRule="auto"/>
        <w:ind w:firstLine="480" w:firstLineChars="200"/>
        <w:rPr>
          <w:sz w:val="24"/>
          <w:szCs w:val="24"/>
        </w:rPr>
      </w:pPr>
      <w:r>
        <w:rPr>
          <w:rFonts w:hint="eastAsia"/>
          <w:sz w:val="24"/>
          <w:szCs w:val="24"/>
        </w:rPr>
        <w:t>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13.5 </w:t>
      </w:r>
      <w:r>
        <w:rPr>
          <w:rFonts w:hint="eastAsia" w:ascii="宋体" w:hAnsi="宋体" w:eastAsia="宋体" w:cs="宋体"/>
        </w:rPr>
        <w:t>暂列金额</w:t>
      </w:r>
      <w:r>
        <w:rPr>
          <w:rFonts w:ascii="宋体" w:hAnsi="宋体" w:eastAsia="宋体" w:cs="宋体"/>
        </w:rPr>
        <w:t xml:space="preserve"> </w:t>
      </w:r>
    </w:p>
    <w:p>
      <w:pPr>
        <w:spacing w:line="360" w:lineRule="auto"/>
        <w:ind w:firstLine="480" w:firstLineChars="200"/>
        <w:rPr>
          <w:sz w:val="24"/>
          <w:szCs w:val="24"/>
        </w:rPr>
      </w:pPr>
      <w:r>
        <w:rPr>
          <w:rFonts w:hint="eastAsia"/>
          <w:sz w:val="24"/>
          <w:szCs w:val="24"/>
        </w:rPr>
        <w:t>除专用合同条件另有约定外，每一笔暂列金额只能按照发包人的指示全部或部分使用，并对合同价格进行相应调整。付给承包人的总金额应仅包括发包人已指示的，与暂列金额相关的工作、货物或服务的应付款项。</w:t>
      </w:r>
    </w:p>
    <w:p>
      <w:pPr>
        <w:spacing w:line="360" w:lineRule="auto"/>
        <w:ind w:firstLine="480" w:firstLineChars="200"/>
        <w:rPr>
          <w:sz w:val="24"/>
          <w:szCs w:val="24"/>
        </w:rPr>
      </w:pPr>
      <w:r>
        <w:rPr>
          <w:rFonts w:hint="eastAsia"/>
          <w:sz w:val="24"/>
          <w:szCs w:val="24"/>
        </w:rPr>
        <w:t>对于每笔暂列金额，发包人可以指示用于下列支付：</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发包人根据第</w:t>
      </w:r>
      <w:r>
        <w:rPr>
          <w:sz w:val="24"/>
          <w:szCs w:val="24"/>
        </w:rPr>
        <w:t>13.1</w:t>
      </w:r>
      <w:r>
        <w:rPr>
          <w:rFonts w:hint="eastAsia"/>
          <w:sz w:val="24"/>
          <w:szCs w:val="24"/>
        </w:rPr>
        <w:t>款</w:t>
      </w:r>
      <w:r>
        <w:rPr>
          <w:sz w:val="24"/>
          <w:szCs w:val="24"/>
        </w:rPr>
        <w:t>[</w:t>
      </w:r>
      <w:r>
        <w:rPr>
          <w:rFonts w:hint="eastAsia"/>
          <w:sz w:val="24"/>
          <w:szCs w:val="24"/>
        </w:rPr>
        <w:t>发包人变更权</w:t>
      </w:r>
      <w:r>
        <w:rPr>
          <w:sz w:val="24"/>
          <w:szCs w:val="24"/>
        </w:rPr>
        <w:t>]</w:t>
      </w:r>
      <w:r>
        <w:rPr>
          <w:rFonts w:hint="eastAsia"/>
          <w:sz w:val="24"/>
          <w:szCs w:val="24"/>
        </w:rPr>
        <w:t>指示变更，决定对合同价格和付款计划表（如有）进行调整的、由承包人实施的工作（包括要提供的工程设备、材料和服务）；</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承包人购买的工程设备、材料、工作或服务，应支付包括承包人已付（或应付）的实际金额以及相应的管理费等费用和利润（管理费和利润应以实际金额为基数根据合同约定的费率（如有）或百分比计算）。</w:t>
      </w:r>
    </w:p>
    <w:p>
      <w:pPr>
        <w:spacing w:line="360" w:lineRule="auto"/>
        <w:ind w:firstLine="480" w:firstLineChars="200"/>
        <w:rPr>
          <w:sz w:val="24"/>
          <w:szCs w:val="24"/>
        </w:rPr>
      </w:pPr>
      <w:r>
        <w:rPr>
          <w:rFonts w:hint="eastAsia"/>
          <w:sz w:val="24"/>
          <w:szCs w:val="24"/>
        </w:rPr>
        <w:t>发包人根据上述</w:t>
      </w:r>
      <w:r>
        <w:rPr>
          <w:sz w:val="24"/>
          <w:szCs w:val="24"/>
        </w:rPr>
        <w:t>(1)</w:t>
      </w:r>
      <w:r>
        <w:rPr>
          <w:rFonts w:hint="eastAsia"/>
          <w:sz w:val="24"/>
          <w:szCs w:val="24"/>
        </w:rPr>
        <w:t>和（或）</w:t>
      </w:r>
      <w:r>
        <w:rPr>
          <w:sz w:val="24"/>
          <w:szCs w:val="24"/>
        </w:rPr>
        <w:t>(2)</w:t>
      </w:r>
      <w:r>
        <w:rPr>
          <w:rFonts w:hint="eastAsia"/>
          <w:sz w:val="24"/>
          <w:szCs w:val="24"/>
        </w:rPr>
        <w:t>指示支付暂列金额的，可以要求承包人提交其供应商提供的全部或部分要实施的工程或拟购买的工程设备、材料、工作或服务的项目报价单。发包人可以发出通知指示承包人接受其中的一个报价或指示撤销支付，发包人在收到项目报价单的</w:t>
      </w:r>
      <w:r>
        <w:rPr>
          <w:sz w:val="24"/>
          <w:szCs w:val="24"/>
        </w:rPr>
        <w:t>7</w:t>
      </w:r>
      <w:r>
        <w:rPr>
          <w:rFonts w:hint="eastAsia"/>
          <w:sz w:val="24"/>
          <w:szCs w:val="24"/>
        </w:rPr>
        <w:t>天内未作回应的，承包人应有权自行接受其中任何一个报价。</w:t>
      </w:r>
    </w:p>
    <w:p>
      <w:pPr>
        <w:spacing w:line="360" w:lineRule="auto"/>
        <w:ind w:firstLine="480" w:firstLineChars="200"/>
        <w:rPr>
          <w:sz w:val="24"/>
          <w:szCs w:val="24"/>
        </w:rPr>
      </w:pPr>
      <w:r>
        <w:rPr>
          <w:rFonts w:hint="eastAsia"/>
          <w:sz w:val="24"/>
          <w:szCs w:val="24"/>
        </w:rPr>
        <w:t>每份包含暂列金额的文件还应包括用以证明暂列金额的所有有效的发票、凭证和账户或收据。</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13.6 </w:t>
      </w:r>
      <w:r>
        <w:rPr>
          <w:rFonts w:hint="eastAsia" w:ascii="宋体" w:hAnsi="宋体" w:eastAsia="宋体" w:cs="宋体"/>
        </w:rPr>
        <w:t>计日工</w:t>
      </w:r>
    </w:p>
    <w:p>
      <w:pPr>
        <w:pStyle w:val="66"/>
        <w:spacing w:afterLines="0"/>
        <w:ind w:left="0" w:firstLine="480" w:firstLineChars="200"/>
        <w:rPr>
          <w:rFonts w:cs="宋体"/>
          <w:szCs w:val="24"/>
        </w:rPr>
      </w:pPr>
      <w:r>
        <w:rPr>
          <w:rFonts w:cs="宋体"/>
          <w:szCs w:val="24"/>
        </w:rPr>
        <w:t xml:space="preserve">13.6.1 </w:t>
      </w:r>
      <w:r>
        <w:rPr>
          <w:rFonts w:hint="eastAsia" w:cs="宋体"/>
          <w:szCs w:val="24"/>
        </w:rPr>
        <w:t>需要采用计日工方式的，经发包人同意后，由工程师通知承包人以计日工计价方式实施相应的工作，其价款按列入价格清单或预算书中的计日工计价项目及其单价进行计算；价格清单或预算书中无相应的计日工单价的，按照合理的成本与利润构成的原则，由工程师按照第</w:t>
      </w:r>
      <w:r>
        <w:rPr>
          <w:rFonts w:cs="宋体"/>
          <w:szCs w:val="24"/>
        </w:rPr>
        <w:t>3.6</w:t>
      </w:r>
      <w:r>
        <w:rPr>
          <w:rFonts w:hint="eastAsia" w:cs="宋体"/>
          <w:szCs w:val="24"/>
        </w:rPr>
        <w:t>款</w:t>
      </w:r>
      <w:r>
        <w:rPr>
          <w:rFonts w:cs="宋体"/>
          <w:szCs w:val="24"/>
        </w:rPr>
        <w:t>[</w:t>
      </w:r>
      <w:r>
        <w:rPr>
          <w:rFonts w:hint="eastAsia" w:cs="宋体"/>
          <w:szCs w:val="24"/>
        </w:rPr>
        <w:t>商定或确定</w:t>
      </w:r>
      <w:r>
        <w:rPr>
          <w:rFonts w:cs="宋体"/>
          <w:szCs w:val="24"/>
        </w:rPr>
        <w:t>]</w:t>
      </w:r>
      <w:r>
        <w:rPr>
          <w:rFonts w:hint="eastAsia" w:cs="宋体"/>
          <w:szCs w:val="24"/>
        </w:rPr>
        <w:t>确定计日工的单价。</w:t>
      </w:r>
    </w:p>
    <w:p>
      <w:pPr>
        <w:pStyle w:val="66"/>
        <w:spacing w:afterLines="0"/>
        <w:ind w:left="0" w:firstLine="480" w:firstLineChars="200"/>
        <w:rPr>
          <w:rFonts w:cs="宋体"/>
          <w:szCs w:val="24"/>
        </w:rPr>
      </w:pPr>
      <w:r>
        <w:rPr>
          <w:rFonts w:cs="宋体"/>
          <w:szCs w:val="24"/>
        </w:rPr>
        <w:t xml:space="preserve">13.6.2 </w:t>
      </w:r>
      <w:r>
        <w:rPr>
          <w:rFonts w:hint="eastAsia" w:cs="宋体"/>
          <w:szCs w:val="24"/>
        </w:rPr>
        <w:t>采用计日工计价的任何一项工作，承包人应在该项工作实施过程中，每天提交以下报表和有关凭证报送工程师审查：</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工作名称、内容和数量；</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投入该工作的所有人员的姓名、专业、工种、级别和耗用工时；</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投入该工作的材料类别和数量；</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投入该工作的施工设备型号、台数和耗用台时；</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其他有关资料和凭证。</w:t>
      </w:r>
    </w:p>
    <w:p>
      <w:pPr>
        <w:spacing w:line="360" w:lineRule="auto"/>
        <w:ind w:firstLine="480" w:firstLineChars="200"/>
        <w:rPr>
          <w:sz w:val="24"/>
          <w:szCs w:val="24"/>
        </w:rPr>
      </w:pPr>
      <w:r>
        <w:rPr>
          <w:rFonts w:hint="eastAsia"/>
          <w:sz w:val="24"/>
          <w:szCs w:val="24"/>
        </w:rPr>
        <w:t>计日工由承包人汇总后，列入最近一期进度付款申请单，由工程师审查并经发包人批准后列入进度付款。</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13.7 </w:t>
      </w:r>
      <w:r>
        <w:rPr>
          <w:rFonts w:hint="eastAsia" w:ascii="宋体" w:hAnsi="宋体" w:eastAsia="宋体" w:cs="宋体"/>
        </w:rPr>
        <w:t>法律变化引起的调整</w:t>
      </w:r>
    </w:p>
    <w:p>
      <w:pPr>
        <w:pStyle w:val="66"/>
        <w:spacing w:afterLines="0"/>
        <w:ind w:left="0" w:firstLine="480" w:firstLineChars="200"/>
        <w:rPr>
          <w:rFonts w:cs="宋体"/>
          <w:szCs w:val="24"/>
        </w:rPr>
      </w:pPr>
      <w:r>
        <w:rPr>
          <w:rFonts w:cs="宋体"/>
          <w:szCs w:val="24"/>
        </w:rPr>
        <w:t xml:space="preserve">13.7.1 </w:t>
      </w:r>
      <w:r>
        <w:rPr>
          <w:rFonts w:hint="eastAsia" w:cs="宋体"/>
          <w:szCs w:val="24"/>
        </w:rPr>
        <w:t>基准日期后，法律变化导致承包人在合同履行过程中所需要的费用发生除第</w:t>
      </w:r>
      <w:r>
        <w:rPr>
          <w:rFonts w:cs="宋体"/>
          <w:szCs w:val="24"/>
        </w:rPr>
        <w:t>13.8</w:t>
      </w:r>
      <w:r>
        <w:rPr>
          <w:rFonts w:hint="eastAsia" w:cs="宋体"/>
          <w:szCs w:val="24"/>
        </w:rPr>
        <w:t>款</w:t>
      </w:r>
      <w:r>
        <w:rPr>
          <w:rFonts w:cs="宋体"/>
          <w:szCs w:val="24"/>
        </w:rPr>
        <w:t>[</w:t>
      </w:r>
      <w:r>
        <w:rPr>
          <w:rFonts w:hint="eastAsia" w:cs="宋体"/>
          <w:szCs w:val="24"/>
        </w:rPr>
        <w:t>市场价格波动引起的调整</w:t>
      </w:r>
      <w:r>
        <w:rPr>
          <w:rFonts w:cs="宋体"/>
          <w:szCs w:val="24"/>
        </w:rPr>
        <w:t>]</w:t>
      </w:r>
      <w:r>
        <w:rPr>
          <w:rFonts w:hint="eastAsia" w:cs="宋体"/>
          <w:szCs w:val="24"/>
        </w:rPr>
        <w:t>约定以外的增加时，由发包人承担由此增加的费用；减少时，应从合同价格中予以扣减。基准日期后，因法律变化造成工期延误时，工期应予以顺延。</w:t>
      </w:r>
    </w:p>
    <w:p>
      <w:pPr>
        <w:pStyle w:val="66"/>
        <w:spacing w:afterLines="0"/>
        <w:ind w:left="0" w:firstLine="480" w:firstLineChars="200"/>
        <w:rPr>
          <w:rFonts w:cs="宋体"/>
          <w:szCs w:val="24"/>
        </w:rPr>
      </w:pPr>
      <w:r>
        <w:rPr>
          <w:rFonts w:cs="宋体"/>
          <w:szCs w:val="24"/>
        </w:rPr>
        <w:t xml:space="preserve">13.7.2 </w:t>
      </w:r>
      <w:r>
        <w:rPr>
          <w:rFonts w:hint="eastAsia" w:cs="宋体"/>
          <w:szCs w:val="24"/>
        </w:rPr>
        <w:t>因法律变化引起的合同价格和工期调整，合同当事人无法达成一致的，由工程师按第</w:t>
      </w:r>
      <w:r>
        <w:rPr>
          <w:rFonts w:cs="宋体"/>
          <w:szCs w:val="24"/>
        </w:rPr>
        <w:t>3.6</w:t>
      </w:r>
      <w:r>
        <w:rPr>
          <w:rFonts w:hint="eastAsia" w:cs="宋体"/>
          <w:szCs w:val="24"/>
        </w:rPr>
        <w:t>款</w:t>
      </w:r>
      <w:r>
        <w:rPr>
          <w:rFonts w:cs="宋体"/>
          <w:szCs w:val="24"/>
        </w:rPr>
        <w:t>[</w:t>
      </w:r>
      <w:r>
        <w:rPr>
          <w:rFonts w:hint="eastAsia" w:cs="宋体"/>
          <w:szCs w:val="24"/>
        </w:rPr>
        <w:t>商定或确定</w:t>
      </w:r>
      <w:r>
        <w:rPr>
          <w:rFonts w:cs="宋体"/>
          <w:szCs w:val="24"/>
        </w:rPr>
        <w:t>]</w:t>
      </w:r>
      <w:r>
        <w:rPr>
          <w:rFonts w:hint="eastAsia" w:cs="宋体"/>
          <w:szCs w:val="24"/>
        </w:rPr>
        <w:t>的约定处理。</w:t>
      </w:r>
    </w:p>
    <w:p>
      <w:pPr>
        <w:pStyle w:val="66"/>
        <w:spacing w:afterLines="0"/>
        <w:ind w:left="0" w:firstLine="480" w:firstLineChars="200"/>
        <w:rPr>
          <w:rFonts w:cs="宋体"/>
          <w:szCs w:val="24"/>
        </w:rPr>
      </w:pPr>
      <w:r>
        <w:rPr>
          <w:rFonts w:cs="宋体"/>
          <w:szCs w:val="24"/>
        </w:rPr>
        <w:t xml:space="preserve">13.7.3 </w:t>
      </w:r>
      <w:r>
        <w:rPr>
          <w:rFonts w:hint="eastAsia" w:cs="宋体"/>
          <w:szCs w:val="24"/>
        </w:rPr>
        <w:t>因承包人原因造成工期延误，在工期延误期间出现法律变化的，由此增加的费用和（或）延误的工期由承包人承担。</w:t>
      </w:r>
    </w:p>
    <w:p>
      <w:pPr>
        <w:pStyle w:val="66"/>
        <w:spacing w:afterLines="0"/>
        <w:ind w:left="0" w:firstLine="480" w:firstLineChars="200"/>
        <w:rPr>
          <w:rFonts w:cs="宋体"/>
          <w:szCs w:val="24"/>
        </w:rPr>
      </w:pPr>
      <w:r>
        <w:rPr>
          <w:rFonts w:cs="宋体"/>
          <w:szCs w:val="24"/>
        </w:rPr>
        <w:t xml:space="preserve">13.7.4 </w:t>
      </w:r>
      <w:r>
        <w:rPr>
          <w:rFonts w:hint="eastAsia" w:cs="宋体"/>
          <w:szCs w:val="24"/>
        </w:rPr>
        <w:t>因法律变化而需要对工程的实施进行任何调整的，承包人应迅速通知发包人，或者发包人应迅速通知承包人，并附上详细的辅助资料。发包人接到通知后，应根据第</w:t>
      </w:r>
      <w:r>
        <w:rPr>
          <w:rFonts w:cs="宋体"/>
          <w:szCs w:val="24"/>
        </w:rPr>
        <w:t>13.3</w:t>
      </w:r>
      <w:r>
        <w:rPr>
          <w:rFonts w:hint="eastAsia" w:cs="宋体"/>
          <w:szCs w:val="24"/>
        </w:rPr>
        <w:t>款</w:t>
      </w:r>
      <w:r>
        <w:rPr>
          <w:rFonts w:cs="宋体"/>
          <w:szCs w:val="24"/>
        </w:rPr>
        <w:t>[</w:t>
      </w:r>
      <w:r>
        <w:rPr>
          <w:rFonts w:hint="eastAsia" w:cs="宋体"/>
          <w:szCs w:val="24"/>
        </w:rPr>
        <w:t>变更程序</w:t>
      </w:r>
      <w:r>
        <w:rPr>
          <w:rFonts w:cs="宋体"/>
          <w:szCs w:val="24"/>
        </w:rPr>
        <w:t>]</w:t>
      </w:r>
      <w:r>
        <w:rPr>
          <w:rFonts w:hint="eastAsia" w:cs="宋体"/>
          <w:szCs w:val="24"/>
        </w:rPr>
        <w:t>发出变更指示。</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13.8 </w:t>
      </w:r>
      <w:r>
        <w:rPr>
          <w:rFonts w:hint="eastAsia" w:ascii="宋体" w:hAnsi="宋体" w:eastAsia="宋体" w:cs="宋体"/>
        </w:rPr>
        <w:t>市场价格波动引起的调整</w:t>
      </w:r>
    </w:p>
    <w:p>
      <w:pPr>
        <w:pStyle w:val="66"/>
        <w:spacing w:afterLines="0"/>
        <w:ind w:left="0" w:firstLine="480" w:firstLineChars="200"/>
        <w:rPr>
          <w:rFonts w:cs="宋体"/>
          <w:szCs w:val="24"/>
        </w:rPr>
      </w:pPr>
      <w:r>
        <w:rPr>
          <w:rFonts w:cs="宋体"/>
          <w:szCs w:val="24"/>
        </w:rPr>
        <w:t xml:space="preserve">13.8.1 </w:t>
      </w:r>
      <w:r>
        <w:rPr>
          <w:rFonts w:hint="eastAsia" w:cs="宋体"/>
          <w:szCs w:val="24"/>
        </w:rPr>
        <w:t>主要工程材料、设备、人工价格与招标时基期价相比，波动幅度超过合同约定幅度的，双方按照合同约定的价格调整方式调整。</w:t>
      </w:r>
    </w:p>
    <w:p>
      <w:pPr>
        <w:pStyle w:val="66"/>
        <w:spacing w:afterLines="0"/>
        <w:ind w:left="0" w:firstLine="480" w:firstLineChars="200"/>
        <w:rPr>
          <w:rFonts w:cs="宋体"/>
          <w:szCs w:val="24"/>
        </w:rPr>
      </w:pPr>
      <w:r>
        <w:rPr>
          <w:rFonts w:cs="宋体"/>
          <w:szCs w:val="24"/>
        </w:rPr>
        <w:t xml:space="preserve">13.8.2 </w:t>
      </w:r>
      <w:r>
        <w:rPr>
          <w:rFonts w:hint="eastAsia" w:cs="宋体"/>
          <w:szCs w:val="24"/>
        </w:rPr>
        <w:t>发包人与承包人在专用合同条件中约定采用《价格指数权重表》的，适用本项约定。</w:t>
      </w:r>
    </w:p>
    <w:p>
      <w:pPr>
        <w:pStyle w:val="67"/>
        <w:spacing w:afterLines="0"/>
        <w:ind w:left="0" w:firstLine="480" w:firstLineChars="200"/>
        <w:rPr>
          <w:rFonts w:cs="宋体"/>
          <w:szCs w:val="24"/>
        </w:rPr>
      </w:pPr>
      <w:r>
        <w:rPr>
          <w:rFonts w:cs="宋体"/>
          <w:szCs w:val="24"/>
        </w:rPr>
        <w:t xml:space="preserve">13.8.2.1 </w:t>
      </w:r>
      <w:r>
        <w:rPr>
          <w:rFonts w:hint="eastAsia" w:cs="宋体"/>
          <w:szCs w:val="24"/>
        </w:rPr>
        <w:t>双方当事人可以将部分主要工程材料、工程设备、人工价格及其他双方认为应当根据市场价格调整的费用列入附件</w:t>
      </w:r>
      <w:r>
        <w:rPr>
          <w:rFonts w:cs="宋体"/>
          <w:szCs w:val="24"/>
        </w:rPr>
        <w:t>6[</w:t>
      </w:r>
      <w:r>
        <w:rPr>
          <w:rFonts w:hint="eastAsia" w:cs="宋体"/>
          <w:szCs w:val="24"/>
        </w:rPr>
        <w:t>价格指数权重表</w:t>
      </w:r>
      <w:r>
        <w:rPr>
          <w:rFonts w:cs="宋体"/>
          <w:szCs w:val="24"/>
        </w:rPr>
        <w:t>]</w:t>
      </w:r>
      <w:r>
        <w:rPr>
          <w:rFonts w:hint="eastAsia" w:cs="宋体"/>
          <w:szCs w:val="24"/>
        </w:rPr>
        <w:t>，并根据以下公式计算差额并调整合同价格：</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价格调整公式</w:t>
      </w:r>
    </w:p>
    <w:p>
      <w:pPr>
        <w:spacing w:line="360" w:lineRule="auto"/>
        <w:ind w:firstLine="480" w:firstLineChars="200"/>
        <w:rPr>
          <w:sz w:val="24"/>
          <w:szCs w:val="24"/>
        </w:rPr>
      </w:pPr>
      <w:r>
        <w:rPr>
          <w:sz w:val="24"/>
          <w:szCs w:val="24"/>
          <w:lang w:val="en-US"/>
        </w:rPr>
        <w:pict>
          <v:shape id="_x0000_i1026" o:spt="75" type="#_x0000_t75" style="height:54pt;width:372pt;" filled="f" o:preferrelative="t" stroked="f" coordsize="21600,21600">
            <v:path/>
            <v:fill on="f" focussize="0,0"/>
            <v:stroke on="f" joinstyle="miter"/>
            <v:imagedata r:id="rId34" o:title=""/>
            <o:lock v:ext="edit" aspectratio="t"/>
            <w10:wrap type="none"/>
            <w10:anchorlock/>
          </v:shape>
        </w:pict>
      </w:r>
    </w:p>
    <w:p>
      <w:pPr>
        <w:spacing w:line="360" w:lineRule="auto"/>
        <w:ind w:firstLine="480" w:firstLineChars="200"/>
        <w:rPr>
          <w:sz w:val="24"/>
          <w:szCs w:val="24"/>
        </w:rPr>
      </w:pPr>
      <w:r>
        <w:rPr>
          <w:rFonts w:hint="eastAsia"/>
          <w:sz w:val="24"/>
          <w:szCs w:val="24"/>
        </w:rPr>
        <w:t>公式中：△</w:t>
      </w:r>
      <w:r>
        <w:rPr>
          <w:sz w:val="24"/>
          <w:szCs w:val="24"/>
        </w:rPr>
        <w:t>P---</w:t>
      </w:r>
      <w:r>
        <w:rPr>
          <w:rFonts w:hint="eastAsia"/>
          <w:sz w:val="24"/>
          <w:szCs w:val="24"/>
        </w:rPr>
        <w:t>需调整的价格差额；</w:t>
      </w:r>
    </w:p>
    <w:p>
      <w:pPr>
        <w:spacing w:line="360" w:lineRule="auto"/>
        <w:ind w:firstLine="480" w:firstLineChars="200"/>
        <w:rPr>
          <w:sz w:val="24"/>
          <w:szCs w:val="24"/>
        </w:rPr>
      </w:pPr>
      <w:r>
        <w:rPr>
          <w:sz w:val="24"/>
          <w:szCs w:val="24"/>
        </w:rPr>
        <w:t>P</w:t>
      </w:r>
      <w:r>
        <w:rPr>
          <w:sz w:val="24"/>
          <w:szCs w:val="24"/>
          <w:vertAlign w:val="subscript"/>
        </w:rPr>
        <w:t>O</w:t>
      </w:r>
      <w:r>
        <w:rPr>
          <w:sz w:val="24"/>
          <w:szCs w:val="24"/>
        </w:rPr>
        <w:t>---</w:t>
      </w:r>
      <w:r>
        <w:rPr>
          <w:rFonts w:hint="eastAsia"/>
          <w:sz w:val="24"/>
          <w:szCs w:val="24"/>
        </w:rPr>
        <w:t>付款证书中承包人应得到的已完成工作量的金额。此项金额应不包括价格调整、不计质量保证金的预留和支付、预付款的支付和扣回。第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约定的变更及其他金额已按当期价格计价的，也不计在内；</w:t>
      </w:r>
    </w:p>
    <w:p>
      <w:pPr>
        <w:spacing w:line="360" w:lineRule="auto"/>
        <w:ind w:firstLine="480" w:firstLineChars="200"/>
        <w:rPr>
          <w:sz w:val="24"/>
          <w:szCs w:val="24"/>
        </w:rPr>
      </w:pPr>
      <w:r>
        <w:rPr>
          <w:sz w:val="24"/>
          <w:szCs w:val="24"/>
        </w:rPr>
        <w:t>A ---</w:t>
      </w:r>
      <w:r>
        <w:rPr>
          <w:rFonts w:hint="eastAsia"/>
          <w:sz w:val="24"/>
          <w:szCs w:val="24"/>
        </w:rPr>
        <w:t>定值权重（即不调部分的权重）；</w:t>
      </w:r>
      <w:r>
        <w:rPr>
          <w:sz w:val="24"/>
          <w:szCs w:val="24"/>
        </w:rPr>
        <w:t xml:space="preserve"> </w:t>
      </w:r>
    </w:p>
    <w:p>
      <w:pPr>
        <w:spacing w:line="360" w:lineRule="auto"/>
        <w:ind w:firstLine="480" w:firstLineChars="200"/>
        <w:rPr>
          <w:sz w:val="24"/>
          <w:szCs w:val="24"/>
        </w:rPr>
      </w:pPr>
      <w:r>
        <w:rPr>
          <w:sz w:val="24"/>
          <w:szCs w:val="24"/>
        </w:rPr>
        <w:t>B</w:t>
      </w:r>
      <w:r>
        <w:rPr>
          <w:sz w:val="24"/>
          <w:szCs w:val="24"/>
          <w:vertAlign w:val="subscript"/>
        </w:rPr>
        <w:t>1</w:t>
      </w:r>
      <w:r>
        <w:rPr>
          <w:rFonts w:hint="eastAsia"/>
          <w:sz w:val="24"/>
          <w:szCs w:val="24"/>
        </w:rPr>
        <w:t>；</w:t>
      </w:r>
      <w:r>
        <w:rPr>
          <w:sz w:val="24"/>
          <w:szCs w:val="24"/>
        </w:rPr>
        <w:t>B</w:t>
      </w:r>
      <w:r>
        <w:rPr>
          <w:sz w:val="24"/>
          <w:szCs w:val="24"/>
          <w:vertAlign w:val="subscript"/>
        </w:rPr>
        <w:t>2</w:t>
      </w:r>
      <w:r>
        <w:rPr>
          <w:rFonts w:hint="eastAsia"/>
          <w:sz w:val="24"/>
          <w:szCs w:val="24"/>
        </w:rPr>
        <w:t>；</w:t>
      </w:r>
      <w:r>
        <w:rPr>
          <w:sz w:val="24"/>
          <w:szCs w:val="24"/>
        </w:rPr>
        <w:t>B</w:t>
      </w:r>
      <w:r>
        <w:rPr>
          <w:sz w:val="24"/>
          <w:szCs w:val="24"/>
          <w:vertAlign w:val="subscript"/>
        </w:rPr>
        <w:t>3</w:t>
      </w:r>
      <w:r>
        <w:rPr>
          <w:rFonts w:hint="eastAsia"/>
          <w:sz w:val="24"/>
          <w:szCs w:val="24"/>
        </w:rPr>
        <w:t>；……</w:t>
      </w:r>
      <w:r>
        <w:rPr>
          <w:sz w:val="24"/>
          <w:szCs w:val="24"/>
        </w:rPr>
        <w:t>B</w:t>
      </w:r>
      <w:r>
        <w:rPr>
          <w:sz w:val="24"/>
          <w:szCs w:val="24"/>
          <w:vertAlign w:val="subscript"/>
        </w:rPr>
        <w:t>n</w:t>
      </w:r>
      <w:r>
        <w:rPr>
          <w:sz w:val="24"/>
          <w:szCs w:val="24"/>
        </w:rPr>
        <w:t>---</w:t>
      </w:r>
      <w:r>
        <w:rPr>
          <w:rFonts w:hint="eastAsia"/>
          <w:sz w:val="24"/>
          <w:szCs w:val="24"/>
        </w:rPr>
        <w:t>各可调因子的变值权重（即可调部分的权重）为各可调因子在投标函投标总报价中所占的比例，且</w:t>
      </w:r>
      <w:r>
        <w:rPr>
          <w:sz w:val="24"/>
          <w:szCs w:val="24"/>
        </w:rPr>
        <w:t>A+B</w:t>
      </w:r>
      <w:r>
        <w:rPr>
          <w:sz w:val="24"/>
          <w:szCs w:val="24"/>
          <w:vertAlign w:val="subscript"/>
        </w:rPr>
        <w:t>1</w:t>
      </w:r>
      <w:r>
        <w:rPr>
          <w:sz w:val="24"/>
          <w:szCs w:val="24"/>
        </w:rPr>
        <w:t>+B</w:t>
      </w:r>
      <w:r>
        <w:rPr>
          <w:sz w:val="24"/>
          <w:szCs w:val="24"/>
          <w:vertAlign w:val="subscript"/>
        </w:rPr>
        <w:t>2</w:t>
      </w:r>
      <w:r>
        <w:rPr>
          <w:sz w:val="24"/>
          <w:szCs w:val="24"/>
        </w:rPr>
        <w:t>+B</w:t>
      </w:r>
      <w:r>
        <w:rPr>
          <w:sz w:val="24"/>
          <w:szCs w:val="24"/>
          <w:vertAlign w:val="subscript"/>
        </w:rPr>
        <w:t>3</w:t>
      </w:r>
      <w:r>
        <w:rPr>
          <w:sz w:val="24"/>
          <w:szCs w:val="24"/>
        </w:rPr>
        <w:t>+</w:t>
      </w:r>
      <w:r>
        <w:rPr>
          <w:rFonts w:hint="eastAsia"/>
          <w:sz w:val="24"/>
          <w:szCs w:val="24"/>
        </w:rPr>
        <w:t>……</w:t>
      </w:r>
      <w:r>
        <w:rPr>
          <w:sz w:val="24"/>
          <w:szCs w:val="24"/>
        </w:rPr>
        <w:t>+B</w:t>
      </w:r>
      <w:r>
        <w:rPr>
          <w:sz w:val="24"/>
          <w:szCs w:val="24"/>
          <w:vertAlign w:val="subscript"/>
        </w:rPr>
        <w:t>n</w:t>
      </w:r>
      <w:r>
        <w:rPr>
          <w:sz w:val="24"/>
          <w:szCs w:val="24"/>
        </w:rPr>
        <w:t>=1</w:t>
      </w:r>
      <w:r>
        <w:rPr>
          <w:rFonts w:hint="eastAsia"/>
          <w:sz w:val="24"/>
          <w:szCs w:val="24"/>
        </w:rPr>
        <w:t>；</w:t>
      </w:r>
    </w:p>
    <w:p>
      <w:pPr>
        <w:spacing w:line="360" w:lineRule="auto"/>
        <w:ind w:firstLine="480" w:firstLineChars="200"/>
        <w:rPr>
          <w:sz w:val="24"/>
          <w:szCs w:val="24"/>
        </w:rPr>
      </w:pPr>
      <w:r>
        <w:rPr>
          <w:sz w:val="24"/>
          <w:szCs w:val="24"/>
        </w:rPr>
        <w:t>F</w:t>
      </w:r>
      <w:r>
        <w:rPr>
          <w:sz w:val="24"/>
          <w:szCs w:val="24"/>
          <w:vertAlign w:val="subscript"/>
        </w:rPr>
        <w:t>t1</w:t>
      </w:r>
      <w:r>
        <w:rPr>
          <w:rFonts w:hint="eastAsia"/>
          <w:sz w:val="24"/>
          <w:szCs w:val="24"/>
        </w:rPr>
        <w:t>；</w:t>
      </w:r>
      <w:r>
        <w:rPr>
          <w:sz w:val="24"/>
          <w:szCs w:val="24"/>
        </w:rPr>
        <w:t>F</w:t>
      </w:r>
      <w:r>
        <w:rPr>
          <w:sz w:val="24"/>
          <w:szCs w:val="24"/>
          <w:vertAlign w:val="subscript"/>
        </w:rPr>
        <w:t>t2</w:t>
      </w:r>
      <w:r>
        <w:rPr>
          <w:rFonts w:hint="eastAsia"/>
          <w:sz w:val="24"/>
          <w:szCs w:val="24"/>
        </w:rPr>
        <w:t>；</w:t>
      </w:r>
      <w:r>
        <w:rPr>
          <w:sz w:val="24"/>
          <w:szCs w:val="24"/>
        </w:rPr>
        <w:t>F</w:t>
      </w:r>
      <w:r>
        <w:rPr>
          <w:sz w:val="24"/>
          <w:szCs w:val="24"/>
          <w:vertAlign w:val="subscript"/>
        </w:rPr>
        <w:t>t3</w:t>
      </w:r>
      <w:r>
        <w:rPr>
          <w:rFonts w:hint="eastAsia"/>
          <w:sz w:val="24"/>
          <w:szCs w:val="24"/>
        </w:rPr>
        <w:t>；……</w:t>
      </w:r>
      <w:r>
        <w:rPr>
          <w:sz w:val="24"/>
          <w:szCs w:val="24"/>
        </w:rPr>
        <w:t>F</w:t>
      </w:r>
      <w:r>
        <w:rPr>
          <w:sz w:val="24"/>
          <w:szCs w:val="24"/>
          <w:vertAlign w:val="subscript"/>
        </w:rPr>
        <w:t>tn</w:t>
      </w:r>
      <w:r>
        <w:rPr>
          <w:sz w:val="24"/>
          <w:szCs w:val="24"/>
        </w:rPr>
        <w:t>---</w:t>
      </w:r>
      <w:r>
        <w:rPr>
          <w:rFonts w:hint="eastAsia"/>
          <w:sz w:val="24"/>
          <w:szCs w:val="24"/>
        </w:rPr>
        <w:t>各可调因子的当期价格指数，指付款证书相关周期最后一天的前</w:t>
      </w:r>
      <w:r>
        <w:rPr>
          <w:sz w:val="24"/>
          <w:szCs w:val="24"/>
        </w:rPr>
        <w:t>42</w:t>
      </w:r>
      <w:r>
        <w:rPr>
          <w:rFonts w:hint="eastAsia"/>
          <w:sz w:val="24"/>
          <w:szCs w:val="24"/>
        </w:rPr>
        <w:t>天的各可调因子的价格指数；</w:t>
      </w:r>
    </w:p>
    <w:p>
      <w:pPr>
        <w:spacing w:line="360" w:lineRule="auto"/>
        <w:ind w:firstLine="480" w:firstLineChars="200"/>
        <w:rPr>
          <w:sz w:val="24"/>
          <w:szCs w:val="24"/>
        </w:rPr>
      </w:pPr>
      <w:r>
        <w:rPr>
          <w:sz w:val="24"/>
          <w:szCs w:val="24"/>
        </w:rPr>
        <w:t>F</w:t>
      </w:r>
      <w:r>
        <w:rPr>
          <w:sz w:val="24"/>
          <w:szCs w:val="24"/>
          <w:vertAlign w:val="subscript"/>
        </w:rPr>
        <w:t>01</w:t>
      </w:r>
      <w:r>
        <w:rPr>
          <w:rFonts w:hint="eastAsia"/>
          <w:sz w:val="24"/>
          <w:szCs w:val="24"/>
        </w:rPr>
        <w:t>；</w:t>
      </w:r>
      <w:r>
        <w:rPr>
          <w:sz w:val="24"/>
          <w:szCs w:val="24"/>
        </w:rPr>
        <w:t>F</w:t>
      </w:r>
      <w:r>
        <w:rPr>
          <w:sz w:val="24"/>
          <w:szCs w:val="24"/>
          <w:vertAlign w:val="subscript"/>
        </w:rPr>
        <w:t>02</w:t>
      </w:r>
      <w:r>
        <w:rPr>
          <w:rFonts w:hint="eastAsia"/>
          <w:sz w:val="24"/>
          <w:szCs w:val="24"/>
        </w:rPr>
        <w:t>；</w:t>
      </w:r>
      <w:r>
        <w:rPr>
          <w:sz w:val="24"/>
          <w:szCs w:val="24"/>
        </w:rPr>
        <w:t>F</w:t>
      </w:r>
      <w:r>
        <w:rPr>
          <w:sz w:val="24"/>
          <w:szCs w:val="24"/>
          <w:vertAlign w:val="subscript"/>
        </w:rPr>
        <w:t>03</w:t>
      </w:r>
      <w:r>
        <w:rPr>
          <w:rFonts w:hint="eastAsia"/>
          <w:sz w:val="24"/>
          <w:szCs w:val="24"/>
        </w:rPr>
        <w:t>；……</w:t>
      </w:r>
      <w:r>
        <w:rPr>
          <w:sz w:val="24"/>
          <w:szCs w:val="24"/>
        </w:rPr>
        <w:t>F</w:t>
      </w:r>
      <w:r>
        <w:rPr>
          <w:sz w:val="24"/>
          <w:szCs w:val="24"/>
          <w:vertAlign w:val="subscript"/>
        </w:rPr>
        <w:t>0n</w:t>
      </w:r>
      <w:r>
        <w:rPr>
          <w:sz w:val="24"/>
          <w:szCs w:val="24"/>
        </w:rPr>
        <w:t>---</w:t>
      </w:r>
      <w:r>
        <w:rPr>
          <w:rFonts w:hint="eastAsia"/>
          <w:sz w:val="24"/>
          <w:szCs w:val="24"/>
        </w:rPr>
        <w:t>各可调因子的基本价格指数，指基准日期的各可调因子的价格指数。</w:t>
      </w:r>
    </w:p>
    <w:p>
      <w:pPr>
        <w:spacing w:line="360" w:lineRule="auto"/>
        <w:ind w:firstLine="480" w:firstLineChars="200"/>
        <w:rPr>
          <w:sz w:val="24"/>
          <w:szCs w:val="24"/>
        </w:rPr>
      </w:pPr>
      <w:r>
        <w:rPr>
          <w:rFonts w:hint="eastAsia"/>
          <w:sz w:val="24"/>
          <w:szCs w:val="24"/>
        </w:rPr>
        <w:t>以上价格调整公式中的各可调因子、定值和变值权重，以及基本价格指数及其来源在投标函附录价格指数和权重表中约定。价格指数应首先采用投标函附录中载明的有关部门提供的价格指数，缺乏上述价格指数时，可采用有关部门提供的价格代替。</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暂时确定调整差额</w:t>
      </w:r>
    </w:p>
    <w:p>
      <w:pPr>
        <w:spacing w:line="360" w:lineRule="auto"/>
        <w:ind w:firstLine="480" w:firstLineChars="200"/>
        <w:rPr>
          <w:sz w:val="24"/>
          <w:szCs w:val="24"/>
        </w:rPr>
      </w:pPr>
      <w:r>
        <w:rPr>
          <w:rFonts w:hint="eastAsia"/>
          <w:sz w:val="24"/>
          <w:szCs w:val="24"/>
        </w:rPr>
        <w:t>在计算调整差额时得不到当期价格指数的，可暂用上一次价格指数计算，并在以后的付款中再按实际价格指数进行调整。</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权重的调整</w:t>
      </w:r>
    </w:p>
    <w:p>
      <w:pPr>
        <w:spacing w:line="360" w:lineRule="auto"/>
        <w:ind w:firstLine="480" w:firstLineChars="200"/>
        <w:rPr>
          <w:sz w:val="24"/>
          <w:szCs w:val="24"/>
        </w:rPr>
      </w:pPr>
      <w:r>
        <w:rPr>
          <w:rFonts w:hint="eastAsia"/>
          <w:sz w:val="24"/>
          <w:szCs w:val="24"/>
        </w:rPr>
        <w:t>按第</w:t>
      </w:r>
      <w:r>
        <w:rPr>
          <w:sz w:val="24"/>
          <w:szCs w:val="24"/>
        </w:rPr>
        <w:t>13.1</w:t>
      </w:r>
      <w:r>
        <w:rPr>
          <w:rFonts w:hint="eastAsia"/>
          <w:sz w:val="24"/>
          <w:szCs w:val="24"/>
        </w:rPr>
        <w:t>款</w:t>
      </w:r>
      <w:r>
        <w:rPr>
          <w:sz w:val="24"/>
          <w:szCs w:val="24"/>
        </w:rPr>
        <w:t>[</w:t>
      </w:r>
      <w:r>
        <w:rPr>
          <w:rFonts w:hint="eastAsia"/>
          <w:sz w:val="24"/>
          <w:szCs w:val="24"/>
        </w:rPr>
        <w:t>发包人变更权</w:t>
      </w:r>
      <w:r>
        <w:rPr>
          <w:sz w:val="24"/>
          <w:szCs w:val="24"/>
        </w:rPr>
        <w:t>]</w:t>
      </w:r>
      <w:r>
        <w:rPr>
          <w:rFonts w:hint="eastAsia"/>
          <w:sz w:val="24"/>
          <w:szCs w:val="24"/>
        </w:rPr>
        <w:t>约定的变更导致原定合同中的权重不合理的，由工程师与承包人和发包人协商后进行调整。</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承包人原因工期延误后的价格调整</w:t>
      </w:r>
    </w:p>
    <w:p>
      <w:pPr>
        <w:spacing w:line="360" w:lineRule="auto"/>
        <w:ind w:firstLine="480" w:firstLineChars="200"/>
        <w:rPr>
          <w:sz w:val="24"/>
          <w:szCs w:val="24"/>
        </w:rPr>
      </w:pPr>
      <w:r>
        <w:rPr>
          <w:rFonts w:hint="eastAsia"/>
          <w:sz w:val="24"/>
          <w:szCs w:val="24"/>
        </w:rPr>
        <w:t>因承包人原因未在约定的工期内竣工的，则对原约定竣工日期后继续施工的工程，在使用本款第</w:t>
      </w:r>
      <w:r>
        <w:rPr>
          <w:sz w:val="24"/>
          <w:szCs w:val="24"/>
        </w:rPr>
        <w:t>(1)</w:t>
      </w:r>
      <w:r>
        <w:rPr>
          <w:rFonts w:hint="eastAsia"/>
          <w:sz w:val="24"/>
          <w:szCs w:val="24"/>
        </w:rPr>
        <w:t>项价格调整公式时，应采用原约定竣工日期与实际竣工日期的两个价格指数中较低的一个作为当期价格指数。</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发包人引起的工期延误后的价格调整</w:t>
      </w:r>
    </w:p>
    <w:p>
      <w:pPr>
        <w:spacing w:line="360" w:lineRule="auto"/>
        <w:ind w:firstLine="480" w:firstLineChars="200"/>
        <w:rPr>
          <w:sz w:val="24"/>
          <w:szCs w:val="24"/>
        </w:rPr>
      </w:pPr>
      <w:r>
        <w:rPr>
          <w:rFonts w:hint="eastAsia"/>
          <w:sz w:val="24"/>
          <w:szCs w:val="24"/>
        </w:rPr>
        <w:t>由于发包人原因未在约定的工期内竣工的，则对原约定竣工日期后继续施工的工程，在使用本款第（</w:t>
      </w:r>
      <w:r>
        <w:rPr>
          <w:sz w:val="24"/>
          <w:szCs w:val="24"/>
        </w:rPr>
        <w:t>1</w:t>
      </w:r>
      <w:r>
        <w:rPr>
          <w:rFonts w:hint="eastAsia"/>
          <w:sz w:val="24"/>
          <w:szCs w:val="24"/>
        </w:rPr>
        <w:t>）目价格调整公式时，应采用原约定竣工日期与实际竣工日期的两个价格指数中较高的一个作为当期价格指数。</w:t>
      </w:r>
    </w:p>
    <w:p>
      <w:pPr>
        <w:pStyle w:val="67"/>
        <w:spacing w:afterLines="0"/>
        <w:ind w:left="0" w:firstLine="480" w:firstLineChars="200"/>
        <w:rPr>
          <w:rFonts w:cs="宋体"/>
          <w:szCs w:val="24"/>
        </w:rPr>
      </w:pPr>
      <w:r>
        <w:rPr>
          <w:rFonts w:cs="宋体"/>
          <w:szCs w:val="24"/>
        </w:rPr>
        <w:t xml:space="preserve">13.8.2.2 </w:t>
      </w:r>
      <w:r>
        <w:rPr>
          <w:rFonts w:hint="eastAsia" w:cs="宋体"/>
          <w:szCs w:val="24"/>
        </w:rPr>
        <w:t>未列入《价格指数权重表》的费用不因市场变化而调整。</w:t>
      </w:r>
    </w:p>
    <w:p>
      <w:pPr>
        <w:pStyle w:val="66"/>
        <w:spacing w:afterLines="0"/>
        <w:ind w:left="0" w:firstLine="480" w:firstLineChars="200"/>
        <w:rPr>
          <w:rFonts w:cs="宋体"/>
          <w:szCs w:val="24"/>
        </w:rPr>
      </w:pPr>
      <w:r>
        <w:rPr>
          <w:rFonts w:cs="宋体"/>
          <w:szCs w:val="24"/>
        </w:rPr>
        <w:t xml:space="preserve">13.8.3 </w:t>
      </w:r>
      <w:r>
        <w:rPr>
          <w:rFonts w:hint="eastAsia" w:cs="宋体"/>
          <w:szCs w:val="24"/>
        </w:rPr>
        <w:t>双方约定采用其他方式调整合同价款的，以专用合同条件约定为准。</w:t>
      </w:r>
    </w:p>
    <w:p>
      <w:pPr>
        <w:pStyle w:val="64"/>
        <w:numPr>
          <w:ilvl w:val="0"/>
          <w:numId w:val="0"/>
        </w:numPr>
        <w:spacing w:before="0"/>
        <w:ind w:firstLine="482" w:firstLineChars="200"/>
        <w:rPr>
          <w:rFonts w:ascii="宋体"/>
          <w:b/>
          <w:sz w:val="24"/>
          <w:szCs w:val="24"/>
        </w:rPr>
      </w:pPr>
      <w:r>
        <w:rPr>
          <w:rFonts w:hint="eastAsia" w:ascii="宋体" w:hAnsi="宋体"/>
          <w:b/>
          <w:sz w:val="24"/>
          <w:szCs w:val="24"/>
        </w:rPr>
        <w:t>第</w:t>
      </w:r>
      <w:r>
        <w:rPr>
          <w:rFonts w:ascii="宋体" w:hAnsi="宋体"/>
          <w:b/>
          <w:sz w:val="24"/>
          <w:szCs w:val="24"/>
        </w:rPr>
        <w:t>14</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合同价格与支付</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14.1 </w:t>
      </w:r>
      <w:r>
        <w:rPr>
          <w:rFonts w:hint="eastAsia" w:ascii="宋体" w:hAnsi="宋体" w:eastAsia="宋体" w:cs="宋体"/>
        </w:rPr>
        <w:t>合同价格形式</w:t>
      </w:r>
    </w:p>
    <w:p>
      <w:pPr>
        <w:pStyle w:val="66"/>
        <w:spacing w:afterLines="0"/>
        <w:ind w:left="0" w:firstLine="480" w:firstLineChars="200"/>
        <w:rPr>
          <w:rFonts w:cs="宋体"/>
          <w:szCs w:val="24"/>
        </w:rPr>
      </w:pPr>
      <w:r>
        <w:rPr>
          <w:rFonts w:cs="宋体"/>
          <w:szCs w:val="24"/>
        </w:rPr>
        <w:t xml:space="preserve">14.1.1 </w:t>
      </w:r>
      <w:r>
        <w:rPr>
          <w:rFonts w:hint="eastAsia" w:cs="宋体"/>
          <w:szCs w:val="24"/>
        </w:rPr>
        <w:t>除专用合同条件中另有约定外，本合同为总价合同，除根据第</w:t>
      </w:r>
      <w:r>
        <w:rPr>
          <w:rFonts w:cs="宋体"/>
          <w:szCs w:val="24"/>
        </w:rPr>
        <w:t>13</w:t>
      </w:r>
      <w:r>
        <w:rPr>
          <w:rFonts w:hint="eastAsia" w:cs="宋体"/>
          <w:szCs w:val="24"/>
        </w:rPr>
        <w:t>条</w:t>
      </w:r>
      <w:r>
        <w:rPr>
          <w:rFonts w:cs="宋体"/>
          <w:szCs w:val="24"/>
        </w:rPr>
        <w:t>[</w:t>
      </w:r>
      <w:r>
        <w:rPr>
          <w:rFonts w:hint="eastAsia" w:cs="宋体"/>
          <w:szCs w:val="24"/>
        </w:rPr>
        <w:t>变更与调整</w:t>
      </w:r>
      <w:r>
        <w:rPr>
          <w:rFonts w:cs="宋体"/>
          <w:szCs w:val="24"/>
        </w:rPr>
        <w:t>]</w:t>
      </w:r>
      <w:r>
        <w:rPr>
          <w:rFonts w:hint="eastAsia" w:cs="宋体"/>
          <w:szCs w:val="24"/>
        </w:rPr>
        <w:t>，以及合同中其它相关增减金额的约定进行调整外，合同价格不做调整。</w:t>
      </w:r>
    </w:p>
    <w:p>
      <w:pPr>
        <w:pStyle w:val="66"/>
        <w:spacing w:afterLines="0"/>
        <w:ind w:left="0" w:firstLine="480" w:firstLineChars="200"/>
        <w:rPr>
          <w:rFonts w:cs="宋体"/>
          <w:szCs w:val="24"/>
        </w:rPr>
      </w:pPr>
      <w:r>
        <w:rPr>
          <w:rFonts w:cs="宋体"/>
          <w:szCs w:val="24"/>
        </w:rPr>
        <w:t xml:space="preserve">14.1.2 </w:t>
      </w:r>
      <w:r>
        <w:rPr>
          <w:rFonts w:hint="eastAsia" w:cs="宋体"/>
          <w:szCs w:val="24"/>
        </w:rPr>
        <w:t>除专用合同条件另有约定外：</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工程款的支付应以合同协议书约定的签约合同价格为基础，按照合同约定进行调整；</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承包人应支付根据法律规定或合同约定应由其支付的各项税费，除第</w:t>
      </w:r>
      <w:r>
        <w:rPr>
          <w:sz w:val="24"/>
          <w:szCs w:val="24"/>
        </w:rPr>
        <w:t>13.7</w:t>
      </w:r>
      <w:r>
        <w:rPr>
          <w:rFonts w:hint="eastAsia"/>
          <w:sz w:val="24"/>
          <w:szCs w:val="24"/>
        </w:rPr>
        <w:t>款</w:t>
      </w:r>
      <w:r>
        <w:rPr>
          <w:sz w:val="24"/>
          <w:szCs w:val="24"/>
        </w:rPr>
        <w:t>[</w:t>
      </w:r>
      <w:r>
        <w:rPr>
          <w:rFonts w:hint="eastAsia"/>
          <w:sz w:val="24"/>
          <w:szCs w:val="24"/>
        </w:rPr>
        <w:t>法律变化引起的调整</w:t>
      </w:r>
      <w:r>
        <w:rPr>
          <w:sz w:val="24"/>
          <w:szCs w:val="24"/>
        </w:rPr>
        <w:t>]</w:t>
      </w:r>
      <w:r>
        <w:rPr>
          <w:rFonts w:hint="eastAsia"/>
          <w:sz w:val="24"/>
          <w:szCs w:val="24"/>
        </w:rPr>
        <w:t>约定外，合同价格不应因任何这些税费进行调整；</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价格清单列出的任何数量仅为估算的工作量，不得将其视为要求承包人实施的工程的实际或准确的工作量。在价格清单中列出的任何工作量和价格数据应仅限用于变更和支付的参考资料，而不能用于其他目的。</w:t>
      </w:r>
    </w:p>
    <w:p>
      <w:pPr>
        <w:pStyle w:val="66"/>
        <w:spacing w:afterLines="0"/>
        <w:ind w:left="0" w:firstLine="480" w:firstLineChars="200"/>
        <w:rPr>
          <w:rFonts w:cs="宋体"/>
          <w:szCs w:val="24"/>
        </w:rPr>
      </w:pPr>
      <w:r>
        <w:rPr>
          <w:rFonts w:cs="宋体"/>
          <w:szCs w:val="24"/>
        </w:rPr>
        <w:t xml:space="preserve">14.1.3 </w:t>
      </w:r>
      <w:r>
        <w:rPr>
          <w:rFonts w:hint="eastAsia" w:cs="宋体"/>
          <w:szCs w:val="24"/>
        </w:rPr>
        <w:t>合同约定工程的某部分按照实际完成的工程量进行支付的，应按照专用合同条件的约定进行计量和估价，并据此调整合同价格。</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14.2 </w:t>
      </w:r>
      <w:r>
        <w:rPr>
          <w:rFonts w:hint="eastAsia" w:ascii="宋体" w:hAnsi="宋体" w:eastAsia="宋体" w:cs="宋体"/>
        </w:rPr>
        <w:t>预付款</w:t>
      </w:r>
    </w:p>
    <w:p>
      <w:pPr>
        <w:pStyle w:val="66"/>
        <w:spacing w:afterLines="0"/>
        <w:ind w:left="0" w:firstLine="480" w:firstLineChars="200"/>
        <w:rPr>
          <w:rFonts w:cs="宋体"/>
          <w:szCs w:val="24"/>
        </w:rPr>
      </w:pPr>
      <w:r>
        <w:rPr>
          <w:rFonts w:cs="宋体"/>
          <w:szCs w:val="24"/>
        </w:rPr>
        <w:t xml:space="preserve">14.2.1 </w:t>
      </w:r>
      <w:r>
        <w:rPr>
          <w:rFonts w:hint="eastAsia" w:cs="宋体"/>
          <w:szCs w:val="24"/>
        </w:rPr>
        <w:t>预付款支付</w:t>
      </w:r>
    </w:p>
    <w:p>
      <w:pPr>
        <w:spacing w:line="360" w:lineRule="auto"/>
        <w:ind w:firstLine="480" w:firstLineChars="200"/>
        <w:rPr>
          <w:sz w:val="24"/>
          <w:szCs w:val="24"/>
        </w:rPr>
      </w:pPr>
      <w:r>
        <w:rPr>
          <w:rFonts w:hint="eastAsia"/>
          <w:sz w:val="24"/>
          <w:szCs w:val="24"/>
        </w:rPr>
        <w:t>预付款的额度和支付按照专用合同条件约定执行。预付款应当专用于承包人为合同工程的设计和工程实施购置材料、工程设备、施工设备、修建临时设施以及组织施工队伍进场等合同工作。</w:t>
      </w:r>
    </w:p>
    <w:p>
      <w:pPr>
        <w:spacing w:line="360" w:lineRule="auto"/>
        <w:ind w:firstLine="480" w:firstLineChars="200"/>
        <w:rPr>
          <w:sz w:val="24"/>
          <w:szCs w:val="24"/>
        </w:rPr>
      </w:pPr>
      <w:r>
        <w:rPr>
          <w:rFonts w:hint="eastAsia"/>
          <w:sz w:val="24"/>
          <w:szCs w:val="24"/>
        </w:rPr>
        <w:t>除专用合同条件另有约定外，预付款在进度付款中同比例扣回。在颁发工程接收证书前，提前解除合同的，尚未扣完的预付款应与合同价款一并结算。</w:t>
      </w:r>
    </w:p>
    <w:p>
      <w:pPr>
        <w:spacing w:line="360" w:lineRule="auto"/>
        <w:ind w:firstLine="480" w:firstLineChars="200"/>
        <w:rPr>
          <w:sz w:val="24"/>
          <w:szCs w:val="24"/>
        </w:rPr>
      </w:pPr>
      <w:r>
        <w:rPr>
          <w:rFonts w:hint="eastAsia"/>
          <w:sz w:val="24"/>
          <w:szCs w:val="24"/>
        </w:rPr>
        <w:t>发包人逾期支付预付款超过</w:t>
      </w:r>
      <w:r>
        <w:rPr>
          <w:sz w:val="24"/>
          <w:szCs w:val="24"/>
        </w:rPr>
        <w:t>7</w:t>
      </w:r>
      <w:r>
        <w:rPr>
          <w:rFonts w:hint="eastAsia"/>
          <w:sz w:val="24"/>
          <w:szCs w:val="24"/>
        </w:rPr>
        <w:t>天的，承包人有权向发包人发出要求预付的催告通知，发包人收到通知后</w:t>
      </w:r>
      <w:r>
        <w:rPr>
          <w:sz w:val="24"/>
          <w:szCs w:val="24"/>
        </w:rPr>
        <w:t>7</w:t>
      </w:r>
      <w:r>
        <w:rPr>
          <w:rFonts w:hint="eastAsia"/>
          <w:sz w:val="24"/>
          <w:szCs w:val="24"/>
        </w:rPr>
        <w:t>天内仍未支付的，承包人有权暂停施工，并按第</w:t>
      </w:r>
      <w:r>
        <w:rPr>
          <w:sz w:val="24"/>
          <w:szCs w:val="24"/>
        </w:rPr>
        <w:t>15.1.1</w:t>
      </w:r>
      <w:r>
        <w:rPr>
          <w:rFonts w:hint="eastAsia"/>
          <w:sz w:val="24"/>
          <w:szCs w:val="24"/>
        </w:rPr>
        <w:t>项</w:t>
      </w:r>
      <w:r>
        <w:rPr>
          <w:sz w:val="24"/>
          <w:szCs w:val="24"/>
        </w:rPr>
        <w:t>[</w:t>
      </w:r>
      <w:r>
        <w:rPr>
          <w:rFonts w:hint="eastAsia"/>
          <w:sz w:val="24"/>
          <w:szCs w:val="24"/>
        </w:rPr>
        <w:t>发包人违约的情形</w:t>
      </w:r>
      <w:r>
        <w:rPr>
          <w:sz w:val="24"/>
          <w:szCs w:val="24"/>
        </w:rPr>
        <w:t>]</w:t>
      </w:r>
      <w:r>
        <w:rPr>
          <w:rFonts w:hint="eastAsia"/>
          <w:sz w:val="24"/>
          <w:szCs w:val="24"/>
        </w:rPr>
        <w:t>执行。</w:t>
      </w:r>
    </w:p>
    <w:p>
      <w:pPr>
        <w:pStyle w:val="66"/>
        <w:spacing w:afterLines="0"/>
        <w:ind w:left="0" w:firstLine="480" w:firstLineChars="200"/>
        <w:rPr>
          <w:rFonts w:cs="宋体"/>
          <w:szCs w:val="24"/>
        </w:rPr>
      </w:pPr>
      <w:r>
        <w:rPr>
          <w:rFonts w:cs="宋体"/>
          <w:szCs w:val="24"/>
        </w:rPr>
        <w:t xml:space="preserve">14.2.2 </w:t>
      </w:r>
      <w:r>
        <w:rPr>
          <w:rFonts w:hint="eastAsia" w:cs="宋体"/>
          <w:szCs w:val="24"/>
        </w:rPr>
        <w:t>预付款担保</w:t>
      </w:r>
    </w:p>
    <w:p>
      <w:pPr>
        <w:spacing w:line="360" w:lineRule="auto"/>
        <w:ind w:firstLine="480" w:firstLineChars="200"/>
        <w:rPr>
          <w:sz w:val="24"/>
          <w:szCs w:val="24"/>
        </w:rPr>
      </w:pPr>
      <w:r>
        <w:rPr>
          <w:rFonts w:hint="eastAsia"/>
          <w:sz w:val="24"/>
          <w:szCs w:val="24"/>
        </w:rPr>
        <w:t>发包人指示承包人提供预付款担保的，承包人应在发包人支付预付款</w:t>
      </w:r>
      <w:r>
        <w:rPr>
          <w:sz w:val="24"/>
          <w:szCs w:val="24"/>
        </w:rPr>
        <w:t>7</w:t>
      </w:r>
      <w:r>
        <w:rPr>
          <w:rFonts w:hint="eastAsia"/>
          <w:sz w:val="24"/>
          <w:szCs w:val="24"/>
        </w:rPr>
        <w:t>天前提供预付款担保，专用合同条件另有约定除外。预付款担保可采用银行保函、担保公司担保等形式，具体由合同当事人在专用合同条件中约定。在预付款完全扣回之前，承包人应保证预付款担保持续有效。</w:t>
      </w:r>
    </w:p>
    <w:p>
      <w:pPr>
        <w:spacing w:line="360" w:lineRule="auto"/>
        <w:ind w:firstLine="480" w:firstLineChars="200"/>
        <w:rPr>
          <w:sz w:val="24"/>
          <w:szCs w:val="24"/>
        </w:rPr>
      </w:pPr>
      <w:r>
        <w:rPr>
          <w:rFonts w:hint="eastAsia"/>
          <w:sz w:val="24"/>
          <w:szCs w:val="24"/>
        </w:rPr>
        <w:t>发包人在工程款中逐期扣回预付款后，预付款担保额度应相应减少，但剩余的预付款担保金额不得低于未被扣回的预付款金额。</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14.3 </w:t>
      </w:r>
      <w:r>
        <w:rPr>
          <w:rFonts w:hint="eastAsia" w:ascii="宋体" w:hAnsi="宋体" w:eastAsia="宋体" w:cs="宋体"/>
        </w:rPr>
        <w:t>工程进度款</w:t>
      </w:r>
    </w:p>
    <w:p>
      <w:pPr>
        <w:pStyle w:val="66"/>
        <w:spacing w:afterLines="0"/>
        <w:ind w:left="0" w:firstLine="480" w:firstLineChars="200"/>
        <w:rPr>
          <w:rFonts w:cs="宋体"/>
          <w:szCs w:val="24"/>
        </w:rPr>
      </w:pPr>
      <w:r>
        <w:rPr>
          <w:rFonts w:cs="宋体"/>
          <w:szCs w:val="24"/>
        </w:rPr>
        <w:t xml:space="preserve">14.3.1 </w:t>
      </w:r>
      <w:r>
        <w:rPr>
          <w:rFonts w:hint="eastAsia" w:cs="宋体"/>
          <w:szCs w:val="24"/>
        </w:rPr>
        <w:t>工程进度付款申请</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）人工费的申请</w:t>
      </w:r>
    </w:p>
    <w:p>
      <w:pPr>
        <w:spacing w:line="360" w:lineRule="auto"/>
        <w:ind w:firstLine="480" w:firstLineChars="200"/>
        <w:rPr>
          <w:sz w:val="24"/>
          <w:szCs w:val="24"/>
        </w:rPr>
      </w:pPr>
      <w:r>
        <w:rPr>
          <w:rFonts w:hint="eastAsia"/>
          <w:sz w:val="24"/>
          <w:szCs w:val="24"/>
        </w:rPr>
        <w:t>人工费应按月支付，工程师应在收到承包人人工费付款申请单以及相关资料后</w:t>
      </w:r>
      <w:r>
        <w:rPr>
          <w:sz w:val="24"/>
          <w:szCs w:val="24"/>
        </w:rPr>
        <w:t>7</w:t>
      </w:r>
      <w:r>
        <w:rPr>
          <w:rFonts w:hint="eastAsia"/>
          <w:sz w:val="24"/>
          <w:szCs w:val="24"/>
        </w:rPr>
        <w:t>天内完成审查并报送发包人，发包人应在收到后</w:t>
      </w:r>
      <w:r>
        <w:rPr>
          <w:sz w:val="24"/>
          <w:szCs w:val="24"/>
        </w:rPr>
        <w:t>7</w:t>
      </w:r>
      <w:r>
        <w:rPr>
          <w:rFonts w:hint="eastAsia"/>
          <w:sz w:val="24"/>
          <w:szCs w:val="24"/>
        </w:rPr>
        <w:t>天内完成审批并向承包人签发人工费支付证书，发包人应在人工费支付证书签发后</w:t>
      </w:r>
      <w:r>
        <w:rPr>
          <w:sz w:val="24"/>
          <w:szCs w:val="24"/>
        </w:rPr>
        <w:t>7</w:t>
      </w:r>
      <w:r>
        <w:rPr>
          <w:rFonts w:hint="eastAsia"/>
          <w:sz w:val="24"/>
          <w:szCs w:val="24"/>
        </w:rPr>
        <w:t>天内完成支付。已支付的人工费部分，发包人支付进度款时予以相应扣除。</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）除专用合同条件另有约定外，承包人应在每月月末向工程师提交进度付款申请单，该进度付款申请单应包括下列内容：</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截至本次付款周期内已完成工作对应的金额；</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扣除依据本款第（</w:t>
      </w:r>
      <w:r>
        <w:rPr>
          <w:sz w:val="24"/>
          <w:szCs w:val="24"/>
        </w:rPr>
        <w:t>1</w:t>
      </w:r>
      <w:r>
        <w:rPr>
          <w:rFonts w:hint="eastAsia"/>
          <w:sz w:val="24"/>
          <w:szCs w:val="24"/>
        </w:rPr>
        <w:t>）目约定中已扣除的人工费金额；</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根据第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应增加和扣减的变更金额；</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根据第</w:t>
      </w:r>
      <w:r>
        <w:rPr>
          <w:sz w:val="24"/>
          <w:szCs w:val="24"/>
        </w:rPr>
        <w:t>14.2</w:t>
      </w:r>
      <w:r>
        <w:rPr>
          <w:rFonts w:hint="eastAsia"/>
          <w:sz w:val="24"/>
          <w:szCs w:val="24"/>
        </w:rPr>
        <w:t>款</w:t>
      </w:r>
      <w:r>
        <w:rPr>
          <w:sz w:val="24"/>
          <w:szCs w:val="24"/>
        </w:rPr>
        <w:t>[</w:t>
      </w:r>
      <w:r>
        <w:rPr>
          <w:rFonts w:hint="eastAsia"/>
          <w:sz w:val="24"/>
          <w:szCs w:val="24"/>
        </w:rPr>
        <w:t>预付款</w:t>
      </w:r>
      <w:r>
        <w:rPr>
          <w:sz w:val="24"/>
          <w:szCs w:val="24"/>
        </w:rPr>
        <w:t>]</w:t>
      </w:r>
      <w:r>
        <w:rPr>
          <w:rFonts w:hint="eastAsia"/>
          <w:sz w:val="24"/>
          <w:szCs w:val="24"/>
        </w:rPr>
        <w:t>约定应支付的预付款和扣减的返还预付款；</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根据第</w:t>
      </w:r>
      <w:r>
        <w:rPr>
          <w:sz w:val="24"/>
          <w:szCs w:val="24"/>
        </w:rPr>
        <w:t>14.6.2</w:t>
      </w:r>
      <w:r>
        <w:rPr>
          <w:rFonts w:hint="eastAsia"/>
          <w:sz w:val="24"/>
          <w:szCs w:val="24"/>
        </w:rPr>
        <w:t>项</w:t>
      </w:r>
      <w:r>
        <w:rPr>
          <w:sz w:val="24"/>
          <w:szCs w:val="24"/>
        </w:rPr>
        <w:t>[</w:t>
      </w:r>
      <w:r>
        <w:rPr>
          <w:rFonts w:hint="eastAsia"/>
          <w:sz w:val="24"/>
          <w:szCs w:val="24"/>
        </w:rPr>
        <w:t>质量保证金的预留</w:t>
      </w:r>
      <w:r>
        <w:rPr>
          <w:sz w:val="24"/>
          <w:szCs w:val="24"/>
        </w:rPr>
        <w:t>]</w:t>
      </w:r>
      <w:r>
        <w:rPr>
          <w:rFonts w:hint="eastAsia"/>
          <w:sz w:val="24"/>
          <w:szCs w:val="24"/>
        </w:rPr>
        <w:t>约定应预留的质量保证金金额；</w:t>
      </w:r>
    </w:p>
    <w:p>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根据第</w:t>
      </w:r>
      <w:r>
        <w:rPr>
          <w:sz w:val="24"/>
          <w:szCs w:val="24"/>
        </w:rPr>
        <w:t>19</w:t>
      </w:r>
      <w:r>
        <w:rPr>
          <w:rFonts w:hint="eastAsia"/>
          <w:sz w:val="24"/>
          <w:szCs w:val="24"/>
        </w:rPr>
        <w:t>条</w:t>
      </w:r>
      <w:r>
        <w:rPr>
          <w:sz w:val="24"/>
          <w:szCs w:val="24"/>
        </w:rPr>
        <w:t>[</w:t>
      </w:r>
      <w:r>
        <w:rPr>
          <w:rFonts w:hint="eastAsia"/>
          <w:sz w:val="24"/>
          <w:szCs w:val="24"/>
        </w:rPr>
        <w:t>索赔</w:t>
      </w:r>
      <w:r>
        <w:rPr>
          <w:sz w:val="24"/>
          <w:szCs w:val="24"/>
        </w:rPr>
        <w:t>]</w:t>
      </w:r>
      <w:r>
        <w:rPr>
          <w:rFonts w:hint="eastAsia"/>
          <w:sz w:val="24"/>
          <w:szCs w:val="24"/>
        </w:rPr>
        <w:t>应增加和扣减的索赔金额；</w:t>
      </w:r>
    </w:p>
    <w:p>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w:t>
      </w:r>
      <w:r>
        <w:rPr>
          <w:sz w:val="24"/>
          <w:szCs w:val="24"/>
        </w:rPr>
        <w:t xml:space="preserve"> </w:t>
      </w:r>
      <w:r>
        <w:rPr>
          <w:rFonts w:hint="eastAsia"/>
          <w:sz w:val="24"/>
          <w:szCs w:val="24"/>
        </w:rPr>
        <w:t>对已签发的进度款支付证书中出现错误的修正，应在本次进度付款中支付或扣除的金额；</w:t>
      </w:r>
    </w:p>
    <w:p>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w:t>
      </w:r>
      <w:r>
        <w:rPr>
          <w:sz w:val="24"/>
          <w:szCs w:val="24"/>
        </w:rPr>
        <w:t xml:space="preserve"> </w:t>
      </w:r>
      <w:r>
        <w:rPr>
          <w:rFonts w:hint="eastAsia"/>
          <w:sz w:val="24"/>
          <w:szCs w:val="24"/>
        </w:rPr>
        <w:t>根据合同约定应增加和扣减的其他金额。</w:t>
      </w:r>
    </w:p>
    <w:p>
      <w:pPr>
        <w:pStyle w:val="66"/>
        <w:spacing w:afterLines="0"/>
        <w:ind w:left="0" w:firstLine="480" w:firstLineChars="200"/>
        <w:rPr>
          <w:rFonts w:cs="宋体"/>
          <w:szCs w:val="24"/>
        </w:rPr>
      </w:pPr>
      <w:r>
        <w:rPr>
          <w:rFonts w:cs="宋体"/>
          <w:szCs w:val="24"/>
        </w:rPr>
        <w:t xml:space="preserve">14.3.2 </w:t>
      </w:r>
      <w:r>
        <w:rPr>
          <w:rFonts w:hint="eastAsia" w:cs="宋体"/>
          <w:szCs w:val="24"/>
        </w:rPr>
        <w:t>进度付款审核和支付</w:t>
      </w:r>
    </w:p>
    <w:p>
      <w:pPr>
        <w:pStyle w:val="68"/>
        <w:spacing w:line="360" w:lineRule="auto"/>
        <w:ind w:left="0" w:firstLine="480" w:firstLineChars="200"/>
        <w:rPr>
          <w:sz w:val="24"/>
          <w:szCs w:val="24"/>
        </w:rPr>
      </w:pPr>
      <w:r>
        <w:rPr>
          <w:rFonts w:hint="eastAsia"/>
          <w:sz w:val="24"/>
          <w:szCs w:val="24"/>
        </w:rPr>
        <w:t>除专用合同条件另有约定外，工程师应在收到承包人进度付款申请单以及相关资料后</w:t>
      </w:r>
      <w:r>
        <w:rPr>
          <w:sz w:val="24"/>
          <w:szCs w:val="24"/>
        </w:rPr>
        <w:t>7</w:t>
      </w:r>
      <w:r>
        <w:rPr>
          <w:rFonts w:hint="eastAsia"/>
          <w:sz w:val="24"/>
          <w:szCs w:val="24"/>
        </w:rPr>
        <w:t>天内完成审查并报送发包人，发包人应在收到后</w:t>
      </w:r>
      <w:r>
        <w:rPr>
          <w:sz w:val="24"/>
          <w:szCs w:val="24"/>
        </w:rPr>
        <w:t>7</w:t>
      </w:r>
      <w:r>
        <w:rPr>
          <w:rFonts w:hint="eastAsia"/>
          <w:sz w:val="24"/>
          <w:szCs w:val="24"/>
        </w:rPr>
        <w:t>天内完成审批并向承包人签发进度款支付证书。发包人逾期（包括因工程师原因延误报送的时间）未完成审批且未提出异议的，视为已签发进度款支付证书。</w:t>
      </w:r>
    </w:p>
    <w:p>
      <w:pPr>
        <w:spacing w:line="360" w:lineRule="auto"/>
        <w:ind w:firstLine="480" w:firstLineChars="200"/>
        <w:rPr>
          <w:sz w:val="24"/>
          <w:szCs w:val="24"/>
        </w:rPr>
      </w:pPr>
      <w:r>
        <w:rPr>
          <w:rFonts w:hint="eastAsia"/>
          <w:sz w:val="24"/>
          <w:szCs w:val="24"/>
        </w:rPr>
        <w:t>工程师对承包人的进度付款申请单有异议的，有权要求承包人修正和提供补充资料，承包人应提交修正后的进度付款申请单。工程师应在收到承包人修正后的进度付款申请单及相关资料后</w:t>
      </w:r>
      <w:r>
        <w:rPr>
          <w:sz w:val="24"/>
          <w:szCs w:val="24"/>
        </w:rPr>
        <w:t>7</w:t>
      </w:r>
      <w:r>
        <w:rPr>
          <w:rFonts w:hint="eastAsia"/>
          <w:sz w:val="24"/>
          <w:szCs w:val="24"/>
        </w:rPr>
        <w:t>天内完成审查并报送发包人，发包人应在收到工程师报送的进度付款申请单及相关资料后</w:t>
      </w:r>
      <w:r>
        <w:rPr>
          <w:sz w:val="24"/>
          <w:szCs w:val="24"/>
        </w:rPr>
        <w:t>7</w:t>
      </w:r>
      <w:r>
        <w:rPr>
          <w:rFonts w:hint="eastAsia"/>
          <w:sz w:val="24"/>
          <w:szCs w:val="24"/>
        </w:rPr>
        <w:t>天内，向承包人签发无异议部分的进度款支付证书。存在争议的部分，按照第</w:t>
      </w:r>
      <w:r>
        <w:rPr>
          <w:sz w:val="24"/>
          <w:szCs w:val="24"/>
        </w:rPr>
        <w:t>20</w:t>
      </w:r>
      <w:r>
        <w:rPr>
          <w:rFonts w:hint="eastAsia"/>
          <w:sz w:val="24"/>
          <w:szCs w:val="24"/>
        </w:rPr>
        <w:t>条</w:t>
      </w:r>
      <w:r>
        <w:rPr>
          <w:sz w:val="24"/>
          <w:szCs w:val="24"/>
        </w:rPr>
        <w:t>[</w:t>
      </w:r>
      <w:r>
        <w:rPr>
          <w:rFonts w:hint="eastAsia"/>
          <w:sz w:val="24"/>
          <w:szCs w:val="24"/>
        </w:rPr>
        <w:t>争议解决</w:t>
      </w:r>
      <w:r>
        <w:rPr>
          <w:sz w:val="24"/>
          <w:szCs w:val="24"/>
        </w:rPr>
        <w:t>]</w:t>
      </w:r>
      <w:r>
        <w:rPr>
          <w:rFonts w:hint="eastAsia"/>
          <w:sz w:val="24"/>
          <w:szCs w:val="24"/>
        </w:rPr>
        <w:t>的约定处理。</w:t>
      </w:r>
    </w:p>
    <w:p>
      <w:pPr>
        <w:pStyle w:val="68"/>
        <w:spacing w:line="360" w:lineRule="auto"/>
        <w:ind w:left="0" w:firstLine="480" w:firstLineChars="200"/>
        <w:rPr>
          <w:sz w:val="24"/>
          <w:szCs w:val="24"/>
        </w:rPr>
      </w:pPr>
      <w:r>
        <w:rPr>
          <w:rFonts w:hint="eastAsia"/>
          <w:sz w:val="24"/>
          <w:szCs w:val="24"/>
        </w:rPr>
        <w:t>除专用合同条件另有约定外，发包人应在进度款支付证书签发后</w:t>
      </w:r>
      <w:r>
        <w:rPr>
          <w:sz w:val="24"/>
          <w:szCs w:val="24"/>
        </w:rPr>
        <w:t>14</w:t>
      </w:r>
      <w:r>
        <w:rPr>
          <w:rFonts w:hint="eastAsia"/>
          <w:sz w:val="24"/>
          <w:szCs w:val="24"/>
        </w:rPr>
        <w:t>天内完成支付，发包人逾期支付进度款的，按照贷款市场报价利率（</w:t>
      </w:r>
      <w:r>
        <w:rPr>
          <w:sz w:val="24"/>
          <w:szCs w:val="24"/>
        </w:rPr>
        <w:t>LPR</w:t>
      </w:r>
      <w:r>
        <w:rPr>
          <w:rFonts w:hint="eastAsia"/>
          <w:sz w:val="24"/>
          <w:szCs w:val="24"/>
        </w:rPr>
        <w:t>）支付利息；逾期支付超过</w:t>
      </w:r>
      <w:r>
        <w:rPr>
          <w:sz w:val="24"/>
          <w:szCs w:val="24"/>
        </w:rPr>
        <w:t>56</w:t>
      </w:r>
      <w:r>
        <w:rPr>
          <w:rFonts w:hint="eastAsia"/>
          <w:sz w:val="24"/>
          <w:szCs w:val="24"/>
        </w:rPr>
        <w:t>天的，按照贷款市场报价利率（</w:t>
      </w:r>
      <w:r>
        <w:rPr>
          <w:sz w:val="24"/>
          <w:szCs w:val="24"/>
        </w:rPr>
        <w:t>LPR</w:t>
      </w:r>
      <w:r>
        <w:rPr>
          <w:rFonts w:hint="eastAsia"/>
          <w:sz w:val="24"/>
          <w:szCs w:val="24"/>
        </w:rPr>
        <w:t>）的两倍支付利息。</w:t>
      </w:r>
      <w:r>
        <w:rPr>
          <w:sz w:val="24"/>
          <w:szCs w:val="24"/>
        </w:rPr>
        <w:t xml:space="preserve"> </w:t>
      </w:r>
    </w:p>
    <w:p>
      <w:pPr>
        <w:pStyle w:val="68"/>
        <w:spacing w:line="360" w:lineRule="auto"/>
        <w:ind w:left="0" w:firstLine="480" w:firstLineChars="200"/>
        <w:rPr>
          <w:sz w:val="24"/>
          <w:szCs w:val="24"/>
        </w:rPr>
      </w:pPr>
      <w:r>
        <w:rPr>
          <w:rFonts w:hint="eastAsia"/>
          <w:sz w:val="24"/>
          <w:szCs w:val="24"/>
        </w:rPr>
        <w:t>发包人签发进度款支付证书，不表明发包人已同意、批准或接受了承包人完成的相应部分的工作。</w:t>
      </w:r>
    </w:p>
    <w:p>
      <w:pPr>
        <w:pStyle w:val="66"/>
        <w:spacing w:afterLines="0"/>
        <w:ind w:left="0" w:firstLine="480" w:firstLineChars="200"/>
        <w:rPr>
          <w:rFonts w:cs="宋体"/>
          <w:szCs w:val="24"/>
        </w:rPr>
      </w:pPr>
      <w:r>
        <w:rPr>
          <w:rFonts w:cs="宋体"/>
          <w:szCs w:val="24"/>
        </w:rPr>
        <w:t xml:space="preserve">14.3.3 </w:t>
      </w:r>
      <w:r>
        <w:rPr>
          <w:rFonts w:hint="eastAsia" w:cs="宋体"/>
          <w:szCs w:val="24"/>
        </w:rPr>
        <w:t>进度付款的修正</w:t>
      </w:r>
    </w:p>
    <w:p>
      <w:pPr>
        <w:spacing w:line="360" w:lineRule="auto"/>
        <w:ind w:firstLine="480" w:firstLineChars="200"/>
        <w:rPr>
          <w:sz w:val="24"/>
          <w:szCs w:val="24"/>
        </w:rPr>
      </w:pPr>
      <w:r>
        <w:rPr>
          <w:rFonts w:hint="eastAsia"/>
          <w:sz w:val="24"/>
          <w:szCs w:val="24"/>
        </w:rPr>
        <w:t>在对已签发的进度款支付证书进行阶段汇总和复核中发现错误、遗漏或重复的，发包人和承包人均有权提出修正申请。经发包人和承包人同意的修正，应在下期进度付款中支付或扣除。</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14.4 </w:t>
      </w:r>
      <w:r>
        <w:rPr>
          <w:rFonts w:hint="eastAsia" w:ascii="宋体" w:hAnsi="宋体" w:eastAsia="宋体" w:cs="宋体"/>
        </w:rPr>
        <w:t>付款计划表</w:t>
      </w:r>
    </w:p>
    <w:p>
      <w:pPr>
        <w:pStyle w:val="66"/>
        <w:spacing w:afterLines="0"/>
        <w:ind w:left="0" w:firstLine="480" w:firstLineChars="200"/>
        <w:rPr>
          <w:rFonts w:cs="宋体"/>
          <w:szCs w:val="24"/>
        </w:rPr>
      </w:pPr>
      <w:r>
        <w:rPr>
          <w:rFonts w:cs="宋体"/>
          <w:szCs w:val="24"/>
        </w:rPr>
        <w:t xml:space="preserve">14.4.1 </w:t>
      </w:r>
      <w:r>
        <w:rPr>
          <w:rFonts w:hint="eastAsia" w:cs="宋体"/>
          <w:szCs w:val="24"/>
        </w:rPr>
        <w:t>付款计划表的编制要求</w:t>
      </w:r>
    </w:p>
    <w:p>
      <w:pPr>
        <w:spacing w:line="360" w:lineRule="auto"/>
        <w:ind w:firstLine="480" w:firstLineChars="200"/>
        <w:rPr>
          <w:sz w:val="24"/>
          <w:szCs w:val="24"/>
        </w:rPr>
      </w:pPr>
      <w:r>
        <w:rPr>
          <w:rFonts w:hint="eastAsia"/>
          <w:sz w:val="24"/>
          <w:szCs w:val="24"/>
        </w:rPr>
        <w:t>除专用合同条件另有约定外，付款计划表按如下要求编制：</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付款计划表中所列的每期付款金额，应为第</w:t>
      </w:r>
      <w:r>
        <w:rPr>
          <w:sz w:val="24"/>
          <w:szCs w:val="24"/>
        </w:rPr>
        <w:t>14.3.1</w:t>
      </w:r>
      <w:r>
        <w:rPr>
          <w:rFonts w:hint="eastAsia"/>
          <w:sz w:val="24"/>
          <w:szCs w:val="24"/>
        </w:rPr>
        <w:t>项</w:t>
      </w:r>
      <w:r>
        <w:rPr>
          <w:sz w:val="24"/>
          <w:szCs w:val="24"/>
        </w:rPr>
        <w:t>[</w:t>
      </w:r>
      <w:r>
        <w:rPr>
          <w:rFonts w:hint="eastAsia"/>
          <w:sz w:val="24"/>
          <w:szCs w:val="24"/>
        </w:rPr>
        <w:t>工程进度付款申请</w:t>
      </w:r>
      <w:r>
        <w:rPr>
          <w:sz w:val="24"/>
          <w:szCs w:val="24"/>
        </w:rPr>
        <w:t>]</w:t>
      </w:r>
      <w:r>
        <w:rPr>
          <w:rFonts w:hint="eastAsia"/>
          <w:sz w:val="24"/>
          <w:szCs w:val="24"/>
        </w:rPr>
        <w:t>每期进度款的估算金额；</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实际进度与项目进度计划不一致的，合同当事人可按照第</w:t>
      </w:r>
      <w:r>
        <w:rPr>
          <w:sz w:val="24"/>
          <w:szCs w:val="24"/>
        </w:rPr>
        <w:t>3.6</w:t>
      </w:r>
      <w:r>
        <w:rPr>
          <w:rFonts w:hint="eastAsia"/>
          <w:sz w:val="24"/>
          <w:szCs w:val="24"/>
        </w:rPr>
        <w:t>款</w:t>
      </w:r>
      <w:r>
        <w:rPr>
          <w:sz w:val="24"/>
          <w:szCs w:val="24"/>
        </w:rPr>
        <w:t>[</w:t>
      </w:r>
      <w:r>
        <w:rPr>
          <w:rFonts w:hint="eastAsia"/>
          <w:sz w:val="24"/>
          <w:szCs w:val="24"/>
        </w:rPr>
        <w:t>商定或确定</w:t>
      </w:r>
      <w:r>
        <w:rPr>
          <w:sz w:val="24"/>
          <w:szCs w:val="24"/>
        </w:rPr>
        <w:t>]</w:t>
      </w:r>
      <w:r>
        <w:rPr>
          <w:rFonts w:hint="eastAsia"/>
          <w:sz w:val="24"/>
          <w:szCs w:val="24"/>
        </w:rPr>
        <w:t>修改付款计划表；</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不采用付款计划表的，承包人应向工程师提交按季度编制的支付估算付款计划表，用于支付参考。</w:t>
      </w:r>
    </w:p>
    <w:p>
      <w:pPr>
        <w:pStyle w:val="66"/>
        <w:spacing w:afterLines="0"/>
        <w:ind w:left="0" w:firstLine="480" w:firstLineChars="200"/>
        <w:rPr>
          <w:rFonts w:cs="宋体"/>
          <w:szCs w:val="24"/>
        </w:rPr>
      </w:pPr>
      <w:r>
        <w:rPr>
          <w:rFonts w:cs="宋体"/>
          <w:szCs w:val="24"/>
        </w:rPr>
        <w:t xml:space="preserve">14.4.2 </w:t>
      </w:r>
      <w:r>
        <w:rPr>
          <w:rFonts w:hint="eastAsia" w:cs="宋体"/>
          <w:szCs w:val="24"/>
        </w:rPr>
        <w:t>付款计划表的编制与审批</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除专用合同条件另有约定外，承包人应根据第</w:t>
      </w:r>
      <w:r>
        <w:rPr>
          <w:sz w:val="24"/>
          <w:szCs w:val="24"/>
        </w:rPr>
        <w:t>8.4</w:t>
      </w:r>
      <w:r>
        <w:rPr>
          <w:rFonts w:hint="eastAsia"/>
          <w:sz w:val="24"/>
          <w:szCs w:val="24"/>
        </w:rPr>
        <w:t>款</w:t>
      </w:r>
      <w:r>
        <w:rPr>
          <w:sz w:val="24"/>
          <w:szCs w:val="24"/>
        </w:rPr>
        <w:t>[</w:t>
      </w:r>
      <w:r>
        <w:rPr>
          <w:rFonts w:hint="eastAsia"/>
          <w:sz w:val="24"/>
          <w:szCs w:val="24"/>
        </w:rPr>
        <w:t>项目进度计划</w:t>
      </w:r>
      <w:r>
        <w:rPr>
          <w:sz w:val="24"/>
          <w:szCs w:val="24"/>
        </w:rPr>
        <w:t>]</w:t>
      </w:r>
      <w:r>
        <w:rPr>
          <w:rFonts w:hint="eastAsia"/>
          <w:sz w:val="24"/>
          <w:szCs w:val="24"/>
        </w:rPr>
        <w:t>约定的项目进度计划、签约合同价和工程量等因素对总价合同进行分解，确定付款期数、计划每期达到的主要形象进度和（或）完成的主要计划工程量（含设计、采购、施工、竣工试验和竣工后试验等）等目标任务，编制付款计划表。其中人工费应按月确定付款期和付款计划。承包人应当在收到工程师和发包人批准的项目进度计划后</w:t>
      </w:r>
      <w:r>
        <w:rPr>
          <w:sz w:val="24"/>
          <w:szCs w:val="24"/>
        </w:rPr>
        <w:t>7</w:t>
      </w:r>
      <w:r>
        <w:rPr>
          <w:rFonts w:hint="eastAsia"/>
          <w:sz w:val="24"/>
          <w:szCs w:val="24"/>
        </w:rPr>
        <w:t>天内，将付款计划表及编制付款计划表的支持性资料报送工程师。</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工程师应在收到付款计划表后</w:t>
      </w:r>
      <w:r>
        <w:rPr>
          <w:sz w:val="24"/>
          <w:szCs w:val="24"/>
        </w:rPr>
        <w:t>7</w:t>
      </w:r>
      <w:r>
        <w:rPr>
          <w:rFonts w:hint="eastAsia"/>
          <w:sz w:val="24"/>
          <w:szCs w:val="24"/>
        </w:rPr>
        <w:t>天内完成审核并报送发包人。发包人应在收到经工程师审核的付款计划表后</w:t>
      </w:r>
      <w:r>
        <w:rPr>
          <w:sz w:val="24"/>
          <w:szCs w:val="24"/>
        </w:rPr>
        <w:t>7</w:t>
      </w:r>
      <w:r>
        <w:rPr>
          <w:rFonts w:hint="eastAsia"/>
          <w:sz w:val="24"/>
          <w:szCs w:val="24"/>
        </w:rPr>
        <w:t>天内完成审批，经发包人批准的付款计划表为有约束力的付款计划表。</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发包人逾期未完成付款计划表审批的，也未及时要求承包人进行修正和提供补充资料的，则承包人提交的付款计划表视为已经获得发包人批准。</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14.5 </w:t>
      </w:r>
      <w:r>
        <w:rPr>
          <w:rFonts w:hint="eastAsia" w:ascii="宋体" w:hAnsi="宋体" w:eastAsia="宋体" w:cs="宋体"/>
        </w:rPr>
        <w:t>竣工结算</w:t>
      </w:r>
    </w:p>
    <w:p>
      <w:pPr>
        <w:pStyle w:val="66"/>
        <w:spacing w:afterLines="0"/>
        <w:ind w:left="0" w:firstLine="480" w:firstLineChars="200"/>
        <w:rPr>
          <w:rFonts w:cs="宋体"/>
          <w:szCs w:val="24"/>
        </w:rPr>
      </w:pPr>
      <w:r>
        <w:rPr>
          <w:rFonts w:cs="宋体"/>
          <w:szCs w:val="24"/>
        </w:rPr>
        <w:t xml:space="preserve">14.5.1 </w:t>
      </w:r>
      <w:r>
        <w:rPr>
          <w:rFonts w:hint="eastAsia" w:cs="宋体"/>
          <w:szCs w:val="24"/>
        </w:rPr>
        <w:t>竣工结算申请</w:t>
      </w:r>
    </w:p>
    <w:p>
      <w:pPr>
        <w:spacing w:line="360" w:lineRule="auto"/>
        <w:ind w:firstLine="480" w:firstLineChars="200"/>
        <w:rPr>
          <w:sz w:val="24"/>
          <w:szCs w:val="24"/>
        </w:rPr>
      </w:pPr>
      <w:r>
        <w:rPr>
          <w:rFonts w:hint="eastAsia"/>
          <w:sz w:val="24"/>
          <w:szCs w:val="24"/>
        </w:rPr>
        <w:t>除专用合同条件另有约定外，承包人应在工程竣工验收合格后</w:t>
      </w:r>
      <w:r>
        <w:rPr>
          <w:sz w:val="24"/>
          <w:szCs w:val="24"/>
        </w:rPr>
        <w:t>42</w:t>
      </w:r>
      <w:r>
        <w:rPr>
          <w:rFonts w:hint="eastAsia"/>
          <w:sz w:val="24"/>
          <w:szCs w:val="24"/>
        </w:rPr>
        <w:t>天内向工程师提交竣工结算申请单，并提交完整的结算资料，有关竣工结算申请单的资料清单和份数等要求由合同当事人在专用合同条件中约定。</w:t>
      </w:r>
    </w:p>
    <w:p>
      <w:pPr>
        <w:spacing w:line="360" w:lineRule="auto"/>
        <w:ind w:firstLine="480" w:firstLineChars="200"/>
        <w:rPr>
          <w:sz w:val="24"/>
          <w:szCs w:val="24"/>
        </w:rPr>
      </w:pPr>
      <w:r>
        <w:rPr>
          <w:rFonts w:hint="eastAsia"/>
          <w:sz w:val="24"/>
          <w:szCs w:val="24"/>
        </w:rPr>
        <w:t>除专用合同条件另有约定外，竣工结算申请单应包括以下内容：</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竣工结算合同价格；</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发包人已支付承包人的款项；</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采用第</w:t>
      </w:r>
      <w:r>
        <w:rPr>
          <w:sz w:val="24"/>
          <w:szCs w:val="24"/>
        </w:rPr>
        <w:t>14.6.1</w:t>
      </w:r>
      <w:r>
        <w:rPr>
          <w:rFonts w:hint="eastAsia"/>
          <w:sz w:val="24"/>
          <w:szCs w:val="24"/>
        </w:rPr>
        <w:t>项</w:t>
      </w:r>
      <w:r>
        <w:rPr>
          <w:sz w:val="24"/>
          <w:szCs w:val="24"/>
        </w:rPr>
        <w:t>[</w:t>
      </w:r>
      <w:r>
        <w:rPr>
          <w:rFonts w:hint="eastAsia"/>
          <w:sz w:val="24"/>
          <w:szCs w:val="24"/>
        </w:rPr>
        <w:t>承包人提供质量保证金的方式</w:t>
      </w:r>
      <w:r>
        <w:rPr>
          <w:sz w:val="24"/>
          <w:szCs w:val="24"/>
        </w:rPr>
        <w:t>]</w:t>
      </w:r>
      <w:r>
        <w:rPr>
          <w:rFonts w:hint="eastAsia"/>
          <w:sz w:val="24"/>
          <w:szCs w:val="24"/>
        </w:rPr>
        <w:t>第（</w:t>
      </w:r>
      <w:r>
        <w:rPr>
          <w:sz w:val="24"/>
          <w:szCs w:val="24"/>
        </w:rPr>
        <w:t>2</w:t>
      </w:r>
      <w:r>
        <w:rPr>
          <w:rFonts w:hint="eastAsia"/>
          <w:sz w:val="24"/>
          <w:szCs w:val="24"/>
        </w:rPr>
        <w:t>）种方式提供质量保证金的，应当列明应预留的质量保证金金额；采用第</w:t>
      </w:r>
      <w:r>
        <w:rPr>
          <w:sz w:val="24"/>
          <w:szCs w:val="24"/>
        </w:rPr>
        <w:t>14.6.1</w:t>
      </w:r>
      <w:r>
        <w:rPr>
          <w:rFonts w:hint="eastAsia"/>
          <w:sz w:val="24"/>
          <w:szCs w:val="24"/>
        </w:rPr>
        <w:t>项</w:t>
      </w:r>
      <w:r>
        <w:rPr>
          <w:sz w:val="24"/>
          <w:szCs w:val="24"/>
        </w:rPr>
        <w:t>[</w:t>
      </w:r>
      <w:r>
        <w:rPr>
          <w:rFonts w:hint="eastAsia"/>
          <w:sz w:val="24"/>
          <w:szCs w:val="24"/>
        </w:rPr>
        <w:t>承包人提供质量保证金的方式</w:t>
      </w:r>
      <w:r>
        <w:rPr>
          <w:sz w:val="24"/>
          <w:szCs w:val="24"/>
        </w:rPr>
        <w:t>]</w:t>
      </w:r>
      <w:r>
        <w:rPr>
          <w:rFonts w:hint="eastAsia"/>
          <w:sz w:val="24"/>
          <w:szCs w:val="24"/>
        </w:rPr>
        <w:t>中其他方式提供质量保证金的，应当按第</w:t>
      </w:r>
      <w:r>
        <w:rPr>
          <w:sz w:val="24"/>
          <w:szCs w:val="24"/>
        </w:rPr>
        <w:t>14.6</w:t>
      </w:r>
      <w:r>
        <w:rPr>
          <w:rFonts w:hint="eastAsia"/>
          <w:sz w:val="24"/>
          <w:szCs w:val="24"/>
        </w:rPr>
        <w:t>款</w:t>
      </w:r>
      <w:r>
        <w:rPr>
          <w:sz w:val="24"/>
          <w:szCs w:val="24"/>
        </w:rPr>
        <w:t>[</w:t>
      </w:r>
      <w:r>
        <w:rPr>
          <w:rFonts w:hint="eastAsia"/>
          <w:sz w:val="24"/>
          <w:szCs w:val="24"/>
        </w:rPr>
        <w:t>质量保证金</w:t>
      </w:r>
      <w:r>
        <w:rPr>
          <w:sz w:val="24"/>
          <w:szCs w:val="24"/>
        </w:rPr>
        <w:t>]</w:t>
      </w:r>
      <w:r>
        <w:rPr>
          <w:rFonts w:hint="eastAsia"/>
          <w:sz w:val="24"/>
          <w:szCs w:val="24"/>
        </w:rPr>
        <w:t>提供相关文件作为附件；</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发包人应支付承包人的合同价款。</w:t>
      </w:r>
    </w:p>
    <w:p>
      <w:pPr>
        <w:pStyle w:val="66"/>
        <w:spacing w:afterLines="0"/>
        <w:ind w:left="0" w:firstLine="480" w:firstLineChars="200"/>
        <w:rPr>
          <w:rFonts w:cs="宋体"/>
          <w:szCs w:val="24"/>
        </w:rPr>
      </w:pPr>
      <w:r>
        <w:rPr>
          <w:rFonts w:cs="宋体"/>
          <w:szCs w:val="24"/>
        </w:rPr>
        <w:t xml:space="preserve">14.5.2 </w:t>
      </w:r>
      <w:r>
        <w:rPr>
          <w:rFonts w:hint="eastAsia" w:cs="宋体"/>
          <w:szCs w:val="24"/>
        </w:rPr>
        <w:t>竣工结算审核</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除专用合同条件另有约定外，工程师应在收到竣工结算申请单后</w:t>
      </w:r>
      <w:r>
        <w:rPr>
          <w:sz w:val="24"/>
          <w:szCs w:val="24"/>
        </w:rPr>
        <w:t>14</w:t>
      </w:r>
      <w:r>
        <w:rPr>
          <w:rFonts w:hint="eastAsia"/>
          <w:sz w:val="24"/>
          <w:szCs w:val="24"/>
        </w:rPr>
        <w:t>天内完成核查并报送发包人。发包人应在收到工程师提交的经审核的竣工结算申请单后</w:t>
      </w:r>
      <w:r>
        <w:rPr>
          <w:sz w:val="24"/>
          <w:szCs w:val="24"/>
        </w:rPr>
        <w:t>14</w:t>
      </w:r>
      <w:r>
        <w:rPr>
          <w:rFonts w:hint="eastAsia"/>
          <w:sz w:val="24"/>
          <w:szCs w:val="24"/>
        </w:rPr>
        <w:t>天内完成审批，并由工程师向承包人签发经发包人签认的竣工付款证书。工程师或发包人对竣工结算申请单有异议的，有权要求承包人进行修正和提供补充资料，承包人应提交修正后的竣工结算申请单。</w:t>
      </w:r>
    </w:p>
    <w:p>
      <w:pPr>
        <w:spacing w:line="360" w:lineRule="auto"/>
        <w:ind w:firstLine="480" w:firstLineChars="200"/>
        <w:rPr>
          <w:sz w:val="24"/>
          <w:szCs w:val="24"/>
        </w:rPr>
      </w:pPr>
      <w:r>
        <w:rPr>
          <w:rFonts w:hint="eastAsia"/>
          <w:sz w:val="24"/>
          <w:szCs w:val="24"/>
        </w:rPr>
        <w:t>发包人在收到承包人提交竣工结算申请书后</w:t>
      </w:r>
      <w:r>
        <w:rPr>
          <w:sz w:val="24"/>
          <w:szCs w:val="24"/>
        </w:rPr>
        <w:t>28</w:t>
      </w:r>
      <w:r>
        <w:rPr>
          <w:rFonts w:hint="eastAsia"/>
          <w:sz w:val="24"/>
          <w:szCs w:val="24"/>
        </w:rPr>
        <w:t>天内未完成审批且未提出异议的，视为发包人认可承包人提交的竣工结算申请单，并自发包人收到承包人提交的竣工结算申请单后第</w:t>
      </w:r>
      <w:r>
        <w:rPr>
          <w:sz w:val="24"/>
          <w:szCs w:val="24"/>
        </w:rPr>
        <w:t>29</w:t>
      </w:r>
      <w:r>
        <w:rPr>
          <w:rFonts w:hint="eastAsia"/>
          <w:sz w:val="24"/>
          <w:szCs w:val="24"/>
        </w:rPr>
        <w:t>天起视为已签发竣工付款证书。</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除专用合同条件另有约定外，发包人应在签发竣工付款证书后的</w:t>
      </w:r>
      <w:r>
        <w:rPr>
          <w:sz w:val="24"/>
          <w:szCs w:val="24"/>
        </w:rPr>
        <w:t>14</w:t>
      </w:r>
      <w:r>
        <w:rPr>
          <w:rFonts w:hint="eastAsia"/>
          <w:sz w:val="24"/>
          <w:szCs w:val="24"/>
        </w:rPr>
        <w:t>天内，完成对承包人的竣工付款。发包人逾期支付的，按照贷款市场报价利率（</w:t>
      </w:r>
      <w:r>
        <w:rPr>
          <w:sz w:val="24"/>
          <w:szCs w:val="24"/>
        </w:rPr>
        <w:t>LPR</w:t>
      </w:r>
      <w:r>
        <w:rPr>
          <w:rFonts w:hint="eastAsia"/>
          <w:sz w:val="24"/>
          <w:szCs w:val="24"/>
        </w:rPr>
        <w:t>）支付违约金；逾期支付超过</w:t>
      </w:r>
      <w:r>
        <w:rPr>
          <w:sz w:val="24"/>
          <w:szCs w:val="24"/>
        </w:rPr>
        <w:t>56</w:t>
      </w:r>
      <w:r>
        <w:rPr>
          <w:rFonts w:hint="eastAsia"/>
          <w:sz w:val="24"/>
          <w:szCs w:val="24"/>
        </w:rPr>
        <w:t>天的，按照贷款市场报价利率（</w:t>
      </w:r>
      <w:r>
        <w:rPr>
          <w:sz w:val="24"/>
          <w:szCs w:val="24"/>
        </w:rPr>
        <w:t>LPR</w:t>
      </w:r>
      <w:r>
        <w:rPr>
          <w:rFonts w:hint="eastAsia"/>
          <w:sz w:val="24"/>
          <w:szCs w:val="24"/>
        </w:rPr>
        <w:t>）的两倍支付违约金。</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承包人对发包人签认的竣工付款证书有异议的，对于有异议部分应在收到发包人签认的竣工付款证书后</w:t>
      </w:r>
      <w:r>
        <w:rPr>
          <w:sz w:val="24"/>
          <w:szCs w:val="24"/>
        </w:rPr>
        <w:t>7</w:t>
      </w:r>
      <w:r>
        <w:rPr>
          <w:rFonts w:hint="eastAsia"/>
          <w:sz w:val="24"/>
          <w:szCs w:val="24"/>
        </w:rPr>
        <w:t>天内提出异议，并由合同当事人按照专用合同条件约定的方式和程序进行复核，或按照第</w:t>
      </w:r>
      <w:r>
        <w:rPr>
          <w:sz w:val="24"/>
          <w:szCs w:val="24"/>
        </w:rPr>
        <w:t>20</w:t>
      </w:r>
      <w:r>
        <w:rPr>
          <w:rFonts w:hint="eastAsia"/>
          <w:sz w:val="24"/>
          <w:szCs w:val="24"/>
        </w:rPr>
        <w:t>条</w:t>
      </w:r>
      <w:r>
        <w:rPr>
          <w:sz w:val="24"/>
          <w:szCs w:val="24"/>
        </w:rPr>
        <w:t>[</w:t>
      </w:r>
      <w:r>
        <w:rPr>
          <w:rFonts w:hint="eastAsia"/>
          <w:sz w:val="24"/>
          <w:szCs w:val="24"/>
        </w:rPr>
        <w:t>争议解决</w:t>
      </w:r>
      <w:r>
        <w:rPr>
          <w:sz w:val="24"/>
          <w:szCs w:val="24"/>
        </w:rPr>
        <w:t>]</w:t>
      </w:r>
      <w:r>
        <w:rPr>
          <w:rFonts w:hint="eastAsia"/>
          <w:sz w:val="24"/>
          <w:szCs w:val="24"/>
        </w:rPr>
        <w:t>约定处理。对于无异议部分，发包人应签发临时竣工付款证书，并按本款第（</w:t>
      </w:r>
      <w:r>
        <w:rPr>
          <w:sz w:val="24"/>
          <w:szCs w:val="24"/>
        </w:rPr>
        <w:t>2</w:t>
      </w:r>
      <w:r>
        <w:rPr>
          <w:rFonts w:hint="eastAsia"/>
          <w:sz w:val="24"/>
          <w:szCs w:val="24"/>
        </w:rPr>
        <w:t>）项完成付款。承包人逾期未提出异议的，视为认可发包人的审批结果。</w:t>
      </w:r>
    </w:p>
    <w:p>
      <w:pPr>
        <w:pStyle w:val="66"/>
        <w:spacing w:afterLines="0"/>
        <w:ind w:left="0" w:firstLine="480" w:firstLineChars="200"/>
        <w:rPr>
          <w:rFonts w:cs="宋体"/>
          <w:szCs w:val="24"/>
        </w:rPr>
      </w:pPr>
      <w:r>
        <w:rPr>
          <w:rFonts w:cs="宋体"/>
          <w:szCs w:val="24"/>
        </w:rPr>
        <w:t xml:space="preserve">14.5.3 </w:t>
      </w:r>
      <w:r>
        <w:rPr>
          <w:rFonts w:hint="eastAsia" w:cs="宋体"/>
          <w:szCs w:val="24"/>
        </w:rPr>
        <w:t>扫尾工作清单</w:t>
      </w:r>
    </w:p>
    <w:p>
      <w:pPr>
        <w:spacing w:line="360" w:lineRule="auto"/>
        <w:ind w:firstLine="480" w:firstLineChars="200"/>
        <w:rPr>
          <w:sz w:val="24"/>
          <w:szCs w:val="24"/>
        </w:rPr>
      </w:pPr>
      <w:r>
        <w:rPr>
          <w:rFonts w:hint="eastAsia"/>
          <w:sz w:val="24"/>
          <w:szCs w:val="24"/>
        </w:rPr>
        <w:t>经双方协商，部分工作在工程竣工验收后进行的，承包人应当编制扫尾工作清单，扫尾工作清单中应当列明承包人应当完成的扫尾工作的内容及完成时间。</w:t>
      </w:r>
    </w:p>
    <w:p>
      <w:pPr>
        <w:spacing w:line="360" w:lineRule="auto"/>
        <w:ind w:firstLine="480" w:firstLineChars="200"/>
        <w:rPr>
          <w:sz w:val="24"/>
          <w:szCs w:val="24"/>
        </w:rPr>
      </w:pPr>
      <w:r>
        <w:rPr>
          <w:rFonts w:hint="eastAsia"/>
          <w:sz w:val="24"/>
          <w:szCs w:val="24"/>
        </w:rPr>
        <w:t>承包人完成扫尾工作清单中的内容应取得的费用包含在第</w:t>
      </w:r>
      <w:r>
        <w:rPr>
          <w:sz w:val="24"/>
          <w:szCs w:val="24"/>
        </w:rPr>
        <w:t>14.5.1</w:t>
      </w:r>
      <w:r>
        <w:rPr>
          <w:rFonts w:hint="eastAsia"/>
          <w:sz w:val="24"/>
          <w:szCs w:val="24"/>
        </w:rPr>
        <w:t>项</w:t>
      </w:r>
      <w:r>
        <w:rPr>
          <w:sz w:val="24"/>
          <w:szCs w:val="24"/>
        </w:rPr>
        <w:t>[</w:t>
      </w:r>
      <w:r>
        <w:rPr>
          <w:rFonts w:hint="eastAsia"/>
          <w:sz w:val="24"/>
          <w:szCs w:val="24"/>
        </w:rPr>
        <w:t>竣工结算申请</w:t>
      </w:r>
      <w:r>
        <w:rPr>
          <w:sz w:val="24"/>
          <w:szCs w:val="24"/>
        </w:rPr>
        <w:t>]</w:t>
      </w:r>
      <w:r>
        <w:rPr>
          <w:rFonts w:hint="eastAsia"/>
          <w:sz w:val="24"/>
          <w:szCs w:val="24"/>
        </w:rPr>
        <w:t>及第</w:t>
      </w:r>
      <w:r>
        <w:rPr>
          <w:sz w:val="24"/>
          <w:szCs w:val="24"/>
        </w:rPr>
        <w:t>14.5.2</w:t>
      </w:r>
      <w:r>
        <w:rPr>
          <w:rFonts w:hint="eastAsia"/>
          <w:sz w:val="24"/>
          <w:szCs w:val="24"/>
        </w:rPr>
        <w:t>项</w:t>
      </w:r>
      <w:r>
        <w:rPr>
          <w:sz w:val="24"/>
          <w:szCs w:val="24"/>
        </w:rPr>
        <w:t>[</w:t>
      </w:r>
      <w:r>
        <w:rPr>
          <w:rFonts w:hint="eastAsia"/>
          <w:sz w:val="24"/>
          <w:szCs w:val="24"/>
        </w:rPr>
        <w:t>竣工结算审核</w:t>
      </w:r>
      <w:r>
        <w:rPr>
          <w:sz w:val="24"/>
          <w:szCs w:val="24"/>
        </w:rPr>
        <w:t>]</w:t>
      </w:r>
      <w:r>
        <w:rPr>
          <w:rFonts w:hint="eastAsia"/>
          <w:sz w:val="24"/>
          <w:szCs w:val="24"/>
        </w:rPr>
        <w:t>中一并结算。</w:t>
      </w:r>
    </w:p>
    <w:p>
      <w:pPr>
        <w:spacing w:line="360" w:lineRule="auto"/>
        <w:ind w:firstLine="480" w:firstLineChars="200"/>
        <w:rPr>
          <w:sz w:val="24"/>
          <w:szCs w:val="24"/>
        </w:rPr>
      </w:pPr>
      <w:r>
        <w:rPr>
          <w:rFonts w:hint="eastAsia"/>
          <w:sz w:val="24"/>
          <w:szCs w:val="24"/>
        </w:rPr>
        <w:t>扫尾工作的缺陷责任期按第</w:t>
      </w:r>
      <w:r>
        <w:rPr>
          <w:sz w:val="24"/>
          <w:szCs w:val="24"/>
        </w:rPr>
        <w:t>11</w:t>
      </w:r>
      <w:r>
        <w:rPr>
          <w:rFonts w:hint="eastAsia"/>
          <w:sz w:val="24"/>
          <w:szCs w:val="24"/>
        </w:rPr>
        <w:t>条</w:t>
      </w:r>
      <w:r>
        <w:rPr>
          <w:sz w:val="24"/>
          <w:szCs w:val="24"/>
        </w:rPr>
        <w:t>[</w:t>
      </w:r>
      <w:r>
        <w:rPr>
          <w:rFonts w:hint="eastAsia"/>
          <w:sz w:val="24"/>
          <w:szCs w:val="24"/>
        </w:rPr>
        <w:t>缺陷责任与保修</w:t>
      </w:r>
      <w:r>
        <w:rPr>
          <w:sz w:val="24"/>
          <w:szCs w:val="24"/>
        </w:rPr>
        <w:t>]</w:t>
      </w:r>
      <w:r>
        <w:rPr>
          <w:rFonts w:hint="eastAsia"/>
          <w:sz w:val="24"/>
          <w:szCs w:val="24"/>
        </w:rPr>
        <w:t>处理。承包人未能按照扫尾工作清单约定的完成时间完成扫尾工作的，视为承包人原因导致的工程质量缺陷按照第</w:t>
      </w:r>
      <w:r>
        <w:rPr>
          <w:sz w:val="24"/>
          <w:szCs w:val="24"/>
        </w:rPr>
        <w:t>11.3</w:t>
      </w:r>
      <w:r>
        <w:rPr>
          <w:rFonts w:hint="eastAsia"/>
          <w:sz w:val="24"/>
          <w:szCs w:val="24"/>
        </w:rPr>
        <w:t>款</w:t>
      </w:r>
      <w:r>
        <w:rPr>
          <w:sz w:val="24"/>
          <w:szCs w:val="24"/>
        </w:rPr>
        <w:t>[</w:t>
      </w:r>
      <w:r>
        <w:rPr>
          <w:rFonts w:hint="eastAsia"/>
          <w:sz w:val="24"/>
          <w:szCs w:val="24"/>
        </w:rPr>
        <w:t>缺陷调查</w:t>
      </w:r>
      <w:r>
        <w:rPr>
          <w:sz w:val="24"/>
          <w:szCs w:val="24"/>
        </w:rPr>
        <w:t>]</w:t>
      </w:r>
      <w:r>
        <w:rPr>
          <w:rFonts w:hint="eastAsia"/>
          <w:sz w:val="24"/>
          <w:szCs w:val="24"/>
        </w:rPr>
        <w:t>处理。</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14.6 </w:t>
      </w:r>
      <w:r>
        <w:rPr>
          <w:rFonts w:hint="eastAsia" w:ascii="宋体" w:hAnsi="宋体" w:eastAsia="宋体" w:cs="宋体"/>
        </w:rPr>
        <w:t>质量保证金</w:t>
      </w:r>
      <w:r>
        <w:rPr>
          <w:rFonts w:ascii="宋体" w:hAnsi="宋体" w:eastAsia="宋体" w:cs="宋体"/>
        </w:rPr>
        <w:t xml:space="preserve"> </w:t>
      </w:r>
    </w:p>
    <w:p>
      <w:pPr>
        <w:spacing w:line="360" w:lineRule="auto"/>
        <w:ind w:firstLine="480" w:firstLineChars="200"/>
        <w:rPr>
          <w:sz w:val="24"/>
          <w:szCs w:val="24"/>
        </w:rPr>
      </w:pPr>
      <w:r>
        <w:rPr>
          <w:rFonts w:hint="eastAsia"/>
          <w:sz w:val="24"/>
          <w:szCs w:val="24"/>
        </w:rPr>
        <w:t>经合同当事人协商一致提供质量保证金的，应在专用合同条件中予以明确。在工程项目竣工前，承包人已经提供履约担保的，发包人不得同时要求承包人提供质量保证金。</w:t>
      </w:r>
    </w:p>
    <w:p>
      <w:pPr>
        <w:pStyle w:val="66"/>
        <w:spacing w:afterLines="0"/>
        <w:ind w:left="0" w:firstLine="480" w:firstLineChars="200"/>
        <w:rPr>
          <w:rFonts w:cs="宋体"/>
          <w:szCs w:val="24"/>
        </w:rPr>
      </w:pPr>
      <w:r>
        <w:rPr>
          <w:rFonts w:cs="宋体"/>
          <w:szCs w:val="24"/>
        </w:rPr>
        <w:t xml:space="preserve">14.6.1 </w:t>
      </w:r>
      <w:r>
        <w:rPr>
          <w:rFonts w:hint="eastAsia" w:cs="宋体"/>
          <w:szCs w:val="24"/>
        </w:rPr>
        <w:t>承包人提供质量保证金的方式</w:t>
      </w:r>
    </w:p>
    <w:p>
      <w:pPr>
        <w:spacing w:line="360" w:lineRule="auto"/>
        <w:ind w:firstLine="480" w:firstLineChars="200"/>
        <w:rPr>
          <w:sz w:val="24"/>
          <w:szCs w:val="24"/>
        </w:rPr>
      </w:pPr>
      <w:r>
        <w:rPr>
          <w:rFonts w:hint="eastAsia"/>
          <w:sz w:val="24"/>
          <w:szCs w:val="24"/>
        </w:rPr>
        <w:t>承包人提供质量保证金有以下三种方式：</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提交工程质量保证担保；</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预留相应比例的工程款；</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双方约定的其他方式。</w:t>
      </w:r>
    </w:p>
    <w:p>
      <w:pPr>
        <w:spacing w:line="360" w:lineRule="auto"/>
        <w:ind w:firstLine="480" w:firstLineChars="200"/>
        <w:rPr>
          <w:sz w:val="24"/>
          <w:szCs w:val="24"/>
        </w:rPr>
      </w:pPr>
      <w:r>
        <w:rPr>
          <w:rFonts w:hint="eastAsia"/>
          <w:sz w:val="24"/>
          <w:szCs w:val="24"/>
        </w:rPr>
        <w:t>除专用合同条件另有约定外，质量保证金原则上采用上述第（</w:t>
      </w:r>
      <w:r>
        <w:rPr>
          <w:sz w:val="24"/>
          <w:szCs w:val="24"/>
        </w:rPr>
        <w:t>1</w:t>
      </w:r>
      <w:r>
        <w:rPr>
          <w:rFonts w:hint="eastAsia"/>
          <w:sz w:val="24"/>
          <w:szCs w:val="24"/>
        </w:rPr>
        <w:t>）种方式，且承包人应在工程竣工验收合格后</w:t>
      </w:r>
      <w:r>
        <w:rPr>
          <w:sz w:val="24"/>
          <w:szCs w:val="24"/>
        </w:rPr>
        <w:t>7</w:t>
      </w:r>
      <w:r>
        <w:rPr>
          <w:rFonts w:hint="eastAsia"/>
          <w:sz w:val="24"/>
          <w:szCs w:val="24"/>
        </w:rPr>
        <w:t>天内，向发包人提交工程质量保证担保。承包人提交工程质量保证担保时，发包人应同时返还预留的作为质量保证金的工程价款（如有）。但不论承包人以何种方式提供质量保证金，累计金额均不得高于工程价款结算总额的</w:t>
      </w:r>
      <w:r>
        <w:rPr>
          <w:sz w:val="24"/>
          <w:szCs w:val="24"/>
        </w:rPr>
        <w:t>3%</w:t>
      </w:r>
      <w:r>
        <w:rPr>
          <w:rFonts w:hint="eastAsia"/>
          <w:sz w:val="24"/>
          <w:szCs w:val="24"/>
        </w:rPr>
        <w:t>。</w:t>
      </w:r>
    </w:p>
    <w:p>
      <w:pPr>
        <w:pStyle w:val="66"/>
        <w:spacing w:afterLines="0"/>
        <w:ind w:left="0" w:firstLine="480" w:firstLineChars="200"/>
        <w:rPr>
          <w:rFonts w:cs="宋体"/>
          <w:szCs w:val="24"/>
        </w:rPr>
      </w:pPr>
      <w:r>
        <w:rPr>
          <w:rFonts w:cs="宋体"/>
          <w:szCs w:val="24"/>
        </w:rPr>
        <w:t xml:space="preserve">14.6.2 </w:t>
      </w:r>
      <w:r>
        <w:rPr>
          <w:rFonts w:hint="eastAsia" w:cs="宋体"/>
          <w:szCs w:val="24"/>
        </w:rPr>
        <w:t>质量保证金的预留</w:t>
      </w:r>
    </w:p>
    <w:p>
      <w:pPr>
        <w:spacing w:line="360" w:lineRule="auto"/>
        <w:ind w:firstLine="480" w:firstLineChars="200"/>
        <w:rPr>
          <w:sz w:val="24"/>
          <w:szCs w:val="24"/>
        </w:rPr>
      </w:pPr>
      <w:r>
        <w:rPr>
          <w:rFonts w:hint="eastAsia"/>
          <w:sz w:val="24"/>
          <w:szCs w:val="24"/>
        </w:rPr>
        <w:t>双方约定采用预留相应比例的工程款方式提供质量保证金的，质量保证金的预留有以下三种方式：</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按专用合同条件的约定在支付工程进度款时逐次预留，直至预留的质量保证金总额达到专用合同条件约定的金额或比例为止。在此情形下，质量保证金的计算基数不包括预付款的支付、扣回以及价格调整的金额；</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工程竣工结算时一次性预留质量保证金；</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双方约定的其他预留方式。</w:t>
      </w:r>
    </w:p>
    <w:p>
      <w:pPr>
        <w:spacing w:line="360" w:lineRule="auto"/>
        <w:ind w:firstLine="480" w:firstLineChars="200"/>
        <w:rPr>
          <w:sz w:val="24"/>
          <w:szCs w:val="24"/>
        </w:rPr>
      </w:pPr>
      <w:r>
        <w:rPr>
          <w:rFonts w:hint="eastAsia"/>
          <w:sz w:val="24"/>
          <w:szCs w:val="24"/>
        </w:rPr>
        <w:t>除专用合同条件另有约定外，质量保证金的预留原则上采用上述第（</w:t>
      </w:r>
      <w:r>
        <w:rPr>
          <w:sz w:val="24"/>
          <w:szCs w:val="24"/>
        </w:rPr>
        <w:t>1</w:t>
      </w:r>
      <w:r>
        <w:rPr>
          <w:rFonts w:hint="eastAsia"/>
          <w:sz w:val="24"/>
          <w:szCs w:val="24"/>
        </w:rPr>
        <w:t>）种方式。如承包人在发包人签发竣工付款证书后</w:t>
      </w:r>
      <w:r>
        <w:rPr>
          <w:sz w:val="24"/>
          <w:szCs w:val="24"/>
        </w:rPr>
        <w:t>28</w:t>
      </w:r>
      <w:r>
        <w:rPr>
          <w:rFonts w:hint="eastAsia"/>
          <w:sz w:val="24"/>
          <w:szCs w:val="24"/>
        </w:rPr>
        <w:t>天内提交工程质量保证担保，发包人应同时返还预留的作为质量保证金的工程价款。发包人在返还本条款项下的质量保证金的同时，按照中国人民银行同期同类存款基准利率支付利息。</w:t>
      </w:r>
    </w:p>
    <w:p>
      <w:pPr>
        <w:pStyle w:val="66"/>
        <w:spacing w:afterLines="0"/>
        <w:ind w:left="0" w:firstLine="480" w:firstLineChars="200"/>
        <w:rPr>
          <w:rFonts w:cs="宋体"/>
          <w:szCs w:val="24"/>
        </w:rPr>
      </w:pPr>
      <w:r>
        <w:rPr>
          <w:rFonts w:cs="宋体"/>
          <w:szCs w:val="24"/>
        </w:rPr>
        <w:t xml:space="preserve">14.6.3 </w:t>
      </w:r>
      <w:r>
        <w:rPr>
          <w:rFonts w:hint="eastAsia" w:cs="宋体"/>
          <w:szCs w:val="24"/>
        </w:rPr>
        <w:t>质量保证金的返还</w:t>
      </w:r>
    </w:p>
    <w:p>
      <w:pPr>
        <w:spacing w:line="360" w:lineRule="auto"/>
        <w:ind w:firstLine="480" w:firstLineChars="200"/>
        <w:rPr>
          <w:sz w:val="24"/>
          <w:szCs w:val="24"/>
        </w:rPr>
      </w:pPr>
      <w:r>
        <w:rPr>
          <w:rFonts w:hint="eastAsia"/>
          <w:sz w:val="24"/>
          <w:szCs w:val="24"/>
        </w:rPr>
        <w:t>缺陷责任期内，承包人认真履行合同约定的责任，缺陷责任期满，发包人根据第</w:t>
      </w:r>
      <w:r>
        <w:rPr>
          <w:sz w:val="24"/>
          <w:szCs w:val="24"/>
        </w:rPr>
        <w:t>11.6</w:t>
      </w:r>
      <w:r>
        <w:rPr>
          <w:rFonts w:hint="eastAsia"/>
          <w:sz w:val="24"/>
          <w:szCs w:val="24"/>
        </w:rPr>
        <w:t>款</w:t>
      </w:r>
      <w:r>
        <w:rPr>
          <w:sz w:val="24"/>
          <w:szCs w:val="24"/>
        </w:rPr>
        <w:t>[</w:t>
      </w:r>
      <w:r>
        <w:rPr>
          <w:rFonts w:hint="eastAsia"/>
          <w:sz w:val="24"/>
          <w:szCs w:val="24"/>
        </w:rPr>
        <w:t>缺陷责任期终止证书</w:t>
      </w:r>
      <w:r>
        <w:rPr>
          <w:sz w:val="24"/>
          <w:szCs w:val="24"/>
        </w:rPr>
        <w:t>]</w:t>
      </w:r>
      <w:r>
        <w:rPr>
          <w:rFonts w:hint="eastAsia"/>
          <w:sz w:val="24"/>
          <w:szCs w:val="24"/>
        </w:rPr>
        <w:t>向承包人颁发缺陷责任期终止证书后，承包人可向发包人申请返还质量保证金。</w:t>
      </w:r>
    </w:p>
    <w:p>
      <w:pPr>
        <w:spacing w:line="360" w:lineRule="auto"/>
        <w:ind w:firstLine="480" w:firstLineChars="200"/>
        <w:rPr>
          <w:sz w:val="24"/>
          <w:szCs w:val="24"/>
        </w:rPr>
      </w:pPr>
      <w:r>
        <w:rPr>
          <w:rFonts w:hint="eastAsia"/>
          <w:sz w:val="24"/>
          <w:szCs w:val="24"/>
        </w:rPr>
        <w:t>发包人在接到承包人返还质量保证金申请后，应于</w:t>
      </w:r>
      <w:r>
        <w:rPr>
          <w:sz w:val="24"/>
          <w:szCs w:val="24"/>
        </w:rPr>
        <w:t>7</w:t>
      </w:r>
      <w:r>
        <w:rPr>
          <w:rFonts w:hint="eastAsia"/>
          <w:sz w:val="24"/>
          <w:szCs w:val="24"/>
        </w:rPr>
        <w:t>天内将质量保证金返还承包人，逾期未返还的，应承担违约责任。发包人在接到承包人返还质量保证金申请后</w:t>
      </w:r>
      <w:r>
        <w:rPr>
          <w:sz w:val="24"/>
          <w:szCs w:val="24"/>
        </w:rPr>
        <w:t>7</w:t>
      </w:r>
      <w:r>
        <w:rPr>
          <w:rFonts w:hint="eastAsia"/>
          <w:sz w:val="24"/>
          <w:szCs w:val="24"/>
        </w:rPr>
        <w:t>天内不予答复，视同认可承包人的返还质量保证金申请。</w:t>
      </w:r>
    </w:p>
    <w:p>
      <w:pPr>
        <w:spacing w:line="360" w:lineRule="auto"/>
        <w:ind w:firstLine="480" w:firstLineChars="200"/>
        <w:rPr>
          <w:b/>
          <w:bCs/>
          <w:sz w:val="24"/>
          <w:szCs w:val="24"/>
        </w:rPr>
      </w:pPr>
      <w:r>
        <w:rPr>
          <w:rFonts w:hint="eastAsia"/>
          <w:sz w:val="24"/>
          <w:szCs w:val="24"/>
        </w:rPr>
        <w:t>发包人和承包人对质量保证金预留、返还以及工程维修质量、费用有争议的，按本合同第</w:t>
      </w:r>
      <w:r>
        <w:rPr>
          <w:sz w:val="24"/>
          <w:szCs w:val="24"/>
        </w:rPr>
        <w:t>20</w:t>
      </w:r>
      <w:r>
        <w:rPr>
          <w:rFonts w:hint="eastAsia"/>
          <w:sz w:val="24"/>
          <w:szCs w:val="24"/>
        </w:rPr>
        <w:t>条</w:t>
      </w:r>
      <w:r>
        <w:rPr>
          <w:sz w:val="24"/>
          <w:szCs w:val="24"/>
        </w:rPr>
        <w:t>[</w:t>
      </w:r>
      <w:r>
        <w:rPr>
          <w:rFonts w:hint="eastAsia"/>
          <w:sz w:val="24"/>
          <w:szCs w:val="24"/>
        </w:rPr>
        <w:t>争议解决</w:t>
      </w:r>
      <w:r>
        <w:rPr>
          <w:sz w:val="24"/>
          <w:szCs w:val="24"/>
        </w:rPr>
        <w:t>]</w:t>
      </w:r>
      <w:r>
        <w:rPr>
          <w:rFonts w:hint="eastAsia"/>
          <w:sz w:val="24"/>
          <w:szCs w:val="24"/>
        </w:rPr>
        <w:t>约定的争议和纠纷解决程序处理。</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14.7 </w:t>
      </w:r>
      <w:r>
        <w:rPr>
          <w:rFonts w:hint="eastAsia" w:ascii="宋体" w:hAnsi="宋体" w:eastAsia="宋体" w:cs="宋体"/>
        </w:rPr>
        <w:t>最终结清</w:t>
      </w:r>
      <w:r>
        <w:rPr>
          <w:rFonts w:ascii="宋体" w:hAnsi="宋体" w:eastAsia="宋体" w:cs="宋体"/>
        </w:rPr>
        <w:t xml:space="preserve"> </w:t>
      </w:r>
    </w:p>
    <w:p>
      <w:pPr>
        <w:pStyle w:val="66"/>
        <w:spacing w:afterLines="0"/>
        <w:ind w:left="0" w:firstLine="480" w:firstLineChars="200"/>
        <w:rPr>
          <w:rFonts w:cs="宋体"/>
          <w:szCs w:val="24"/>
        </w:rPr>
      </w:pPr>
      <w:r>
        <w:rPr>
          <w:rFonts w:cs="宋体"/>
          <w:szCs w:val="24"/>
        </w:rPr>
        <w:t xml:space="preserve">14.7.1 </w:t>
      </w:r>
      <w:r>
        <w:rPr>
          <w:rFonts w:hint="eastAsia" w:cs="宋体"/>
          <w:szCs w:val="24"/>
        </w:rPr>
        <w:t>最终结清申请单</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除专用合同条件另有约定外，承包人应在缺陷责任期终止证书颁发后</w:t>
      </w:r>
      <w:r>
        <w:rPr>
          <w:sz w:val="24"/>
          <w:szCs w:val="24"/>
        </w:rPr>
        <w:t>7</w:t>
      </w:r>
      <w:r>
        <w:rPr>
          <w:rFonts w:hint="eastAsia"/>
          <w:sz w:val="24"/>
          <w:szCs w:val="24"/>
        </w:rPr>
        <w:t>天内，按专用合同条件约定的份数向发包人提交最终结清申请单，并提供相关证明材料。</w:t>
      </w:r>
    </w:p>
    <w:p>
      <w:pPr>
        <w:spacing w:line="360" w:lineRule="auto"/>
        <w:ind w:firstLine="480" w:firstLineChars="200"/>
        <w:rPr>
          <w:sz w:val="24"/>
          <w:szCs w:val="24"/>
        </w:rPr>
      </w:pPr>
      <w:r>
        <w:rPr>
          <w:rFonts w:hint="eastAsia"/>
          <w:sz w:val="24"/>
          <w:szCs w:val="24"/>
        </w:rPr>
        <w:t>除专用合同条件另有约定外，最终结清申请单应列明质量保证金、应扣除的质量保证金、缺陷责任期内发生的增减费用。</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发包人对最终结清申请单内容有异议的，有权要求承包人进行修正和提供补充资料，承包人应向发包人提交修正后的最终结清申请单。</w:t>
      </w:r>
    </w:p>
    <w:p>
      <w:pPr>
        <w:pStyle w:val="66"/>
        <w:spacing w:afterLines="0"/>
        <w:ind w:left="0" w:firstLine="480" w:firstLineChars="200"/>
        <w:rPr>
          <w:rFonts w:cs="宋体"/>
          <w:szCs w:val="24"/>
        </w:rPr>
      </w:pPr>
      <w:r>
        <w:rPr>
          <w:rFonts w:cs="宋体"/>
          <w:szCs w:val="24"/>
        </w:rPr>
        <w:t xml:space="preserve">14.7.2 </w:t>
      </w:r>
      <w:r>
        <w:rPr>
          <w:rFonts w:hint="eastAsia" w:cs="宋体"/>
          <w:szCs w:val="24"/>
        </w:rPr>
        <w:t>最终结清证书和支付</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除专用合同条件另有约定外，发包人应在收到承包人提交的最终结清申请单后</w:t>
      </w:r>
      <w:r>
        <w:rPr>
          <w:sz w:val="24"/>
          <w:szCs w:val="24"/>
        </w:rPr>
        <w:t>14</w:t>
      </w:r>
      <w:r>
        <w:rPr>
          <w:rFonts w:hint="eastAsia"/>
          <w:sz w:val="24"/>
          <w:szCs w:val="24"/>
        </w:rPr>
        <w:t>天内完成审批并向承包人颁发最终结清证书。发包人逾期未完成审批，又未提出修改意见的，视为发包人同意承包人提交的最终结清申请单，且自发包人收到承包人提交的最终结清申请单后</w:t>
      </w:r>
      <w:r>
        <w:rPr>
          <w:sz w:val="24"/>
          <w:szCs w:val="24"/>
        </w:rPr>
        <w:t>15</w:t>
      </w:r>
      <w:r>
        <w:rPr>
          <w:rFonts w:hint="eastAsia"/>
          <w:sz w:val="24"/>
          <w:szCs w:val="24"/>
        </w:rPr>
        <w:t>天起视为已颁发最终结清证书。</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除专用合同条件另有约定外，发包人应在颁发最终结清证书后</w:t>
      </w:r>
      <w:r>
        <w:rPr>
          <w:sz w:val="24"/>
          <w:szCs w:val="24"/>
        </w:rPr>
        <w:t>7</w:t>
      </w:r>
      <w:r>
        <w:rPr>
          <w:rFonts w:hint="eastAsia"/>
          <w:sz w:val="24"/>
          <w:szCs w:val="24"/>
        </w:rPr>
        <w:t>天内完成支付。发包人逾期支付的，按照贷款市场报价利率（</w:t>
      </w:r>
      <w:r>
        <w:rPr>
          <w:sz w:val="24"/>
          <w:szCs w:val="24"/>
        </w:rPr>
        <w:t>LPR</w:t>
      </w:r>
      <w:r>
        <w:rPr>
          <w:rFonts w:hint="eastAsia"/>
          <w:sz w:val="24"/>
          <w:szCs w:val="24"/>
        </w:rPr>
        <w:t>）支付利息；逾期支付超过</w:t>
      </w:r>
      <w:r>
        <w:rPr>
          <w:sz w:val="24"/>
          <w:szCs w:val="24"/>
        </w:rPr>
        <w:t>56</w:t>
      </w:r>
      <w:r>
        <w:rPr>
          <w:rFonts w:hint="eastAsia"/>
          <w:sz w:val="24"/>
          <w:szCs w:val="24"/>
        </w:rPr>
        <w:t>天的，按照贷款市场报价利率（</w:t>
      </w:r>
      <w:r>
        <w:rPr>
          <w:sz w:val="24"/>
          <w:szCs w:val="24"/>
        </w:rPr>
        <w:t>LPR</w:t>
      </w:r>
      <w:r>
        <w:rPr>
          <w:rFonts w:hint="eastAsia"/>
          <w:sz w:val="24"/>
          <w:szCs w:val="24"/>
        </w:rPr>
        <w:t>）的两倍支付利息。</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承包人对发包人颁发的最终结清证书有异议的，按第</w:t>
      </w:r>
      <w:r>
        <w:rPr>
          <w:sz w:val="24"/>
          <w:szCs w:val="24"/>
        </w:rPr>
        <w:t>20</w:t>
      </w:r>
      <w:r>
        <w:rPr>
          <w:rFonts w:hint="eastAsia"/>
          <w:sz w:val="24"/>
          <w:szCs w:val="24"/>
        </w:rPr>
        <w:t>条</w:t>
      </w:r>
      <w:r>
        <w:rPr>
          <w:sz w:val="24"/>
          <w:szCs w:val="24"/>
        </w:rPr>
        <w:t>[</w:t>
      </w:r>
      <w:r>
        <w:rPr>
          <w:rFonts w:hint="eastAsia"/>
          <w:sz w:val="24"/>
          <w:szCs w:val="24"/>
        </w:rPr>
        <w:t>争议解决</w:t>
      </w:r>
      <w:r>
        <w:rPr>
          <w:sz w:val="24"/>
          <w:szCs w:val="24"/>
        </w:rPr>
        <w:t>]</w:t>
      </w:r>
      <w:r>
        <w:rPr>
          <w:rFonts w:hint="eastAsia"/>
          <w:sz w:val="24"/>
          <w:szCs w:val="24"/>
        </w:rPr>
        <w:t>的约定办理。</w:t>
      </w:r>
    </w:p>
    <w:p>
      <w:pPr>
        <w:pStyle w:val="64"/>
        <w:numPr>
          <w:ilvl w:val="0"/>
          <w:numId w:val="0"/>
        </w:numPr>
        <w:spacing w:before="0"/>
        <w:ind w:firstLine="482" w:firstLineChars="200"/>
        <w:rPr>
          <w:rFonts w:ascii="宋体"/>
          <w:b/>
          <w:sz w:val="24"/>
          <w:szCs w:val="24"/>
        </w:rPr>
      </w:pPr>
      <w:r>
        <w:rPr>
          <w:rFonts w:hint="eastAsia" w:ascii="宋体" w:hAnsi="宋体"/>
          <w:b/>
          <w:sz w:val="24"/>
          <w:szCs w:val="24"/>
        </w:rPr>
        <w:t>第</w:t>
      </w:r>
      <w:r>
        <w:rPr>
          <w:rFonts w:ascii="宋体" w:hAnsi="宋体"/>
          <w:b/>
          <w:sz w:val="24"/>
          <w:szCs w:val="24"/>
        </w:rPr>
        <w:t>15</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违约</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15.1 </w:t>
      </w:r>
      <w:r>
        <w:rPr>
          <w:rFonts w:hint="eastAsia" w:ascii="宋体" w:hAnsi="宋体" w:eastAsia="宋体" w:cs="宋体"/>
        </w:rPr>
        <w:t>发包人违约</w:t>
      </w:r>
    </w:p>
    <w:p>
      <w:pPr>
        <w:pStyle w:val="66"/>
        <w:spacing w:afterLines="0"/>
        <w:ind w:left="0" w:firstLine="480" w:firstLineChars="200"/>
        <w:rPr>
          <w:rFonts w:cs="宋体"/>
          <w:szCs w:val="24"/>
        </w:rPr>
      </w:pPr>
      <w:r>
        <w:rPr>
          <w:rFonts w:cs="宋体"/>
          <w:szCs w:val="24"/>
        </w:rPr>
        <w:t xml:space="preserve">15.1.1 </w:t>
      </w:r>
      <w:r>
        <w:rPr>
          <w:rFonts w:hint="eastAsia" w:cs="宋体"/>
          <w:szCs w:val="24"/>
        </w:rPr>
        <w:t>发包人违约的情形</w:t>
      </w:r>
    </w:p>
    <w:p>
      <w:pPr>
        <w:spacing w:line="360" w:lineRule="auto"/>
        <w:ind w:firstLine="480" w:firstLineChars="200"/>
        <w:rPr>
          <w:sz w:val="24"/>
          <w:szCs w:val="24"/>
        </w:rPr>
      </w:pPr>
      <w:r>
        <w:rPr>
          <w:rFonts w:hint="eastAsia"/>
          <w:sz w:val="24"/>
          <w:szCs w:val="24"/>
        </w:rPr>
        <w:t>除专用合同条件另有约定外，在合同履行过程中发生的下列情形，属于发包人违约：</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因发包人原因导致开始工作日期延误的；</w:t>
      </w:r>
      <w:r>
        <w:rPr>
          <w:sz w:val="24"/>
          <w:szCs w:val="24"/>
        </w:rPr>
        <w:t xml:space="preserve"> </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因发包人原因未能按合同约定支付合同价款的；</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发包人违反第</w:t>
      </w:r>
      <w:r>
        <w:rPr>
          <w:sz w:val="24"/>
          <w:szCs w:val="24"/>
        </w:rPr>
        <w:t>13.1.1</w:t>
      </w:r>
      <w:r>
        <w:rPr>
          <w:rFonts w:hint="eastAsia"/>
          <w:sz w:val="24"/>
          <w:szCs w:val="24"/>
        </w:rPr>
        <w:t>项约定，自行实施被取消的工作或转由他人实施的；</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因发包人违反合同约定造成工程暂停施工的；</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工程师无正当理由没有在约定期限内发出复工指示，导致承包人无法复工的；</w:t>
      </w:r>
    </w:p>
    <w:p>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发包人明确表示或者以其行为表明不履行合同主要义务的；</w:t>
      </w:r>
    </w:p>
    <w:p>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w:t>
      </w:r>
      <w:r>
        <w:rPr>
          <w:sz w:val="24"/>
          <w:szCs w:val="24"/>
        </w:rPr>
        <w:t xml:space="preserve"> </w:t>
      </w:r>
      <w:r>
        <w:rPr>
          <w:rFonts w:hint="eastAsia"/>
          <w:sz w:val="24"/>
          <w:szCs w:val="24"/>
        </w:rPr>
        <w:t>发包人未能按照合同约定履行其他义务的。</w:t>
      </w:r>
    </w:p>
    <w:p>
      <w:pPr>
        <w:pStyle w:val="66"/>
        <w:spacing w:afterLines="0"/>
        <w:ind w:left="0" w:firstLine="480" w:firstLineChars="200"/>
        <w:rPr>
          <w:rFonts w:cs="宋体"/>
          <w:szCs w:val="24"/>
        </w:rPr>
      </w:pPr>
      <w:r>
        <w:rPr>
          <w:rFonts w:cs="宋体"/>
          <w:szCs w:val="24"/>
        </w:rPr>
        <w:t xml:space="preserve">15.1.2 </w:t>
      </w:r>
      <w:r>
        <w:rPr>
          <w:rFonts w:hint="eastAsia" w:cs="宋体"/>
          <w:szCs w:val="24"/>
        </w:rPr>
        <w:t>通知改正</w:t>
      </w:r>
    </w:p>
    <w:p>
      <w:pPr>
        <w:spacing w:line="360" w:lineRule="auto"/>
        <w:ind w:firstLine="480" w:firstLineChars="200"/>
        <w:rPr>
          <w:sz w:val="24"/>
          <w:szCs w:val="24"/>
        </w:rPr>
      </w:pPr>
      <w:r>
        <w:rPr>
          <w:rFonts w:hint="eastAsia"/>
          <w:sz w:val="24"/>
          <w:szCs w:val="24"/>
        </w:rPr>
        <w:t>发包人发生除第</w:t>
      </w:r>
      <w:r>
        <w:rPr>
          <w:sz w:val="24"/>
          <w:szCs w:val="24"/>
        </w:rPr>
        <w:t>15.1.1</w:t>
      </w:r>
      <w:r>
        <w:rPr>
          <w:rFonts w:hint="eastAsia"/>
          <w:sz w:val="24"/>
          <w:szCs w:val="24"/>
        </w:rPr>
        <w:t>项第</w:t>
      </w:r>
      <w:r>
        <w:rPr>
          <w:sz w:val="24"/>
          <w:szCs w:val="24"/>
        </w:rPr>
        <w:t>(6)</w:t>
      </w:r>
      <w:r>
        <w:rPr>
          <w:rFonts w:hint="eastAsia"/>
          <w:sz w:val="24"/>
          <w:szCs w:val="24"/>
        </w:rPr>
        <w:t>目以外的违约情况时，承包人可向发包人发出通知，要求发包人采取有效措施纠正违约行为。发包人收到承包人通知后</w:t>
      </w:r>
      <w:r>
        <w:rPr>
          <w:sz w:val="24"/>
          <w:szCs w:val="24"/>
        </w:rPr>
        <w:t>28</w:t>
      </w:r>
      <w:r>
        <w:rPr>
          <w:rFonts w:hint="eastAsia"/>
          <w:sz w:val="24"/>
          <w:szCs w:val="24"/>
        </w:rPr>
        <w:t>天内仍不纠正违约行为的，承包人有权暂停相应部位工程实施，并通知工程师。</w:t>
      </w:r>
    </w:p>
    <w:p>
      <w:pPr>
        <w:pStyle w:val="66"/>
        <w:spacing w:afterLines="0"/>
        <w:ind w:left="0" w:firstLine="480" w:firstLineChars="200"/>
        <w:rPr>
          <w:rFonts w:cs="宋体"/>
          <w:szCs w:val="24"/>
        </w:rPr>
      </w:pPr>
      <w:r>
        <w:rPr>
          <w:rFonts w:cs="宋体"/>
          <w:szCs w:val="24"/>
        </w:rPr>
        <w:t xml:space="preserve">15.1.3 </w:t>
      </w:r>
      <w:r>
        <w:rPr>
          <w:rFonts w:hint="eastAsia" w:cs="宋体"/>
          <w:szCs w:val="24"/>
        </w:rPr>
        <w:t>发包人违约的责任</w:t>
      </w:r>
    </w:p>
    <w:p>
      <w:pPr>
        <w:spacing w:line="360" w:lineRule="auto"/>
        <w:ind w:firstLine="480" w:firstLineChars="200"/>
        <w:rPr>
          <w:sz w:val="24"/>
          <w:szCs w:val="24"/>
        </w:rPr>
      </w:pPr>
      <w:r>
        <w:rPr>
          <w:rFonts w:hint="eastAsia"/>
          <w:sz w:val="24"/>
          <w:szCs w:val="24"/>
        </w:rPr>
        <w:t>发包人应承担因其违约给承包人增加的费用和（或）延误的工期，并支付承包人合理的利润。此外，合同当事人可在专用合同条件中另行约定发包人违约责任的承担方式和计算方法。</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15.2 </w:t>
      </w:r>
      <w:r>
        <w:rPr>
          <w:rFonts w:hint="eastAsia" w:ascii="宋体" w:hAnsi="宋体" w:eastAsia="宋体" w:cs="宋体"/>
        </w:rPr>
        <w:t>承包人违约</w:t>
      </w:r>
    </w:p>
    <w:p>
      <w:pPr>
        <w:pStyle w:val="66"/>
        <w:spacing w:afterLines="0"/>
        <w:ind w:left="0" w:firstLine="480" w:firstLineChars="200"/>
        <w:rPr>
          <w:rFonts w:cs="宋体"/>
          <w:szCs w:val="24"/>
        </w:rPr>
      </w:pPr>
      <w:r>
        <w:rPr>
          <w:rFonts w:cs="宋体"/>
          <w:szCs w:val="24"/>
        </w:rPr>
        <w:t xml:space="preserve">15.2.1 </w:t>
      </w:r>
      <w:r>
        <w:rPr>
          <w:rFonts w:hint="eastAsia" w:cs="宋体"/>
          <w:szCs w:val="24"/>
        </w:rPr>
        <w:t>承包人违约的情形</w:t>
      </w:r>
    </w:p>
    <w:p>
      <w:pPr>
        <w:spacing w:line="360" w:lineRule="auto"/>
        <w:ind w:firstLine="480" w:firstLineChars="200"/>
        <w:rPr>
          <w:sz w:val="24"/>
          <w:szCs w:val="24"/>
        </w:rPr>
      </w:pPr>
      <w:r>
        <w:rPr>
          <w:rFonts w:hint="eastAsia"/>
          <w:sz w:val="24"/>
          <w:szCs w:val="24"/>
        </w:rPr>
        <w:t>除专用合同条件另有约定外，在履行合同过程中发生的下列情况之一的，属于承包人违约：</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承包人的原因导致的承包人文件、实施和竣工的工程不符合法律法规、工程质量验收标准以及合同约定；</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承包人违反合同约定进行转包或违法分包的；</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承包人违反约定采购和使用不合格材料或工程设备；</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因承包人原因导致工程质量不符合合同要求的；</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承包人未经工程师批准，擅自将已按合同约定进入施工现场的施工设备、临时设施或材料撤离施工现场；</w:t>
      </w:r>
    </w:p>
    <w:p>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承包人未能按项目进度计划及时完成合同约定的工作，造成工期延误；</w:t>
      </w:r>
    </w:p>
    <w:p>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w:t>
      </w:r>
      <w:r>
        <w:rPr>
          <w:sz w:val="24"/>
          <w:szCs w:val="24"/>
        </w:rPr>
        <w:t xml:space="preserve"> </w:t>
      </w:r>
      <w:r>
        <w:rPr>
          <w:rFonts w:hint="eastAsia"/>
          <w:sz w:val="24"/>
          <w:szCs w:val="24"/>
        </w:rPr>
        <w:t>由于承包人原因未能通过竣工试验或竣工后试验的；</w:t>
      </w:r>
    </w:p>
    <w:p>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w:t>
      </w:r>
      <w:r>
        <w:rPr>
          <w:sz w:val="24"/>
          <w:szCs w:val="24"/>
        </w:rPr>
        <w:t xml:space="preserve"> </w:t>
      </w:r>
      <w:r>
        <w:rPr>
          <w:rFonts w:hint="eastAsia"/>
          <w:sz w:val="24"/>
          <w:szCs w:val="24"/>
        </w:rPr>
        <w:t>承包人在缺陷责任期及保修期内，未能在合理期限对工程缺陷进行修复，或拒绝按发包人指示进行修复的；</w:t>
      </w:r>
    </w:p>
    <w:p>
      <w:pPr>
        <w:spacing w:line="360" w:lineRule="auto"/>
        <w:ind w:firstLine="480" w:firstLineChars="200"/>
        <w:rPr>
          <w:sz w:val="24"/>
          <w:szCs w:val="24"/>
        </w:rPr>
      </w:pPr>
      <w:r>
        <w:rPr>
          <w:rFonts w:hint="eastAsia"/>
          <w:sz w:val="24"/>
          <w:szCs w:val="24"/>
        </w:rPr>
        <w:t>（</w:t>
      </w:r>
      <w:r>
        <w:rPr>
          <w:sz w:val="24"/>
          <w:szCs w:val="24"/>
        </w:rPr>
        <w:t>9</w:t>
      </w:r>
      <w:r>
        <w:rPr>
          <w:rFonts w:hint="eastAsia"/>
          <w:sz w:val="24"/>
          <w:szCs w:val="24"/>
        </w:rPr>
        <w:t>）</w:t>
      </w:r>
      <w:r>
        <w:rPr>
          <w:sz w:val="24"/>
          <w:szCs w:val="24"/>
        </w:rPr>
        <w:t xml:space="preserve"> </w:t>
      </w:r>
      <w:r>
        <w:rPr>
          <w:rFonts w:hint="eastAsia"/>
          <w:sz w:val="24"/>
          <w:szCs w:val="24"/>
        </w:rPr>
        <w:t>承包人明确表示或者以其行为表明不履行合同主要义务的；</w:t>
      </w:r>
    </w:p>
    <w:p>
      <w:pPr>
        <w:spacing w:line="360" w:lineRule="auto"/>
        <w:ind w:firstLine="480" w:firstLineChars="200"/>
        <w:rPr>
          <w:sz w:val="24"/>
          <w:szCs w:val="24"/>
        </w:rPr>
      </w:pPr>
      <w:r>
        <w:rPr>
          <w:rFonts w:hint="eastAsia"/>
          <w:sz w:val="24"/>
          <w:szCs w:val="24"/>
        </w:rPr>
        <w:t>（</w:t>
      </w:r>
      <w:r>
        <w:rPr>
          <w:sz w:val="24"/>
          <w:szCs w:val="24"/>
        </w:rPr>
        <w:t>10</w:t>
      </w:r>
      <w:r>
        <w:rPr>
          <w:rFonts w:hint="eastAsia"/>
          <w:sz w:val="24"/>
          <w:szCs w:val="24"/>
        </w:rPr>
        <w:t>）</w:t>
      </w:r>
      <w:r>
        <w:rPr>
          <w:sz w:val="24"/>
          <w:szCs w:val="24"/>
        </w:rPr>
        <w:t xml:space="preserve"> </w:t>
      </w:r>
      <w:r>
        <w:rPr>
          <w:rFonts w:hint="eastAsia"/>
          <w:sz w:val="24"/>
          <w:szCs w:val="24"/>
        </w:rPr>
        <w:t>承包人未能按照合同约定履行其他义务的。</w:t>
      </w:r>
    </w:p>
    <w:p>
      <w:pPr>
        <w:pStyle w:val="66"/>
        <w:spacing w:afterLines="0"/>
        <w:ind w:left="0" w:firstLine="480" w:firstLineChars="200"/>
        <w:rPr>
          <w:rFonts w:cs="宋体"/>
          <w:szCs w:val="24"/>
        </w:rPr>
      </w:pPr>
      <w:r>
        <w:rPr>
          <w:rFonts w:cs="宋体"/>
          <w:szCs w:val="24"/>
        </w:rPr>
        <w:t xml:space="preserve">15.2.2 </w:t>
      </w:r>
      <w:r>
        <w:rPr>
          <w:rFonts w:hint="eastAsia" w:cs="宋体"/>
          <w:szCs w:val="24"/>
        </w:rPr>
        <w:t>通知改正</w:t>
      </w:r>
    </w:p>
    <w:p>
      <w:pPr>
        <w:spacing w:line="360" w:lineRule="auto"/>
        <w:ind w:firstLine="480" w:firstLineChars="200"/>
        <w:rPr>
          <w:sz w:val="24"/>
          <w:szCs w:val="24"/>
        </w:rPr>
      </w:pPr>
      <w:r>
        <w:rPr>
          <w:rFonts w:hint="eastAsia"/>
          <w:sz w:val="24"/>
          <w:szCs w:val="24"/>
        </w:rPr>
        <w:t>承包人发生除第</w:t>
      </w:r>
      <w:r>
        <w:rPr>
          <w:sz w:val="24"/>
          <w:szCs w:val="24"/>
        </w:rPr>
        <w:t>15.2.1</w:t>
      </w:r>
      <w:r>
        <w:rPr>
          <w:rFonts w:hint="eastAsia"/>
          <w:sz w:val="24"/>
          <w:szCs w:val="24"/>
        </w:rPr>
        <w:t>项第</w:t>
      </w:r>
      <w:r>
        <w:rPr>
          <w:sz w:val="24"/>
          <w:szCs w:val="24"/>
        </w:rPr>
        <w:t>(7)</w:t>
      </w:r>
      <w:r>
        <w:rPr>
          <w:rFonts w:hint="eastAsia"/>
          <w:sz w:val="24"/>
          <w:szCs w:val="24"/>
        </w:rPr>
        <w:t>目、第</w:t>
      </w:r>
      <w:r>
        <w:rPr>
          <w:sz w:val="24"/>
          <w:szCs w:val="24"/>
        </w:rPr>
        <w:t>(9)</w:t>
      </w:r>
      <w:r>
        <w:rPr>
          <w:rFonts w:hint="eastAsia"/>
          <w:sz w:val="24"/>
          <w:szCs w:val="24"/>
        </w:rPr>
        <w:t>目约定以外的其他违约情况时，工程师可在专用合同条件约定的合理期限内向承包人发出整改通知，要求其在指定的期限内改正。</w:t>
      </w:r>
    </w:p>
    <w:p>
      <w:pPr>
        <w:pStyle w:val="66"/>
        <w:spacing w:afterLines="0"/>
        <w:ind w:left="0" w:firstLine="480" w:firstLineChars="200"/>
        <w:rPr>
          <w:rFonts w:cs="宋体"/>
          <w:szCs w:val="24"/>
        </w:rPr>
      </w:pPr>
      <w:r>
        <w:rPr>
          <w:rFonts w:cs="宋体"/>
          <w:szCs w:val="24"/>
        </w:rPr>
        <w:t xml:space="preserve">15.2.3 </w:t>
      </w:r>
      <w:r>
        <w:rPr>
          <w:rFonts w:hint="eastAsia" w:cs="宋体"/>
          <w:szCs w:val="24"/>
        </w:rPr>
        <w:t>承包人违约的责任</w:t>
      </w:r>
    </w:p>
    <w:p>
      <w:pPr>
        <w:spacing w:line="360" w:lineRule="auto"/>
        <w:ind w:firstLine="480" w:firstLineChars="200"/>
        <w:rPr>
          <w:sz w:val="24"/>
          <w:szCs w:val="24"/>
        </w:rPr>
      </w:pPr>
      <w:r>
        <w:rPr>
          <w:rFonts w:hint="eastAsia"/>
          <w:sz w:val="24"/>
          <w:szCs w:val="24"/>
        </w:rPr>
        <w:t>承包人应承担因其违约行为而增加的费用和（或）延误的工期。此外，合同当事人可在专用合同条件中另行约定承包人违约责任的承担方式和计算方法。</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15.3 </w:t>
      </w:r>
      <w:r>
        <w:rPr>
          <w:rFonts w:hint="eastAsia" w:ascii="宋体" w:hAnsi="宋体" w:eastAsia="宋体" w:cs="宋体"/>
        </w:rPr>
        <w:t>第三人造成的违约</w:t>
      </w:r>
    </w:p>
    <w:p>
      <w:pPr>
        <w:spacing w:line="360" w:lineRule="auto"/>
        <w:ind w:firstLine="480" w:firstLineChars="200"/>
        <w:rPr>
          <w:sz w:val="24"/>
          <w:szCs w:val="24"/>
        </w:rPr>
      </w:pPr>
      <w:r>
        <w:rPr>
          <w:rFonts w:hint="eastAsia"/>
          <w:sz w:val="24"/>
          <w:szCs w:val="24"/>
        </w:rPr>
        <w:t>在履行合同过程中，一方当事人因第三人的原因造成违约的，应当向对方当事人承担违约责任。一方当事人和第三人之间的纠纷，依照法律规定或者按照约定解决。</w:t>
      </w:r>
    </w:p>
    <w:p>
      <w:pPr>
        <w:pStyle w:val="64"/>
        <w:numPr>
          <w:ilvl w:val="0"/>
          <w:numId w:val="0"/>
        </w:numPr>
        <w:spacing w:before="0"/>
        <w:ind w:firstLine="480" w:firstLineChars="200"/>
        <w:rPr>
          <w:rFonts w:ascii="宋体"/>
          <w:bCs/>
          <w:sz w:val="24"/>
          <w:szCs w:val="24"/>
        </w:rPr>
      </w:pPr>
      <w:r>
        <w:rPr>
          <w:rFonts w:hint="eastAsia" w:ascii="宋体" w:hAnsi="宋体"/>
          <w:bCs/>
          <w:sz w:val="24"/>
          <w:szCs w:val="24"/>
        </w:rPr>
        <w:t>第</w:t>
      </w:r>
      <w:r>
        <w:rPr>
          <w:rFonts w:ascii="宋体" w:hAnsi="宋体"/>
          <w:bCs/>
          <w:sz w:val="24"/>
          <w:szCs w:val="24"/>
        </w:rPr>
        <w:t>16</w:t>
      </w:r>
      <w:r>
        <w:rPr>
          <w:rFonts w:hint="eastAsia" w:ascii="宋体" w:hAnsi="宋体"/>
          <w:bCs/>
          <w:sz w:val="24"/>
          <w:szCs w:val="24"/>
        </w:rPr>
        <w:t>条</w:t>
      </w:r>
      <w:r>
        <w:rPr>
          <w:rFonts w:ascii="宋体" w:hAnsi="宋体"/>
          <w:bCs/>
          <w:sz w:val="24"/>
          <w:szCs w:val="24"/>
        </w:rPr>
        <w:t xml:space="preserve"> </w:t>
      </w:r>
      <w:r>
        <w:rPr>
          <w:rFonts w:hint="eastAsia" w:ascii="宋体" w:hAnsi="宋体"/>
          <w:bCs/>
          <w:sz w:val="24"/>
          <w:szCs w:val="24"/>
        </w:rPr>
        <w:t>合同解除</w:t>
      </w:r>
    </w:p>
    <w:p>
      <w:pPr>
        <w:pStyle w:val="65"/>
        <w:widowControl/>
        <w:spacing w:afterLines="0"/>
        <w:ind w:left="0" w:firstLine="480" w:firstLineChars="200"/>
        <w:rPr>
          <w:rFonts w:ascii="宋体" w:hAnsi="宋体" w:eastAsia="宋体" w:cs="宋体"/>
          <w:b w:val="0"/>
          <w:bCs/>
        </w:rPr>
      </w:pPr>
      <w:r>
        <w:rPr>
          <w:rFonts w:ascii="宋体" w:hAnsi="宋体" w:eastAsia="宋体" w:cs="宋体"/>
          <w:b w:val="0"/>
          <w:bCs/>
        </w:rPr>
        <w:t xml:space="preserve">16.1 </w:t>
      </w:r>
      <w:r>
        <w:rPr>
          <w:rFonts w:hint="eastAsia" w:ascii="宋体" w:hAnsi="宋体" w:eastAsia="宋体" w:cs="宋体"/>
          <w:b w:val="0"/>
          <w:bCs/>
        </w:rPr>
        <w:t>由发包人解除合同</w:t>
      </w:r>
    </w:p>
    <w:p>
      <w:pPr>
        <w:pStyle w:val="66"/>
        <w:spacing w:afterLines="0"/>
        <w:ind w:left="0" w:firstLine="480" w:firstLineChars="200"/>
        <w:rPr>
          <w:rFonts w:cs="宋体"/>
          <w:szCs w:val="24"/>
        </w:rPr>
      </w:pPr>
      <w:r>
        <w:rPr>
          <w:rFonts w:cs="宋体"/>
          <w:szCs w:val="24"/>
        </w:rPr>
        <w:t xml:space="preserve">16.1.1 </w:t>
      </w:r>
      <w:r>
        <w:rPr>
          <w:rFonts w:hint="eastAsia" w:cs="宋体"/>
          <w:szCs w:val="24"/>
        </w:rPr>
        <w:t>因承包人违约解除合同</w:t>
      </w:r>
    </w:p>
    <w:p>
      <w:pPr>
        <w:spacing w:line="360" w:lineRule="auto"/>
        <w:ind w:firstLine="480" w:firstLineChars="200"/>
        <w:rPr>
          <w:sz w:val="24"/>
          <w:szCs w:val="24"/>
        </w:rPr>
      </w:pPr>
      <w:r>
        <w:rPr>
          <w:rFonts w:hint="eastAsia"/>
          <w:sz w:val="24"/>
          <w:szCs w:val="24"/>
        </w:rPr>
        <w:t>除专用合同条件另有约定外，发包人有权基于下列原因，以书面形式通知承包人解除合同，解除通知中应注明是根据第</w:t>
      </w:r>
      <w:r>
        <w:rPr>
          <w:sz w:val="24"/>
          <w:szCs w:val="24"/>
        </w:rPr>
        <w:t>16.1.1</w:t>
      </w:r>
      <w:r>
        <w:rPr>
          <w:rFonts w:hint="eastAsia"/>
          <w:sz w:val="24"/>
          <w:szCs w:val="24"/>
        </w:rPr>
        <w:t>项发出的，发包人应在发出正式解除合同通知</w:t>
      </w:r>
      <w:r>
        <w:rPr>
          <w:sz w:val="24"/>
          <w:szCs w:val="24"/>
        </w:rPr>
        <w:t>14</w:t>
      </w:r>
      <w:r>
        <w:rPr>
          <w:rFonts w:hint="eastAsia"/>
          <w:sz w:val="24"/>
          <w:szCs w:val="24"/>
        </w:rPr>
        <w:t>天前告知承包人其解除合同意向，除非承包人在收到该解除合同意向通知后</w:t>
      </w:r>
      <w:r>
        <w:rPr>
          <w:sz w:val="24"/>
          <w:szCs w:val="24"/>
        </w:rPr>
        <w:t>14</w:t>
      </w:r>
      <w:r>
        <w:rPr>
          <w:rFonts w:hint="eastAsia"/>
          <w:sz w:val="24"/>
          <w:szCs w:val="24"/>
        </w:rPr>
        <w:t>天内采取了补救措施，否则发包人可向承包人发出正式解除合同通知立即解除合同。解除日期应为承包人收到正式解除合同通知的日期，但在第</w:t>
      </w:r>
      <w:r>
        <w:rPr>
          <w:sz w:val="24"/>
          <w:szCs w:val="24"/>
        </w:rPr>
        <w:t>(5)</w:t>
      </w:r>
      <w:r>
        <w:rPr>
          <w:rFonts w:hint="eastAsia"/>
          <w:sz w:val="24"/>
          <w:szCs w:val="24"/>
        </w:rPr>
        <w:t>目的情况下，发包人无须提前告知承包人其解除合同意向，可直接发出正式解除合同通知立即解除合同：</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承包人未能遵守第</w:t>
      </w:r>
      <w:r>
        <w:rPr>
          <w:sz w:val="24"/>
          <w:szCs w:val="24"/>
        </w:rPr>
        <w:t>4.2</w:t>
      </w:r>
      <w:r>
        <w:rPr>
          <w:rFonts w:hint="eastAsia"/>
          <w:sz w:val="24"/>
          <w:szCs w:val="24"/>
        </w:rPr>
        <w:t>款</w:t>
      </w:r>
      <w:r>
        <w:rPr>
          <w:sz w:val="24"/>
          <w:szCs w:val="24"/>
        </w:rPr>
        <w:t>[</w:t>
      </w:r>
      <w:r>
        <w:rPr>
          <w:rFonts w:hint="eastAsia"/>
          <w:sz w:val="24"/>
          <w:szCs w:val="24"/>
        </w:rPr>
        <w:t>履约担保</w:t>
      </w:r>
      <w:r>
        <w:rPr>
          <w:sz w:val="24"/>
          <w:szCs w:val="24"/>
        </w:rPr>
        <w:t>]</w:t>
      </w:r>
      <w:r>
        <w:rPr>
          <w:rFonts w:hint="eastAsia"/>
          <w:sz w:val="24"/>
          <w:szCs w:val="24"/>
        </w:rPr>
        <w:t>的约定；</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承包人未能遵守第</w:t>
      </w:r>
      <w:r>
        <w:rPr>
          <w:sz w:val="24"/>
          <w:szCs w:val="24"/>
        </w:rPr>
        <w:t>4.5</w:t>
      </w:r>
      <w:r>
        <w:rPr>
          <w:rFonts w:hint="eastAsia"/>
          <w:sz w:val="24"/>
          <w:szCs w:val="24"/>
        </w:rPr>
        <w:t>款</w:t>
      </w:r>
      <w:r>
        <w:rPr>
          <w:sz w:val="24"/>
          <w:szCs w:val="24"/>
        </w:rPr>
        <w:t>[</w:t>
      </w:r>
      <w:r>
        <w:rPr>
          <w:rFonts w:hint="eastAsia"/>
          <w:sz w:val="24"/>
          <w:szCs w:val="24"/>
        </w:rPr>
        <w:t>分包</w:t>
      </w:r>
      <w:r>
        <w:rPr>
          <w:sz w:val="24"/>
          <w:szCs w:val="24"/>
        </w:rPr>
        <w:t>]</w:t>
      </w:r>
      <w:r>
        <w:rPr>
          <w:rFonts w:hint="eastAsia"/>
          <w:sz w:val="24"/>
          <w:szCs w:val="24"/>
        </w:rPr>
        <w:t>有关分包和转包的约定；</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承包人实际进度明显落后于进度计划，并且未按发包人的指令采取措施并修正进度计划；</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工程质量有严重缺陷，承包人无正当理由使修复开始日期拖延达</w:t>
      </w:r>
      <w:r>
        <w:rPr>
          <w:sz w:val="24"/>
          <w:szCs w:val="24"/>
        </w:rPr>
        <w:t>28</w:t>
      </w:r>
      <w:r>
        <w:rPr>
          <w:rFonts w:hint="eastAsia"/>
          <w:sz w:val="24"/>
          <w:szCs w:val="24"/>
        </w:rPr>
        <w:t>天以上；</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承包人破产、停业清理或进入清算程序，或情况表明承包人将进入破产和（或）清算程序，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承包人明确表示或以自己的行为表明不履行合同、或经发包人以书面形式通知其履约后仍未能依约履行合同、或以不适当的方式履行合同；</w:t>
      </w:r>
    </w:p>
    <w:p>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w:t>
      </w:r>
      <w:r>
        <w:rPr>
          <w:sz w:val="24"/>
          <w:szCs w:val="24"/>
        </w:rPr>
        <w:t xml:space="preserve"> </w:t>
      </w:r>
      <w:r>
        <w:rPr>
          <w:rFonts w:hint="eastAsia"/>
          <w:sz w:val="24"/>
          <w:szCs w:val="24"/>
        </w:rPr>
        <w:t>未能通过的竣工试验、未能通过的竣工后试验，使工程的任何部分和（或）整个工程丧失了主要使用功能、生产功能；</w:t>
      </w:r>
    </w:p>
    <w:p>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w:t>
      </w:r>
      <w:r>
        <w:rPr>
          <w:sz w:val="24"/>
          <w:szCs w:val="24"/>
        </w:rPr>
        <w:t xml:space="preserve"> </w:t>
      </w:r>
      <w:r>
        <w:rPr>
          <w:rFonts w:hint="eastAsia"/>
          <w:sz w:val="24"/>
          <w:szCs w:val="24"/>
        </w:rPr>
        <w:t>因承包人的原因暂停工作超过</w:t>
      </w:r>
      <w:r>
        <w:rPr>
          <w:sz w:val="24"/>
          <w:szCs w:val="24"/>
        </w:rPr>
        <w:t>56</w:t>
      </w:r>
      <w:r>
        <w:rPr>
          <w:rFonts w:hint="eastAsia"/>
          <w:sz w:val="24"/>
          <w:szCs w:val="24"/>
        </w:rPr>
        <w:t>天且暂停影响到整个工程，或因承包人的原因暂停工作超过</w:t>
      </w:r>
      <w:r>
        <w:rPr>
          <w:sz w:val="24"/>
          <w:szCs w:val="24"/>
        </w:rPr>
        <w:t>182</w:t>
      </w:r>
      <w:r>
        <w:rPr>
          <w:rFonts w:hint="eastAsia"/>
          <w:sz w:val="24"/>
          <w:szCs w:val="24"/>
        </w:rPr>
        <w:t>天；</w:t>
      </w:r>
    </w:p>
    <w:p>
      <w:pPr>
        <w:spacing w:line="360" w:lineRule="auto"/>
        <w:ind w:firstLine="480" w:firstLineChars="200"/>
        <w:rPr>
          <w:sz w:val="24"/>
          <w:szCs w:val="24"/>
        </w:rPr>
      </w:pPr>
      <w:r>
        <w:rPr>
          <w:rFonts w:hint="eastAsia"/>
          <w:sz w:val="24"/>
          <w:szCs w:val="24"/>
        </w:rPr>
        <w:t>（</w:t>
      </w:r>
      <w:r>
        <w:rPr>
          <w:sz w:val="24"/>
          <w:szCs w:val="24"/>
        </w:rPr>
        <w:t>9</w:t>
      </w:r>
      <w:r>
        <w:rPr>
          <w:rFonts w:hint="eastAsia"/>
          <w:sz w:val="24"/>
          <w:szCs w:val="24"/>
        </w:rPr>
        <w:t>）</w:t>
      </w:r>
      <w:r>
        <w:rPr>
          <w:sz w:val="24"/>
          <w:szCs w:val="24"/>
        </w:rPr>
        <w:t xml:space="preserve"> </w:t>
      </w:r>
      <w:r>
        <w:rPr>
          <w:rFonts w:hint="eastAsia"/>
          <w:sz w:val="24"/>
          <w:szCs w:val="24"/>
        </w:rPr>
        <w:t>承包人未能遵守第</w:t>
      </w:r>
      <w:r>
        <w:rPr>
          <w:sz w:val="24"/>
          <w:szCs w:val="24"/>
        </w:rPr>
        <w:t>8.2</w:t>
      </w:r>
      <w:r>
        <w:rPr>
          <w:rFonts w:hint="eastAsia"/>
          <w:sz w:val="24"/>
          <w:szCs w:val="24"/>
        </w:rPr>
        <w:t>款</w:t>
      </w:r>
      <w:r>
        <w:rPr>
          <w:sz w:val="24"/>
          <w:szCs w:val="24"/>
        </w:rPr>
        <w:t>[</w:t>
      </w:r>
      <w:r>
        <w:rPr>
          <w:rFonts w:hint="eastAsia"/>
          <w:sz w:val="24"/>
          <w:szCs w:val="24"/>
        </w:rPr>
        <w:t>竣工日期</w:t>
      </w:r>
      <w:r>
        <w:rPr>
          <w:sz w:val="24"/>
          <w:szCs w:val="24"/>
        </w:rPr>
        <w:t>]</w:t>
      </w:r>
      <w:r>
        <w:rPr>
          <w:rFonts w:hint="eastAsia"/>
          <w:sz w:val="24"/>
          <w:szCs w:val="24"/>
        </w:rPr>
        <w:t>规定，延误超过</w:t>
      </w:r>
      <w:r>
        <w:rPr>
          <w:sz w:val="24"/>
          <w:szCs w:val="24"/>
        </w:rPr>
        <w:t>182</w:t>
      </w:r>
      <w:r>
        <w:rPr>
          <w:rFonts w:hint="eastAsia"/>
          <w:sz w:val="24"/>
          <w:szCs w:val="24"/>
        </w:rPr>
        <w:t>天；</w:t>
      </w:r>
    </w:p>
    <w:p>
      <w:pPr>
        <w:spacing w:line="360" w:lineRule="auto"/>
        <w:ind w:firstLine="480" w:firstLineChars="200"/>
        <w:rPr>
          <w:sz w:val="24"/>
          <w:szCs w:val="24"/>
        </w:rPr>
      </w:pPr>
      <w:r>
        <w:rPr>
          <w:rFonts w:hint="eastAsia"/>
          <w:sz w:val="24"/>
          <w:szCs w:val="24"/>
        </w:rPr>
        <w:t>（</w:t>
      </w:r>
      <w:r>
        <w:rPr>
          <w:sz w:val="24"/>
          <w:szCs w:val="24"/>
        </w:rPr>
        <w:t>10</w:t>
      </w:r>
      <w:r>
        <w:rPr>
          <w:rFonts w:hint="eastAsia"/>
          <w:sz w:val="24"/>
          <w:szCs w:val="24"/>
        </w:rPr>
        <w:t>）</w:t>
      </w:r>
      <w:r>
        <w:rPr>
          <w:sz w:val="24"/>
          <w:szCs w:val="24"/>
        </w:rPr>
        <w:t xml:space="preserve"> </w:t>
      </w:r>
      <w:r>
        <w:rPr>
          <w:rFonts w:hint="eastAsia"/>
          <w:sz w:val="24"/>
          <w:szCs w:val="24"/>
        </w:rPr>
        <w:t>工程师根据第</w:t>
      </w:r>
      <w:r>
        <w:rPr>
          <w:sz w:val="24"/>
          <w:szCs w:val="24"/>
        </w:rPr>
        <w:t>15.2.2</w:t>
      </w:r>
      <w:r>
        <w:rPr>
          <w:rFonts w:hint="eastAsia"/>
          <w:sz w:val="24"/>
          <w:szCs w:val="24"/>
        </w:rPr>
        <w:t>项</w:t>
      </w:r>
      <w:r>
        <w:rPr>
          <w:sz w:val="24"/>
          <w:szCs w:val="24"/>
        </w:rPr>
        <w:t>[</w:t>
      </w:r>
      <w:r>
        <w:rPr>
          <w:rFonts w:hint="eastAsia"/>
          <w:sz w:val="24"/>
          <w:szCs w:val="24"/>
        </w:rPr>
        <w:t>通知改正</w:t>
      </w:r>
      <w:r>
        <w:rPr>
          <w:sz w:val="24"/>
          <w:szCs w:val="24"/>
        </w:rPr>
        <w:t>]</w:t>
      </w:r>
      <w:r>
        <w:rPr>
          <w:rFonts w:hint="eastAsia"/>
          <w:sz w:val="24"/>
          <w:szCs w:val="24"/>
        </w:rPr>
        <w:t>发出整改通知后，承包人在指定的合理期限内仍不纠正违约行为并致使合同目的不能实现的。</w:t>
      </w:r>
    </w:p>
    <w:p>
      <w:pPr>
        <w:pStyle w:val="66"/>
        <w:spacing w:afterLines="0"/>
        <w:ind w:left="0" w:firstLine="480" w:firstLineChars="200"/>
        <w:rPr>
          <w:rFonts w:cs="宋体"/>
          <w:szCs w:val="24"/>
        </w:rPr>
      </w:pPr>
      <w:r>
        <w:rPr>
          <w:rFonts w:cs="宋体"/>
          <w:szCs w:val="24"/>
        </w:rPr>
        <w:t xml:space="preserve">16.1.2 </w:t>
      </w:r>
      <w:r>
        <w:rPr>
          <w:rFonts w:hint="eastAsia" w:cs="宋体"/>
          <w:szCs w:val="24"/>
        </w:rPr>
        <w:t>因承包人违约解除合同后承包人的义务</w:t>
      </w:r>
    </w:p>
    <w:p>
      <w:pPr>
        <w:spacing w:line="360" w:lineRule="auto"/>
        <w:ind w:firstLine="480" w:firstLineChars="200"/>
        <w:rPr>
          <w:sz w:val="24"/>
          <w:szCs w:val="24"/>
        </w:rPr>
      </w:pPr>
      <w:r>
        <w:rPr>
          <w:rFonts w:hint="eastAsia"/>
          <w:sz w:val="24"/>
          <w:szCs w:val="24"/>
        </w:rPr>
        <w:t>合同解除后，承包人应按以下约定执行：</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除了为保护生命、财产或工程安全、清理和必须执行的工作外，停止执行所有被通知解除的工作，并将相关人员撤离现场；</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经发包人批准，承包人应将与被解除合同相关的和正在执行的分包合同及相关的责任和义务转让至发包人和（或）发包人指定方的名下，包括永久性工程及工程物资，以及相关工作；</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移交已完成的永久性工程及负责已运抵现场的工程物资。在移交前，妥善做好己完工程和已运抵现场的工程物资的保管、维护和保养；</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将发包人提供的所有信息及承包人为本工程编制的设计文件、技术资料及其它文件移交给发包人。在承包人留有的资料文件中，销毁与发包人提供的所有信息相关的数据及资料的备份；</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移交相应实施阶段已经付款的并已完成的和尚待完成的设计文件、图纸、资料、操作维修手册、施工组织设计、质检资料、竣工资料等；</w:t>
      </w:r>
    </w:p>
    <w:p>
      <w:pPr>
        <w:pStyle w:val="66"/>
        <w:spacing w:afterLines="0"/>
        <w:ind w:left="0" w:firstLine="480" w:firstLineChars="200"/>
        <w:rPr>
          <w:rFonts w:cs="宋体"/>
          <w:szCs w:val="24"/>
        </w:rPr>
      </w:pPr>
      <w:r>
        <w:rPr>
          <w:rFonts w:cs="宋体"/>
          <w:szCs w:val="24"/>
        </w:rPr>
        <w:t xml:space="preserve">16.1.3 </w:t>
      </w:r>
      <w:r>
        <w:rPr>
          <w:rFonts w:hint="eastAsia" w:cs="宋体"/>
          <w:szCs w:val="24"/>
        </w:rPr>
        <w:t>因承包人违约解除合同后的估价、付款和结算</w:t>
      </w:r>
    </w:p>
    <w:p>
      <w:pPr>
        <w:spacing w:line="360" w:lineRule="auto"/>
        <w:ind w:firstLine="480" w:firstLineChars="200"/>
        <w:rPr>
          <w:sz w:val="24"/>
          <w:szCs w:val="24"/>
        </w:rPr>
      </w:pPr>
      <w:r>
        <w:rPr>
          <w:rFonts w:hint="eastAsia"/>
          <w:sz w:val="24"/>
          <w:szCs w:val="24"/>
        </w:rPr>
        <w:t>因承包人原因导致合同解除的，则合同当事人应在合同解除后</w:t>
      </w:r>
      <w:r>
        <w:rPr>
          <w:sz w:val="24"/>
          <w:szCs w:val="24"/>
        </w:rPr>
        <w:t>28</w:t>
      </w:r>
      <w:r>
        <w:rPr>
          <w:rFonts w:hint="eastAsia"/>
          <w:sz w:val="24"/>
          <w:szCs w:val="24"/>
        </w:rPr>
        <w:t>天内完成估价、付款和清算，并按以下约定执行：</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合同解除后，按第</w:t>
      </w:r>
      <w:r>
        <w:rPr>
          <w:sz w:val="24"/>
          <w:szCs w:val="24"/>
        </w:rPr>
        <w:t>3.6</w:t>
      </w:r>
      <w:r>
        <w:rPr>
          <w:rFonts w:hint="eastAsia"/>
          <w:sz w:val="24"/>
          <w:szCs w:val="24"/>
        </w:rPr>
        <w:t>款</w:t>
      </w:r>
      <w:r>
        <w:rPr>
          <w:sz w:val="24"/>
          <w:szCs w:val="24"/>
        </w:rPr>
        <w:t>[</w:t>
      </w:r>
      <w:r>
        <w:rPr>
          <w:rFonts w:hint="eastAsia"/>
          <w:sz w:val="24"/>
          <w:szCs w:val="24"/>
        </w:rPr>
        <w:t>商定或确定</w:t>
      </w:r>
      <w:r>
        <w:rPr>
          <w:sz w:val="24"/>
          <w:szCs w:val="24"/>
        </w:rPr>
        <w:t>]</w:t>
      </w:r>
      <w:r>
        <w:rPr>
          <w:rFonts w:hint="eastAsia"/>
          <w:sz w:val="24"/>
          <w:szCs w:val="24"/>
        </w:rPr>
        <w:t>商定或确定承包人实际完成工作对应的合同价款，以及承包人已提供的材料、工程设备、施工设备和临时工程等的价值；</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合同解除后，承包人应支付的违约金；</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合同解除后，因解除合同给发包人造成的损失；</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合同解除后，承包人应按照发包人的指示完成现场的清理和撤离；</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发包人和承包人应在合同解除后进行清算，出具最终结清付款证书，结清全部款项。</w:t>
      </w:r>
    </w:p>
    <w:p>
      <w:pPr>
        <w:spacing w:line="360" w:lineRule="auto"/>
        <w:ind w:firstLine="480" w:firstLineChars="200"/>
        <w:rPr>
          <w:sz w:val="24"/>
          <w:szCs w:val="24"/>
        </w:rPr>
      </w:pPr>
      <w:r>
        <w:rPr>
          <w:rFonts w:hint="eastAsia"/>
          <w:sz w:val="24"/>
          <w:szCs w:val="24"/>
        </w:rPr>
        <w:t>因承包人违约解除合同的，发包人有权暂停对承包人的付款，查清各项付款和已扣款项，发包人和承包人未能就合同解除后的清算和款项支付达成一致的，按照第</w:t>
      </w:r>
      <w:r>
        <w:rPr>
          <w:sz w:val="24"/>
          <w:szCs w:val="24"/>
        </w:rPr>
        <w:t>20</w:t>
      </w:r>
      <w:r>
        <w:rPr>
          <w:rFonts w:hint="eastAsia"/>
          <w:sz w:val="24"/>
          <w:szCs w:val="24"/>
        </w:rPr>
        <w:t>条</w:t>
      </w:r>
      <w:r>
        <w:rPr>
          <w:sz w:val="24"/>
          <w:szCs w:val="24"/>
        </w:rPr>
        <w:t>[</w:t>
      </w:r>
      <w:r>
        <w:rPr>
          <w:rFonts w:hint="eastAsia"/>
          <w:sz w:val="24"/>
          <w:szCs w:val="24"/>
        </w:rPr>
        <w:t>争议解决</w:t>
      </w:r>
      <w:r>
        <w:rPr>
          <w:sz w:val="24"/>
          <w:szCs w:val="24"/>
        </w:rPr>
        <w:t>]</w:t>
      </w:r>
      <w:r>
        <w:rPr>
          <w:rFonts w:hint="eastAsia"/>
          <w:sz w:val="24"/>
          <w:szCs w:val="24"/>
        </w:rPr>
        <w:t>的约定处理。</w:t>
      </w:r>
    </w:p>
    <w:p>
      <w:pPr>
        <w:pStyle w:val="66"/>
        <w:spacing w:afterLines="0"/>
        <w:ind w:left="0" w:firstLine="480" w:firstLineChars="200"/>
        <w:rPr>
          <w:rFonts w:cs="宋体"/>
          <w:szCs w:val="24"/>
        </w:rPr>
      </w:pPr>
      <w:r>
        <w:rPr>
          <w:rFonts w:cs="宋体"/>
          <w:szCs w:val="24"/>
        </w:rPr>
        <w:t xml:space="preserve">16.1.4 </w:t>
      </w:r>
      <w:r>
        <w:rPr>
          <w:rFonts w:hint="eastAsia" w:cs="宋体"/>
          <w:szCs w:val="24"/>
        </w:rPr>
        <w:t>因承包人违约解除合同的合同权益转让</w:t>
      </w:r>
    </w:p>
    <w:p>
      <w:pPr>
        <w:spacing w:line="360" w:lineRule="auto"/>
        <w:ind w:firstLine="480" w:firstLineChars="200"/>
        <w:rPr>
          <w:sz w:val="24"/>
          <w:szCs w:val="24"/>
        </w:rPr>
      </w:pPr>
      <w:r>
        <w:rPr>
          <w:rFonts w:hint="eastAsia"/>
          <w:sz w:val="24"/>
          <w:szCs w:val="24"/>
        </w:rPr>
        <w:t>合同解除后，发包人可以继续完成工程，和（或）安排第三人完成。发包人有权要求承包人将其为实施合同而订立的材料和设备的订货合同或任何服务合同利益转让给发包人，并在承包人收到解除合同通知后的</w:t>
      </w:r>
      <w:r>
        <w:rPr>
          <w:sz w:val="24"/>
          <w:szCs w:val="24"/>
        </w:rPr>
        <w:t>14</w:t>
      </w:r>
      <w:r>
        <w:rPr>
          <w:rFonts w:hint="eastAsia"/>
          <w:sz w:val="24"/>
          <w:szCs w:val="24"/>
        </w:rPr>
        <w:t>天内，依法办理转让手续。发包人和（或）第三人有权使用承包人在施工现场的材料、设备、临时工程、承包人文件和由承包人或以其名义编制的其他文件。</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16.2 </w:t>
      </w:r>
      <w:r>
        <w:rPr>
          <w:rFonts w:hint="eastAsia" w:ascii="宋体" w:hAnsi="宋体" w:eastAsia="宋体" w:cs="宋体"/>
        </w:rPr>
        <w:t>由承包人解除合同</w:t>
      </w:r>
    </w:p>
    <w:p>
      <w:pPr>
        <w:pStyle w:val="66"/>
        <w:spacing w:afterLines="0"/>
        <w:ind w:left="0" w:firstLine="480" w:firstLineChars="200"/>
        <w:rPr>
          <w:rFonts w:cs="宋体"/>
          <w:szCs w:val="24"/>
        </w:rPr>
      </w:pPr>
      <w:r>
        <w:rPr>
          <w:rFonts w:cs="宋体"/>
          <w:szCs w:val="24"/>
        </w:rPr>
        <w:t xml:space="preserve">16.2.1 </w:t>
      </w:r>
      <w:r>
        <w:rPr>
          <w:rFonts w:hint="eastAsia" w:cs="宋体"/>
          <w:szCs w:val="24"/>
        </w:rPr>
        <w:t>因发包人违约解除合同</w:t>
      </w:r>
    </w:p>
    <w:p>
      <w:pPr>
        <w:spacing w:line="360" w:lineRule="auto"/>
        <w:ind w:firstLine="480" w:firstLineChars="200"/>
        <w:rPr>
          <w:sz w:val="24"/>
          <w:szCs w:val="24"/>
        </w:rPr>
      </w:pPr>
      <w:r>
        <w:rPr>
          <w:rFonts w:hint="eastAsia"/>
          <w:sz w:val="24"/>
          <w:szCs w:val="24"/>
        </w:rPr>
        <w:t>除专用合同条件另有约定外，承包人有权基于下列原因，以书面形式通知发包人解除合同，解除通知中应注明是根据第</w:t>
      </w:r>
      <w:r>
        <w:rPr>
          <w:sz w:val="24"/>
          <w:szCs w:val="24"/>
        </w:rPr>
        <w:t>16.2.1</w:t>
      </w:r>
      <w:r>
        <w:rPr>
          <w:rFonts w:hint="eastAsia"/>
          <w:sz w:val="24"/>
          <w:szCs w:val="24"/>
        </w:rPr>
        <w:t>项发出的，承包人应在发出正式解除合同通知</w:t>
      </w:r>
      <w:r>
        <w:rPr>
          <w:sz w:val="24"/>
          <w:szCs w:val="24"/>
        </w:rPr>
        <w:t>14</w:t>
      </w:r>
      <w:r>
        <w:rPr>
          <w:rFonts w:hint="eastAsia"/>
          <w:sz w:val="24"/>
          <w:szCs w:val="24"/>
        </w:rPr>
        <w:t>天前告知发包人其解除合同意向，除非发包人在收到该解除合同意向通知后</w:t>
      </w:r>
      <w:r>
        <w:rPr>
          <w:sz w:val="24"/>
          <w:szCs w:val="24"/>
        </w:rPr>
        <w:t>14</w:t>
      </w:r>
      <w:r>
        <w:rPr>
          <w:rFonts w:hint="eastAsia"/>
          <w:sz w:val="24"/>
          <w:szCs w:val="24"/>
        </w:rPr>
        <w:t>天内采取了补救措施，否则承包人可向发包人发出正式解除合同通知立即解除合同。解除日期应为发包人收到正式解除合同通知的日期，但在第</w:t>
      </w:r>
      <w:r>
        <w:rPr>
          <w:sz w:val="24"/>
          <w:szCs w:val="24"/>
        </w:rPr>
        <w:t>(5)</w:t>
      </w:r>
      <w:r>
        <w:rPr>
          <w:rFonts w:hint="eastAsia"/>
          <w:sz w:val="24"/>
          <w:szCs w:val="24"/>
        </w:rPr>
        <w:t>目的情况下，承包人无须提前告知发包人其解除合同意向，可直接发出正式解除合同通知立即解除合同：</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承包人就发包人未能遵守第</w:t>
      </w:r>
      <w:r>
        <w:rPr>
          <w:sz w:val="24"/>
          <w:szCs w:val="24"/>
        </w:rPr>
        <w:t>2.5.2</w:t>
      </w:r>
      <w:r>
        <w:rPr>
          <w:rFonts w:hint="eastAsia"/>
          <w:sz w:val="24"/>
          <w:szCs w:val="24"/>
        </w:rPr>
        <w:t>项关于发包人的资金安排发出通知后</w:t>
      </w:r>
      <w:r>
        <w:rPr>
          <w:sz w:val="24"/>
          <w:szCs w:val="24"/>
        </w:rPr>
        <w:t>42</w:t>
      </w:r>
      <w:r>
        <w:rPr>
          <w:rFonts w:hint="eastAsia"/>
          <w:sz w:val="24"/>
          <w:szCs w:val="24"/>
        </w:rPr>
        <w:t>天内，仍未收到合理的证明；</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在第</w:t>
      </w:r>
      <w:r>
        <w:rPr>
          <w:sz w:val="24"/>
          <w:szCs w:val="24"/>
        </w:rPr>
        <w:t>14</w:t>
      </w:r>
      <w:r>
        <w:rPr>
          <w:rFonts w:hint="eastAsia"/>
          <w:sz w:val="24"/>
          <w:szCs w:val="24"/>
        </w:rPr>
        <w:t>条规定的付款时间到期后</w:t>
      </w:r>
      <w:r>
        <w:rPr>
          <w:sz w:val="24"/>
          <w:szCs w:val="24"/>
        </w:rPr>
        <w:t>42</w:t>
      </w:r>
      <w:r>
        <w:rPr>
          <w:rFonts w:hint="eastAsia"/>
          <w:sz w:val="24"/>
          <w:szCs w:val="24"/>
        </w:rPr>
        <w:t>天内，承包人仍未收到应付款项；</w:t>
      </w:r>
      <w:r>
        <w:rPr>
          <w:sz w:val="24"/>
          <w:szCs w:val="24"/>
        </w:rPr>
        <w:t xml:space="preserve"> </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发包人实质上未能根据合同约定履行其义务，构成根本性违约；</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发承包双方订立本合同协议书后的</w:t>
      </w:r>
      <w:r>
        <w:rPr>
          <w:sz w:val="24"/>
          <w:szCs w:val="24"/>
        </w:rPr>
        <w:t>84</w:t>
      </w:r>
      <w:r>
        <w:rPr>
          <w:rFonts w:hint="eastAsia"/>
          <w:sz w:val="24"/>
          <w:szCs w:val="24"/>
        </w:rPr>
        <w:t>天内，承包人未收到根据第</w:t>
      </w:r>
      <w:r>
        <w:rPr>
          <w:sz w:val="24"/>
          <w:szCs w:val="24"/>
        </w:rPr>
        <w:t>8.1</w:t>
      </w:r>
      <w:r>
        <w:rPr>
          <w:rFonts w:hint="eastAsia"/>
          <w:sz w:val="24"/>
          <w:szCs w:val="24"/>
        </w:rPr>
        <w:t>款</w:t>
      </w:r>
      <w:r>
        <w:rPr>
          <w:sz w:val="24"/>
          <w:szCs w:val="24"/>
        </w:rPr>
        <w:t>[</w:t>
      </w:r>
      <w:r>
        <w:rPr>
          <w:rFonts w:hint="eastAsia"/>
          <w:sz w:val="24"/>
          <w:szCs w:val="24"/>
        </w:rPr>
        <w:t>开始工作</w:t>
      </w:r>
      <w:r>
        <w:rPr>
          <w:sz w:val="24"/>
          <w:szCs w:val="24"/>
        </w:rPr>
        <w:t>]</w:t>
      </w:r>
      <w:r>
        <w:rPr>
          <w:rFonts w:hint="eastAsia"/>
          <w:sz w:val="24"/>
          <w:szCs w:val="24"/>
        </w:rPr>
        <w:t>的开始工作通知；</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发包人破产、停业清理或进入清算程序，或情况表明发包人将进入破产和（或）清算程序或发包人资信严重恶化，已有对其财产的接管令或管理令，与债权人达成和解，或为其债权人的利益在财产接管人、受托人或管理人的监督下营业，或采取了任何行动或发生任何事件（根据有关适用法律）具有与前述行动或事件相似的效果；</w:t>
      </w:r>
    </w:p>
    <w:p>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发包人未能遵守第</w:t>
      </w:r>
      <w:r>
        <w:rPr>
          <w:sz w:val="24"/>
          <w:szCs w:val="24"/>
        </w:rPr>
        <w:t>2.5.3</w:t>
      </w:r>
      <w:r>
        <w:rPr>
          <w:rFonts w:hint="eastAsia"/>
          <w:sz w:val="24"/>
          <w:szCs w:val="24"/>
        </w:rPr>
        <w:t>项的约定提交支付担保；</w:t>
      </w:r>
    </w:p>
    <w:p>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w:t>
      </w:r>
      <w:r>
        <w:rPr>
          <w:sz w:val="24"/>
          <w:szCs w:val="24"/>
        </w:rPr>
        <w:t xml:space="preserve"> </w:t>
      </w:r>
      <w:r>
        <w:rPr>
          <w:rFonts w:hint="eastAsia"/>
          <w:sz w:val="24"/>
          <w:szCs w:val="24"/>
        </w:rPr>
        <w:t>发包人未能执行第</w:t>
      </w:r>
      <w:r>
        <w:rPr>
          <w:sz w:val="24"/>
          <w:szCs w:val="24"/>
        </w:rPr>
        <w:t>15.1.2</w:t>
      </w:r>
      <w:r>
        <w:rPr>
          <w:rFonts w:hint="eastAsia"/>
          <w:sz w:val="24"/>
          <w:szCs w:val="24"/>
        </w:rPr>
        <w:t>项</w:t>
      </w:r>
      <w:r>
        <w:rPr>
          <w:sz w:val="24"/>
          <w:szCs w:val="24"/>
        </w:rPr>
        <w:t>[</w:t>
      </w:r>
      <w:r>
        <w:rPr>
          <w:rFonts w:hint="eastAsia"/>
          <w:sz w:val="24"/>
          <w:szCs w:val="24"/>
        </w:rPr>
        <w:t>通知改正</w:t>
      </w:r>
      <w:r>
        <w:rPr>
          <w:sz w:val="24"/>
          <w:szCs w:val="24"/>
        </w:rPr>
        <w:t>]</w:t>
      </w:r>
      <w:r>
        <w:rPr>
          <w:rFonts w:hint="eastAsia"/>
          <w:sz w:val="24"/>
          <w:szCs w:val="24"/>
        </w:rPr>
        <w:t>的约定，致使合同目的不能实现的；</w:t>
      </w:r>
    </w:p>
    <w:p>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w:t>
      </w:r>
      <w:r>
        <w:rPr>
          <w:sz w:val="24"/>
          <w:szCs w:val="24"/>
        </w:rPr>
        <w:t xml:space="preserve"> </w:t>
      </w:r>
      <w:r>
        <w:rPr>
          <w:rFonts w:hint="eastAsia"/>
          <w:sz w:val="24"/>
          <w:szCs w:val="24"/>
        </w:rPr>
        <w:t>因发包人的原因暂停工作超过</w:t>
      </w:r>
      <w:r>
        <w:rPr>
          <w:sz w:val="24"/>
          <w:szCs w:val="24"/>
        </w:rPr>
        <w:t>56</w:t>
      </w:r>
      <w:r>
        <w:rPr>
          <w:rFonts w:hint="eastAsia"/>
          <w:sz w:val="24"/>
          <w:szCs w:val="24"/>
        </w:rPr>
        <w:t>天且暂停影响到整个工程，或因发包人的原因暂停工作超过</w:t>
      </w:r>
      <w:r>
        <w:rPr>
          <w:sz w:val="24"/>
          <w:szCs w:val="24"/>
        </w:rPr>
        <w:t>182</w:t>
      </w:r>
      <w:r>
        <w:rPr>
          <w:rFonts w:hint="eastAsia"/>
          <w:sz w:val="24"/>
          <w:szCs w:val="24"/>
        </w:rPr>
        <w:t>天的；</w:t>
      </w:r>
    </w:p>
    <w:p>
      <w:pPr>
        <w:spacing w:line="360" w:lineRule="auto"/>
        <w:ind w:firstLine="480" w:firstLineChars="200"/>
        <w:rPr>
          <w:sz w:val="24"/>
          <w:szCs w:val="24"/>
        </w:rPr>
      </w:pPr>
      <w:r>
        <w:rPr>
          <w:rFonts w:hint="eastAsia"/>
          <w:sz w:val="24"/>
          <w:szCs w:val="24"/>
        </w:rPr>
        <w:t>（</w:t>
      </w:r>
      <w:r>
        <w:rPr>
          <w:sz w:val="24"/>
          <w:szCs w:val="24"/>
        </w:rPr>
        <w:t>9</w:t>
      </w:r>
      <w:r>
        <w:rPr>
          <w:rFonts w:hint="eastAsia"/>
          <w:sz w:val="24"/>
          <w:szCs w:val="24"/>
        </w:rPr>
        <w:t>）</w:t>
      </w:r>
      <w:r>
        <w:rPr>
          <w:sz w:val="24"/>
          <w:szCs w:val="24"/>
        </w:rPr>
        <w:t xml:space="preserve"> </w:t>
      </w:r>
      <w:r>
        <w:rPr>
          <w:rFonts w:hint="eastAsia"/>
          <w:sz w:val="24"/>
          <w:szCs w:val="24"/>
        </w:rPr>
        <w:t>因发包人原因造成开始工作日期迟于承包人收到中标通知书（或在无中标通知书的情况下，订立本合同之日）后第</w:t>
      </w:r>
      <w:r>
        <w:rPr>
          <w:sz w:val="24"/>
          <w:szCs w:val="24"/>
        </w:rPr>
        <w:t>84</w:t>
      </w:r>
      <w:r>
        <w:rPr>
          <w:rFonts w:hint="eastAsia"/>
          <w:sz w:val="24"/>
          <w:szCs w:val="24"/>
        </w:rPr>
        <w:t>天的。</w:t>
      </w:r>
    </w:p>
    <w:p>
      <w:pPr>
        <w:spacing w:line="360" w:lineRule="auto"/>
        <w:ind w:firstLine="480" w:firstLineChars="200"/>
        <w:rPr>
          <w:sz w:val="24"/>
          <w:szCs w:val="24"/>
        </w:rPr>
      </w:pPr>
      <w:r>
        <w:rPr>
          <w:rFonts w:hint="eastAsia"/>
          <w:sz w:val="24"/>
          <w:szCs w:val="24"/>
        </w:rPr>
        <w:t>发包人接到承包人解除合同意向通知后</w:t>
      </w:r>
      <w:r>
        <w:rPr>
          <w:sz w:val="24"/>
          <w:szCs w:val="24"/>
        </w:rPr>
        <w:t>14</w:t>
      </w:r>
      <w:r>
        <w:rPr>
          <w:rFonts w:hint="eastAsia"/>
          <w:sz w:val="24"/>
          <w:szCs w:val="24"/>
        </w:rPr>
        <w:t>天内，发包人随后给予了付款，或同意复工、或继续履行其义务、或提供了支付担保等，承包人应尽快安排并恢复正常工作；因此造成工期延误的，竣工日期顺延；承包人因此增加的费用，由发包人承担。</w:t>
      </w:r>
    </w:p>
    <w:p>
      <w:pPr>
        <w:pStyle w:val="66"/>
        <w:spacing w:afterLines="0"/>
        <w:ind w:left="0" w:firstLine="480" w:firstLineChars="200"/>
        <w:rPr>
          <w:rFonts w:cs="宋体"/>
          <w:szCs w:val="24"/>
        </w:rPr>
      </w:pPr>
      <w:r>
        <w:rPr>
          <w:rFonts w:cs="宋体"/>
          <w:szCs w:val="24"/>
        </w:rPr>
        <w:t xml:space="preserve">16.2.2 </w:t>
      </w:r>
      <w:r>
        <w:rPr>
          <w:rFonts w:hint="eastAsia" w:cs="宋体"/>
          <w:szCs w:val="24"/>
        </w:rPr>
        <w:t>因发包人违约解除合同后承包人的义务</w:t>
      </w:r>
    </w:p>
    <w:p>
      <w:pPr>
        <w:pStyle w:val="68"/>
        <w:spacing w:line="360" w:lineRule="auto"/>
        <w:ind w:left="0" w:firstLine="480" w:firstLineChars="200"/>
        <w:rPr>
          <w:sz w:val="24"/>
          <w:szCs w:val="24"/>
        </w:rPr>
      </w:pPr>
      <w:r>
        <w:rPr>
          <w:rFonts w:hint="eastAsia"/>
          <w:sz w:val="24"/>
          <w:szCs w:val="24"/>
        </w:rPr>
        <w:t>合同解除后，承包人应按以下约定执行：</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除为保护生命、财产、工程安全的工作外，停止所有进一步的工作；承包人因执行该保护工作而产生费用的，由发包人承担；</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向发包人移交承包人已获得支付的承包人文件、生产设备、材料和其他工作；</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从现场运走除为了安全需要以外的所有属于承包人的其他货物，并撤离现场。</w:t>
      </w:r>
    </w:p>
    <w:p>
      <w:pPr>
        <w:pStyle w:val="66"/>
        <w:spacing w:afterLines="0"/>
        <w:ind w:left="0" w:firstLine="480" w:firstLineChars="200"/>
        <w:rPr>
          <w:rFonts w:cs="宋体"/>
          <w:szCs w:val="24"/>
        </w:rPr>
      </w:pPr>
      <w:r>
        <w:rPr>
          <w:rFonts w:cs="宋体"/>
          <w:szCs w:val="24"/>
        </w:rPr>
        <w:t xml:space="preserve">16.2.3 </w:t>
      </w:r>
      <w:r>
        <w:rPr>
          <w:rFonts w:hint="eastAsia" w:cs="宋体"/>
          <w:szCs w:val="24"/>
        </w:rPr>
        <w:t>因发包人违约解除合同后的付款</w:t>
      </w:r>
    </w:p>
    <w:p>
      <w:pPr>
        <w:spacing w:line="360" w:lineRule="auto"/>
        <w:ind w:firstLine="480" w:firstLineChars="200"/>
        <w:rPr>
          <w:sz w:val="24"/>
          <w:szCs w:val="24"/>
        </w:rPr>
      </w:pPr>
      <w:r>
        <w:rPr>
          <w:rFonts w:hint="eastAsia"/>
          <w:sz w:val="24"/>
          <w:szCs w:val="24"/>
        </w:rPr>
        <w:t>承包人按照本款约定解除合同的，发包人应在解除合同后</w:t>
      </w:r>
      <w:r>
        <w:rPr>
          <w:sz w:val="24"/>
          <w:szCs w:val="24"/>
        </w:rPr>
        <w:t>28</w:t>
      </w:r>
      <w:r>
        <w:rPr>
          <w:rFonts w:hint="eastAsia"/>
          <w:sz w:val="24"/>
          <w:szCs w:val="24"/>
        </w:rPr>
        <w:t>天内支付下列款项，并退还履约担保：</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合同解除前所完成工作的价款；</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承包人为工程施工订购并已付款的材料、工程设备和其他物品的价款；发包人付款后，该材料、工程设备和其他物品归发包人所有；</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承包人为完成工程所发生的，而发包人未支付的金额；</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承包人撤离施工现场以及遣散承包人人员的款项；</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按照合同约定在合同解除前应支付的违约金；</w:t>
      </w:r>
    </w:p>
    <w:p>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按照合同约定应当支付给承包人的其他款项；</w:t>
      </w:r>
    </w:p>
    <w:p>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w:t>
      </w:r>
      <w:r>
        <w:rPr>
          <w:sz w:val="24"/>
          <w:szCs w:val="24"/>
        </w:rPr>
        <w:t xml:space="preserve"> </w:t>
      </w:r>
      <w:r>
        <w:rPr>
          <w:rFonts w:hint="eastAsia"/>
          <w:sz w:val="24"/>
          <w:szCs w:val="24"/>
        </w:rPr>
        <w:t>按照合同约定应返还的质量保证金；</w:t>
      </w:r>
    </w:p>
    <w:p>
      <w:pPr>
        <w:spacing w:line="360" w:lineRule="auto"/>
        <w:ind w:firstLine="480" w:firstLineChars="200"/>
        <w:rPr>
          <w:sz w:val="24"/>
          <w:szCs w:val="24"/>
        </w:rPr>
      </w:pPr>
      <w:r>
        <w:rPr>
          <w:rFonts w:hint="eastAsia"/>
          <w:sz w:val="24"/>
          <w:szCs w:val="24"/>
        </w:rPr>
        <w:t>（</w:t>
      </w:r>
      <w:r>
        <w:rPr>
          <w:sz w:val="24"/>
          <w:szCs w:val="24"/>
        </w:rPr>
        <w:t>8</w:t>
      </w:r>
      <w:r>
        <w:rPr>
          <w:rFonts w:hint="eastAsia"/>
          <w:sz w:val="24"/>
          <w:szCs w:val="24"/>
        </w:rPr>
        <w:t>）</w:t>
      </w:r>
      <w:r>
        <w:rPr>
          <w:sz w:val="24"/>
          <w:szCs w:val="24"/>
        </w:rPr>
        <w:t xml:space="preserve"> </w:t>
      </w:r>
      <w:r>
        <w:rPr>
          <w:rFonts w:hint="eastAsia"/>
          <w:sz w:val="24"/>
          <w:szCs w:val="24"/>
        </w:rPr>
        <w:t>因解除合同给承包人造成的损失。</w:t>
      </w:r>
    </w:p>
    <w:p>
      <w:pPr>
        <w:spacing w:line="360" w:lineRule="auto"/>
        <w:ind w:firstLine="480" w:firstLineChars="200"/>
        <w:rPr>
          <w:sz w:val="24"/>
          <w:szCs w:val="24"/>
        </w:rPr>
      </w:pPr>
      <w:r>
        <w:rPr>
          <w:rFonts w:hint="eastAsia"/>
          <w:sz w:val="24"/>
          <w:szCs w:val="24"/>
        </w:rPr>
        <w:t>承包人应妥善做好已完工程和与工程有关的已购材料、工程设备的保护和移交工作，并将施工设备和人员撤出施工现场，发包人应为承包人撤出提供必要条件。</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16.3 </w:t>
      </w:r>
      <w:r>
        <w:rPr>
          <w:rFonts w:hint="eastAsia" w:ascii="宋体" w:hAnsi="宋体" w:eastAsia="宋体" w:cs="宋体"/>
        </w:rPr>
        <w:t>合同解除后的事项</w:t>
      </w:r>
    </w:p>
    <w:p>
      <w:pPr>
        <w:pStyle w:val="66"/>
        <w:spacing w:afterLines="0"/>
        <w:ind w:left="0" w:firstLine="480" w:firstLineChars="200"/>
        <w:rPr>
          <w:rFonts w:cs="宋体"/>
          <w:szCs w:val="24"/>
        </w:rPr>
      </w:pPr>
      <w:r>
        <w:rPr>
          <w:rFonts w:cs="宋体"/>
          <w:szCs w:val="24"/>
        </w:rPr>
        <w:t xml:space="preserve">16.3.1 </w:t>
      </w:r>
      <w:r>
        <w:rPr>
          <w:rFonts w:hint="eastAsia" w:cs="宋体"/>
          <w:szCs w:val="24"/>
        </w:rPr>
        <w:t>结算约定依然有效</w:t>
      </w:r>
    </w:p>
    <w:p>
      <w:pPr>
        <w:spacing w:line="360" w:lineRule="auto"/>
        <w:ind w:firstLine="480" w:firstLineChars="200"/>
        <w:rPr>
          <w:sz w:val="24"/>
          <w:szCs w:val="24"/>
        </w:rPr>
      </w:pPr>
      <w:r>
        <w:rPr>
          <w:rFonts w:hint="eastAsia"/>
          <w:sz w:val="24"/>
          <w:szCs w:val="24"/>
        </w:rPr>
        <w:t>合同解除后，由发包人或由承包人解除合同的结算及结算后的付款约定仍然有效，直至解除合同的结算工作结清。</w:t>
      </w:r>
    </w:p>
    <w:p>
      <w:pPr>
        <w:pStyle w:val="66"/>
        <w:spacing w:afterLines="0"/>
        <w:ind w:left="0" w:firstLine="480" w:firstLineChars="200"/>
        <w:rPr>
          <w:rFonts w:cs="宋体"/>
          <w:szCs w:val="24"/>
        </w:rPr>
      </w:pPr>
      <w:r>
        <w:rPr>
          <w:rFonts w:cs="宋体"/>
          <w:szCs w:val="24"/>
        </w:rPr>
        <w:t xml:space="preserve">16.3.2 </w:t>
      </w:r>
      <w:r>
        <w:rPr>
          <w:rFonts w:hint="eastAsia" w:cs="宋体"/>
          <w:szCs w:val="24"/>
        </w:rPr>
        <w:t>解除合同的争议</w:t>
      </w:r>
    </w:p>
    <w:p>
      <w:pPr>
        <w:spacing w:line="360" w:lineRule="auto"/>
        <w:ind w:firstLine="480" w:firstLineChars="200"/>
        <w:rPr>
          <w:sz w:val="24"/>
          <w:szCs w:val="24"/>
        </w:rPr>
      </w:pPr>
      <w:r>
        <w:rPr>
          <w:rFonts w:hint="eastAsia"/>
          <w:sz w:val="24"/>
          <w:szCs w:val="24"/>
        </w:rPr>
        <w:t>双方对解除合同或解除合同后的结算有争议的，按照第</w:t>
      </w:r>
      <w:r>
        <w:rPr>
          <w:sz w:val="24"/>
          <w:szCs w:val="24"/>
        </w:rPr>
        <w:t>20</w:t>
      </w:r>
      <w:r>
        <w:rPr>
          <w:rFonts w:hint="eastAsia"/>
          <w:sz w:val="24"/>
          <w:szCs w:val="24"/>
        </w:rPr>
        <w:t>条</w:t>
      </w:r>
      <w:r>
        <w:rPr>
          <w:sz w:val="24"/>
          <w:szCs w:val="24"/>
        </w:rPr>
        <w:t>[</w:t>
      </w:r>
      <w:r>
        <w:rPr>
          <w:rFonts w:hint="eastAsia"/>
          <w:sz w:val="24"/>
          <w:szCs w:val="24"/>
        </w:rPr>
        <w:t>争议解决</w:t>
      </w:r>
      <w:r>
        <w:rPr>
          <w:sz w:val="24"/>
          <w:szCs w:val="24"/>
        </w:rPr>
        <w:t>]</w:t>
      </w:r>
      <w:r>
        <w:rPr>
          <w:rFonts w:hint="eastAsia"/>
          <w:sz w:val="24"/>
          <w:szCs w:val="24"/>
        </w:rPr>
        <w:t>的约定处理。</w:t>
      </w:r>
    </w:p>
    <w:p>
      <w:pPr>
        <w:pStyle w:val="64"/>
        <w:numPr>
          <w:ilvl w:val="0"/>
          <w:numId w:val="0"/>
        </w:numPr>
        <w:spacing w:before="0"/>
        <w:ind w:firstLine="482" w:firstLineChars="200"/>
        <w:rPr>
          <w:rFonts w:ascii="宋体"/>
          <w:b/>
          <w:sz w:val="24"/>
          <w:szCs w:val="24"/>
        </w:rPr>
      </w:pPr>
      <w:r>
        <w:rPr>
          <w:rFonts w:hint="eastAsia" w:ascii="宋体" w:hAnsi="宋体"/>
          <w:b/>
          <w:sz w:val="24"/>
          <w:szCs w:val="24"/>
        </w:rPr>
        <w:t>第</w:t>
      </w:r>
      <w:r>
        <w:rPr>
          <w:rFonts w:ascii="宋体" w:hAnsi="宋体"/>
          <w:b/>
          <w:sz w:val="24"/>
          <w:szCs w:val="24"/>
        </w:rPr>
        <w:t>17</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不可抗力</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17.1 </w:t>
      </w:r>
      <w:r>
        <w:rPr>
          <w:rFonts w:hint="eastAsia" w:ascii="宋体" w:hAnsi="宋体" w:eastAsia="宋体" w:cs="宋体"/>
        </w:rPr>
        <w:t>不可抗力的定义</w:t>
      </w:r>
    </w:p>
    <w:p>
      <w:pPr>
        <w:spacing w:line="360" w:lineRule="auto"/>
        <w:ind w:firstLine="480" w:firstLineChars="200"/>
        <w:rPr>
          <w:sz w:val="24"/>
          <w:szCs w:val="24"/>
        </w:rPr>
      </w:pPr>
      <w:r>
        <w:rPr>
          <w:rFonts w:hint="eastAsia"/>
          <w:sz w:val="24"/>
          <w:szCs w:val="24"/>
        </w:rPr>
        <w:t>不可抗力是指合同当事人在订立合同时不可预见，在合同履行过程中不可避免、不能克服且不能提前防备的自然灾害和社会性突发事件，如地震、海啸、瘟疫、骚乱、戒严、暴动、战争和专用合同条件中约定的其他情形。</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17.2 </w:t>
      </w:r>
      <w:r>
        <w:rPr>
          <w:rFonts w:hint="eastAsia" w:ascii="宋体" w:hAnsi="宋体" w:eastAsia="宋体" w:cs="宋体"/>
        </w:rPr>
        <w:t>不可抗力的通知</w:t>
      </w:r>
      <w:r>
        <w:rPr>
          <w:rFonts w:ascii="宋体" w:hAnsi="宋体" w:eastAsia="宋体" w:cs="宋体"/>
        </w:rPr>
        <w:t xml:space="preserve"> </w:t>
      </w:r>
    </w:p>
    <w:p>
      <w:pPr>
        <w:spacing w:line="360" w:lineRule="auto"/>
        <w:ind w:firstLine="480" w:firstLineChars="200"/>
        <w:rPr>
          <w:sz w:val="24"/>
          <w:szCs w:val="24"/>
        </w:rPr>
      </w:pPr>
      <w:r>
        <w:rPr>
          <w:rFonts w:hint="eastAsia"/>
          <w:sz w:val="24"/>
          <w:szCs w:val="24"/>
        </w:rPr>
        <w:t>合同一方当事人觉察或发现不可抗力事件发生，使其履行合同义务受到阻碍时，有义务立即通知合同另一方当事人和工程师，书面说明不可抗力和受阻碍的详细情况，并提供必要的证明。</w:t>
      </w:r>
    </w:p>
    <w:p>
      <w:pPr>
        <w:spacing w:line="360" w:lineRule="auto"/>
        <w:ind w:firstLine="480" w:firstLineChars="200"/>
        <w:rPr>
          <w:sz w:val="24"/>
          <w:szCs w:val="24"/>
        </w:rPr>
      </w:pPr>
      <w:r>
        <w:rPr>
          <w:rFonts w:hint="eastAsia"/>
          <w:sz w:val="24"/>
          <w:szCs w:val="24"/>
        </w:rPr>
        <w:t>不可抗力持续发生的，合同一方当事人应每隔</w:t>
      </w:r>
      <w:r>
        <w:rPr>
          <w:sz w:val="24"/>
          <w:szCs w:val="24"/>
        </w:rPr>
        <w:t>28</w:t>
      </w:r>
      <w:r>
        <w:rPr>
          <w:rFonts w:hint="eastAsia"/>
          <w:sz w:val="24"/>
          <w:szCs w:val="24"/>
        </w:rPr>
        <w:t>天向合同另一方当事人和工程师提交中间报告，说明不可抗力和履行合同受阻的情况，并于不可抗力事件结束后</w:t>
      </w:r>
      <w:r>
        <w:rPr>
          <w:sz w:val="24"/>
          <w:szCs w:val="24"/>
        </w:rPr>
        <w:t>28</w:t>
      </w:r>
      <w:r>
        <w:rPr>
          <w:rFonts w:hint="eastAsia"/>
          <w:sz w:val="24"/>
          <w:szCs w:val="24"/>
        </w:rPr>
        <w:t>天内提交最终报告及有关资料。</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17.3 </w:t>
      </w:r>
      <w:r>
        <w:rPr>
          <w:rFonts w:hint="eastAsia" w:ascii="宋体" w:hAnsi="宋体" w:eastAsia="宋体" w:cs="宋体"/>
        </w:rPr>
        <w:t>将损失减至最小的义务</w:t>
      </w:r>
    </w:p>
    <w:p>
      <w:pPr>
        <w:spacing w:line="360" w:lineRule="auto"/>
        <w:ind w:firstLine="480" w:firstLineChars="200"/>
        <w:rPr>
          <w:sz w:val="24"/>
          <w:szCs w:val="24"/>
        </w:rPr>
      </w:pPr>
      <w:r>
        <w:rPr>
          <w:rFonts w:hint="eastAsia"/>
          <w:sz w:val="24"/>
          <w:szCs w:val="24"/>
        </w:rPr>
        <w:t>不可抗力发生后，合同当事人均应采取措施尽量避免和减少损失的扩大，使不可抗力对履行合同造成的损失减至最小。另一方全力协助并采取措施，需暂停实施的工作，立即停止。任何一方当事人没有采取有效措施导致损失扩大的，应对扩大的损失承担责任。</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17.4 </w:t>
      </w:r>
      <w:r>
        <w:rPr>
          <w:rFonts w:hint="eastAsia" w:ascii="宋体" w:hAnsi="宋体" w:eastAsia="宋体" w:cs="宋体"/>
        </w:rPr>
        <w:t>不可抗力后果的承担</w:t>
      </w:r>
      <w:r>
        <w:rPr>
          <w:rFonts w:ascii="宋体" w:hAnsi="宋体" w:eastAsia="宋体" w:cs="宋体"/>
        </w:rPr>
        <w:t xml:space="preserve"> </w:t>
      </w:r>
    </w:p>
    <w:p>
      <w:pPr>
        <w:spacing w:line="360" w:lineRule="auto"/>
        <w:ind w:firstLine="480" w:firstLineChars="200"/>
        <w:rPr>
          <w:sz w:val="24"/>
          <w:szCs w:val="24"/>
        </w:rPr>
      </w:pPr>
      <w:r>
        <w:rPr>
          <w:rFonts w:hint="eastAsia"/>
          <w:sz w:val="24"/>
          <w:szCs w:val="24"/>
        </w:rPr>
        <w:t>不可抗力导致的人员伤亡、财产损失、费用增加和（或）工期延误等后果，由合同当事人按以下原则承担：</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永久工程，包括已运至施工现场的材料和工程设备的损害，以及因工程损害造成的第三人人员伤亡和财产损失由发包人承担；</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承包人提供的施工设备的损坏由承包人承担；</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发包人和承包人各自承担其人员伤亡及其他财产损失；</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因不可抗力影响承包人履行合同约定的义务，已经引起或将引起工期延误的，应当顺延工期，由此导致承包人停工的费用损失由发包人和承包人合理分担，停工期间必须支付的现场必要的工人工资由发包人承担；</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因不可抗力引起或将引起工期延误，发包人指示赶工的，由此增加的赶工费用由发包人承担；</w:t>
      </w:r>
    </w:p>
    <w:p>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承包人在停工期间按照工程师或发包人要求照管、清理和修复工程的费用由发包人承担。</w:t>
      </w:r>
    </w:p>
    <w:p>
      <w:pPr>
        <w:spacing w:line="360" w:lineRule="auto"/>
        <w:ind w:firstLine="480" w:firstLineChars="200"/>
        <w:rPr>
          <w:sz w:val="24"/>
          <w:szCs w:val="24"/>
        </w:rPr>
      </w:pPr>
      <w:r>
        <w:rPr>
          <w:rFonts w:hint="eastAsia"/>
          <w:sz w:val="24"/>
          <w:szCs w:val="24"/>
        </w:rPr>
        <w:t>不可抗力引起的后果及造成的损失由合同当事人按照法律规定及合同约定各自承担。不可抗力发生前已完成的工程应当按照合同约定进行支付。</w:t>
      </w:r>
    </w:p>
    <w:p>
      <w:pPr>
        <w:pStyle w:val="65"/>
        <w:widowControl/>
        <w:spacing w:afterLines="0"/>
        <w:ind w:left="0" w:firstLine="482" w:firstLineChars="200"/>
        <w:rPr>
          <w:rFonts w:ascii="宋体" w:hAnsi="宋体" w:eastAsia="宋体" w:cs="宋体"/>
          <w:b w:val="0"/>
          <w:bCs/>
        </w:rPr>
      </w:pPr>
      <w:r>
        <w:rPr>
          <w:rFonts w:ascii="宋体" w:hAnsi="宋体" w:eastAsia="宋体" w:cs="宋体"/>
        </w:rPr>
        <w:t xml:space="preserve">17.5 </w:t>
      </w:r>
      <w:r>
        <w:rPr>
          <w:rFonts w:hint="eastAsia" w:ascii="宋体" w:hAnsi="宋体" w:eastAsia="宋体" w:cs="宋体"/>
        </w:rPr>
        <w:t>不可抗力影响分包人</w:t>
      </w:r>
      <w:r>
        <w:rPr>
          <w:rFonts w:ascii="宋体" w:hAnsi="宋体" w:eastAsia="宋体" w:cs="宋体"/>
          <w:b w:val="0"/>
          <w:bCs/>
        </w:rPr>
        <w:t xml:space="preserve"> </w:t>
      </w:r>
    </w:p>
    <w:p>
      <w:pPr>
        <w:spacing w:line="360" w:lineRule="auto"/>
        <w:ind w:firstLine="480" w:firstLineChars="200"/>
        <w:rPr>
          <w:sz w:val="24"/>
          <w:szCs w:val="24"/>
        </w:rPr>
      </w:pPr>
      <w:r>
        <w:rPr>
          <w:rFonts w:hint="eastAsia"/>
          <w:sz w:val="24"/>
          <w:szCs w:val="24"/>
        </w:rPr>
        <w:t>分包人根据分包合同的约定，有权获得更多或者更广的不可抗力而免除某些义务时，承包人不得以分包合同中不可抗力约定向发包人抗辩免除其义务。</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17.6 </w:t>
      </w:r>
      <w:r>
        <w:rPr>
          <w:rFonts w:hint="eastAsia" w:ascii="宋体" w:hAnsi="宋体" w:eastAsia="宋体" w:cs="宋体"/>
        </w:rPr>
        <w:t>因不可抗力解除合同</w:t>
      </w:r>
      <w:r>
        <w:rPr>
          <w:rFonts w:ascii="宋体" w:hAnsi="宋体" w:eastAsia="宋体" w:cs="宋体"/>
        </w:rPr>
        <w:t xml:space="preserve"> </w:t>
      </w:r>
    </w:p>
    <w:p>
      <w:pPr>
        <w:spacing w:line="360" w:lineRule="auto"/>
        <w:ind w:firstLine="480" w:firstLineChars="200"/>
        <w:rPr>
          <w:sz w:val="24"/>
          <w:szCs w:val="24"/>
        </w:rPr>
      </w:pPr>
      <w:r>
        <w:rPr>
          <w:rFonts w:hint="eastAsia"/>
          <w:sz w:val="24"/>
          <w:szCs w:val="24"/>
        </w:rPr>
        <w:t>因单次不可抗力导致合同无法履行连续超过</w:t>
      </w:r>
      <w:r>
        <w:rPr>
          <w:sz w:val="24"/>
          <w:szCs w:val="24"/>
        </w:rPr>
        <w:t>84</w:t>
      </w:r>
      <w:r>
        <w:rPr>
          <w:rFonts w:hint="eastAsia"/>
          <w:sz w:val="24"/>
          <w:szCs w:val="24"/>
        </w:rPr>
        <w:t>天或累计超过</w:t>
      </w:r>
      <w:r>
        <w:rPr>
          <w:sz w:val="24"/>
          <w:szCs w:val="24"/>
        </w:rPr>
        <w:t>140</w:t>
      </w:r>
      <w:r>
        <w:rPr>
          <w:rFonts w:hint="eastAsia"/>
          <w:sz w:val="24"/>
          <w:szCs w:val="24"/>
        </w:rPr>
        <w:t>天的，发包人和承包人均有权解除合同。合同解除后，承包人应按照第</w:t>
      </w:r>
      <w:r>
        <w:rPr>
          <w:sz w:val="24"/>
          <w:szCs w:val="24"/>
        </w:rPr>
        <w:t>10.5</w:t>
      </w:r>
      <w:r>
        <w:rPr>
          <w:rFonts w:hint="eastAsia"/>
          <w:sz w:val="24"/>
          <w:szCs w:val="24"/>
        </w:rPr>
        <w:t>款</w:t>
      </w:r>
      <w:r>
        <w:rPr>
          <w:sz w:val="24"/>
          <w:szCs w:val="24"/>
        </w:rPr>
        <w:t>[</w:t>
      </w:r>
      <w:r>
        <w:rPr>
          <w:rFonts w:hint="eastAsia"/>
          <w:sz w:val="24"/>
          <w:szCs w:val="24"/>
        </w:rPr>
        <w:t>竣工退场</w:t>
      </w:r>
      <w:r>
        <w:rPr>
          <w:sz w:val="24"/>
          <w:szCs w:val="24"/>
        </w:rPr>
        <w:t>]</w:t>
      </w:r>
      <w:r>
        <w:rPr>
          <w:rFonts w:hint="eastAsia"/>
          <w:sz w:val="24"/>
          <w:szCs w:val="24"/>
        </w:rPr>
        <w:t>的规定进行。由双方当事人按照第</w:t>
      </w:r>
      <w:r>
        <w:rPr>
          <w:sz w:val="24"/>
          <w:szCs w:val="24"/>
        </w:rPr>
        <w:t>3.6</w:t>
      </w:r>
      <w:r>
        <w:rPr>
          <w:rFonts w:hint="eastAsia"/>
          <w:sz w:val="24"/>
          <w:szCs w:val="24"/>
        </w:rPr>
        <w:t>款</w:t>
      </w:r>
      <w:r>
        <w:rPr>
          <w:sz w:val="24"/>
          <w:szCs w:val="24"/>
        </w:rPr>
        <w:t>[</w:t>
      </w:r>
      <w:r>
        <w:rPr>
          <w:rFonts w:hint="eastAsia"/>
          <w:sz w:val="24"/>
          <w:szCs w:val="24"/>
        </w:rPr>
        <w:t>商定或确定</w:t>
      </w:r>
      <w:r>
        <w:rPr>
          <w:sz w:val="24"/>
          <w:szCs w:val="24"/>
        </w:rPr>
        <w:t>]</w:t>
      </w:r>
      <w:r>
        <w:rPr>
          <w:rFonts w:hint="eastAsia"/>
          <w:sz w:val="24"/>
          <w:szCs w:val="24"/>
        </w:rPr>
        <w:t>商定或确定发包人应支付的款项，该款项包括：</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合同解除前承包人已完成工作的价款；</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为工程订购的并已交付给承包人，或承包人有责任接受交付的材料、工程设备和其他物品的价款；当发包人支付上述费用后，此项材料、工程设备与其他物品应成为发包人的财产，承包人应将其交由发包人处理；</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发包人指示承包人退货或解除订货合同而产生的费用，或因不能退货或解除合同而产生的损失；</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承包人撤离施工现场以及遣散承包人人员的费用；</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按照合同约定在合同解除前应支付给承包人的其他款项；</w:t>
      </w:r>
    </w:p>
    <w:p>
      <w:pPr>
        <w:spacing w:line="360" w:lineRule="auto"/>
        <w:ind w:firstLine="480" w:firstLineChars="200"/>
        <w:rPr>
          <w:sz w:val="24"/>
          <w:szCs w:val="24"/>
        </w:rPr>
      </w:pPr>
      <w:r>
        <w:rPr>
          <w:rFonts w:hint="eastAsia"/>
          <w:sz w:val="24"/>
          <w:szCs w:val="24"/>
        </w:rPr>
        <w:t>（</w:t>
      </w:r>
      <w:r>
        <w:rPr>
          <w:sz w:val="24"/>
          <w:szCs w:val="24"/>
        </w:rPr>
        <w:t>6</w:t>
      </w:r>
      <w:r>
        <w:rPr>
          <w:rFonts w:hint="eastAsia"/>
          <w:sz w:val="24"/>
          <w:szCs w:val="24"/>
        </w:rPr>
        <w:t>）</w:t>
      </w:r>
      <w:r>
        <w:rPr>
          <w:sz w:val="24"/>
          <w:szCs w:val="24"/>
        </w:rPr>
        <w:t xml:space="preserve"> </w:t>
      </w:r>
      <w:r>
        <w:rPr>
          <w:rFonts w:hint="eastAsia"/>
          <w:sz w:val="24"/>
          <w:szCs w:val="24"/>
        </w:rPr>
        <w:t>扣减承包人按照合同约定应向发包人支付的款项；</w:t>
      </w:r>
    </w:p>
    <w:p>
      <w:pPr>
        <w:spacing w:line="360" w:lineRule="auto"/>
        <w:ind w:firstLine="480" w:firstLineChars="200"/>
        <w:rPr>
          <w:sz w:val="24"/>
          <w:szCs w:val="24"/>
        </w:rPr>
      </w:pPr>
      <w:r>
        <w:rPr>
          <w:rFonts w:hint="eastAsia"/>
          <w:sz w:val="24"/>
          <w:szCs w:val="24"/>
        </w:rPr>
        <w:t>（</w:t>
      </w:r>
      <w:r>
        <w:rPr>
          <w:sz w:val="24"/>
          <w:szCs w:val="24"/>
        </w:rPr>
        <w:t>7</w:t>
      </w:r>
      <w:r>
        <w:rPr>
          <w:rFonts w:hint="eastAsia"/>
          <w:sz w:val="24"/>
          <w:szCs w:val="24"/>
        </w:rPr>
        <w:t>）</w:t>
      </w:r>
      <w:r>
        <w:rPr>
          <w:sz w:val="24"/>
          <w:szCs w:val="24"/>
        </w:rPr>
        <w:t xml:space="preserve"> </w:t>
      </w:r>
      <w:r>
        <w:rPr>
          <w:rFonts w:hint="eastAsia"/>
          <w:sz w:val="24"/>
          <w:szCs w:val="24"/>
        </w:rPr>
        <w:t>双方商定或确定的其他款项。</w:t>
      </w:r>
    </w:p>
    <w:p>
      <w:pPr>
        <w:spacing w:line="360" w:lineRule="auto"/>
        <w:ind w:firstLine="480" w:firstLineChars="200"/>
        <w:rPr>
          <w:sz w:val="24"/>
          <w:szCs w:val="24"/>
        </w:rPr>
      </w:pPr>
      <w:r>
        <w:rPr>
          <w:rFonts w:hint="eastAsia"/>
          <w:sz w:val="24"/>
          <w:szCs w:val="24"/>
        </w:rPr>
        <w:t>除专用合同条件另有约定外，合同解除后，发包人应当在商定或确定上述款项后</w:t>
      </w:r>
      <w:r>
        <w:rPr>
          <w:sz w:val="24"/>
          <w:szCs w:val="24"/>
        </w:rPr>
        <w:t>28</w:t>
      </w:r>
      <w:r>
        <w:rPr>
          <w:rFonts w:hint="eastAsia"/>
          <w:sz w:val="24"/>
          <w:szCs w:val="24"/>
        </w:rPr>
        <w:t>天内完成上述款项的支付。</w:t>
      </w:r>
    </w:p>
    <w:p>
      <w:pPr>
        <w:pStyle w:val="64"/>
        <w:numPr>
          <w:ilvl w:val="0"/>
          <w:numId w:val="0"/>
        </w:numPr>
        <w:spacing w:before="0"/>
        <w:ind w:firstLine="482" w:firstLineChars="200"/>
        <w:rPr>
          <w:rFonts w:ascii="宋体"/>
          <w:b/>
          <w:sz w:val="24"/>
          <w:szCs w:val="24"/>
        </w:rPr>
      </w:pPr>
      <w:r>
        <w:rPr>
          <w:rFonts w:hint="eastAsia" w:ascii="宋体" w:hAnsi="宋体"/>
          <w:b/>
          <w:sz w:val="24"/>
          <w:szCs w:val="24"/>
        </w:rPr>
        <w:t>第</w:t>
      </w:r>
      <w:r>
        <w:rPr>
          <w:rFonts w:ascii="宋体" w:hAnsi="宋体"/>
          <w:b/>
          <w:sz w:val="24"/>
          <w:szCs w:val="24"/>
        </w:rPr>
        <w:t>18</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保险</w:t>
      </w:r>
      <w:r>
        <w:rPr>
          <w:rFonts w:ascii="宋体" w:hAnsi="宋体"/>
          <w:b/>
          <w:sz w:val="24"/>
          <w:szCs w:val="24"/>
        </w:rPr>
        <w:t xml:space="preserve"> </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18.1 </w:t>
      </w:r>
      <w:r>
        <w:rPr>
          <w:rFonts w:hint="eastAsia" w:ascii="宋体" w:hAnsi="宋体" w:eastAsia="宋体" w:cs="宋体"/>
        </w:rPr>
        <w:t>设计和工程保险</w:t>
      </w:r>
    </w:p>
    <w:p>
      <w:pPr>
        <w:pStyle w:val="66"/>
        <w:spacing w:afterLines="0"/>
        <w:ind w:left="0" w:firstLine="480" w:firstLineChars="200"/>
        <w:rPr>
          <w:rFonts w:cs="宋体"/>
          <w:szCs w:val="24"/>
        </w:rPr>
      </w:pPr>
      <w:r>
        <w:rPr>
          <w:rFonts w:cs="宋体"/>
          <w:szCs w:val="24"/>
        </w:rPr>
        <w:t xml:space="preserve">18.1.1 </w:t>
      </w:r>
      <w:r>
        <w:rPr>
          <w:rFonts w:hint="eastAsia" w:cs="宋体"/>
          <w:szCs w:val="24"/>
        </w:rPr>
        <w:t>双方应按照专用合同条件的约定向双方同意的保险人投保建设工程设计责任险、建筑安装工程一切险等保险。具体的投保险种、保险范围、保险金额、保险费率、保险期限等有关内容应当在专用合同条件中明确约定。</w:t>
      </w:r>
    </w:p>
    <w:p>
      <w:pPr>
        <w:pStyle w:val="66"/>
        <w:spacing w:afterLines="0"/>
        <w:ind w:left="0" w:firstLine="480" w:firstLineChars="200"/>
        <w:rPr>
          <w:rFonts w:cs="宋体"/>
          <w:szCs w:val="24"/>
        </w:rPr>
      </w:pPr>
      <w:r>
        <w:rPr>
          <w:rFonts w:cs="宋体"/>
          <w:szCs w:val="24"/>
        </w:rPr>
        <w:t xml:space="preserve">18.1.2 </w:t>
      </w:r>
      <w:r>
        <w:rPr>
          <w:rFonts w:hint="eastAsia" w:cs="宋体"/>
          <w:szCs w:val="24"/>
        </w:rPr>
        <w:t>双方应按照专用合同条件的约定投保第三者责任险，并在缺陷责任期终止证书颁发前维持其持续有效。第三者责任险最低投保额应在专用合同条件内约定。</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18.2 </w:t>
      </w:r>
      <w:r>
        <w:rPr>
          <w:rFonts w:hint="eastAsia" w:ascii="宋体" w:hAnsi="宋体" w:eastAsia="宋体" w:cs="宋体"/>
        </w:rPr>
        <w:t>工伤和意外伤害保险</w:t>
      </w:r>
    </w:p>
    <w:p>
      <w:pPr>
        <w:pStyle w:val="66"/>
        <w:spacing w:afterLines="0"/>
        <w:ind w:left="0" w:firstLine="480" w:firstLineChars="200"/>
        <w:rPr>
          <w:rFonts w:cs="宋体"/>
          <w:szCs w:val="24"/>
        </w:rPr>
      </w:pPr>
      <w:r>
        <w:rPr>
          <w:rFonts w:cs="宋体"/>
          <w:szCs w:val="24"/>
        </w:rPr>
        <w:t xml:space="preserve">18.2.1 </w:t>
      </w:r>
      <w:r>
        <w:rPr>
          <w:rFonts w:hint="eastAsia" w:cs="宋体"/>
          <w:szCs w:val="24"/>
        </w:rPr>
        <w:t>发包人应依照法律规定为其在施工现场的雇用人员办理工伤保险，缴纳工伤保险费；并要求工程师及由发包人为履行合同聘请的第三方在施工现场的雇用人员依法办理工伤保险。</w:t>
      </w:r>
    </w:p>
    <w:p>
      <w:pPr>
        <w:pStyle w:val="66"/>
        <w:spacing w:afterLines="0"/>
        <w:ind w:left="0" w:firstLine="480" w:firstLineChars="200"/>
        <w:rPr>
          <w:rFonts w:cs="宋体"/>
          <w:szCs w:val="24"/>
        </w:rPr>
      </w:pPr>
      <w:r>
        <w:rPr>
          <w:rFonts w:cs="宋体"/>
          <w:szCs w:val="24"/>
        </w:rPr>
        <w:t xml:space="preserve">18.2.2 </w:t>
      </w:r>
      <w:r>
        <w:rPr>
          <w:rFonts w:hint="eastAsia" w:cs="宋体"/>
          <w:szCs w:val="24"/>
        </w:rPr>
        <w:t>承包人应依照法律规定为其履行合同雇用的全部人员办理工伤保险，缴纳工伤保险费，并要求分包人及由承包人为履行合同聘请的第三方雇用的全部人员依法办理工伤保险。</w:t>
      </w:r>
    </w:p>
    <w:p>
      <w:pPr>
        <w:pStyle w:val="66"/>
        <w:spacing w:afterLines="0"/>
        <w:ind w:left="0" w:firstLine="480" w:firstLineChars="200"/>
        <w:rPr>
          <w:rFonts w:cs="宋体"/>
          <w:szCs w:val="24"/>
        </w:rPr>
      </w:pPr>
      <w:r>
        <w:rPr>
          <w:rFonts w:cs="宋体"/>
          <w:szCs w:val="24"/>
        </w:rPr>
        <w:t xml:space="preserve">18.2.3 </w:t>
      </w:r>
      <w:r>
        <w:rPr>
          <w:rFonts w:hint="eastAsia" w:cs="宋体"/>
          <w:szCs w:val="24"/>
        </w:rPr>
        <w:t>发包人和承包人可以为其施工现场的全部人员办理意外伤害保险并支付保险费，包括其员工及为履行合同聘请的第三方的人员，具体事项由合同当事人在专用合同条件约定。</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18.3 </w:t>
      </w:r>
      <w:r>
        <w:rPr>
          <w:rFonts w:hint="eastAsia" w:ascii="宋体" w:hAnsi="宋体" w:eastAsia="宋体" w:cs="宋体"/>
        </w:rPr>
        <w:t>货物保险</w:t>
      </w:r>
    </w:p>
    <w:p>
      <w:pPr>
        <w:spacing w:line="360" w:lineRule="auto"/>
        <w:ind w:firstLine="480" w:firstLineChars="200"/>
        <w:rPr>
          <w:sz w:val="24"/>
          <w:szCs w:val="24"/>
        </w:rPr>
      </w:pPr>
      <w:r>
        <w:rPr>
          <w:rFonts w:hint="eastAsia"/>
          <w:sz w:val="24"/>
          <w:szCs w:val="24"/>
        </w:rPr>
        <w:t>承包人应</w:t>
      </w:r>
      <w:r>
        <w:rPr>
          <w:rFonts w:hint="eastAsia"/>
          <w:iCs/>
          <w:sz w:val="24"/>
          <w:szCs w:val="24"/>
        </w:rPr>
        <w:t>按照</w:t>
      </w:r>
      <w:r>
        <w:rPr>
          <w:rFonts w:hint="eastAsia"/>
          <w:sz w:val="24"/>
          <w:szCs w:val="24"/>
        </w:rPr>
        <w:t>专用合同条件的约定为</w:t>
      </w:r>
      <w:r>
        <w:rPr>
          <w:rFonts w:hint="eastAsia"/>
          <w:iCs/>
          <w:sz w:val="24"/>
          <w:szCs w:val="24"/>
        </w:rPr>
        <w:t>运抵现场的</w:t>
      </w:r>
      <w:r>
        <w:rPr>
          <w:rFonts w:hint="eastAsia"/>
          <w:sz w:val="24"/>
          <w:szCs w:val="24"/>
        </w:rPr>
        <w:t>施工设备、材料、工程设备和临时工程等办理财产保险，保险期限自上述货物运抵现场至其不再为工程所需要为止。</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18.4 </w:t>
      </w:r>
      <w:r>
        <w:rPr>
          <w:rFonts w:hint="eastAsia" w:ascii="宋体" w:hAnsi="宋体" w:eastAsia="宋体" w:cs="宋体"/>
        </w:rPr>
        <w:t>其他保险</w:t>
      </w:r>
    </w:p>
    <w:p>
      <w:pPr>
        <w:spacing w:line="360" w:lineRule="auto"/>
        <w:ind w:firstLine="480" w:firstLineChars="200"/>
        <w:rPr>
          <w:sz w:val="24"/>
          <w:szCs w:val="24"/>
        </w:rPr>
      </w:pPr>
      <w:r>
        <w:rPr>
          <w:rFonts w:hint="eastAsia"/>
          <w:sz w:val="24"/>
          <w:szCs w:val="24"/>
        </w:rPr>
        <w:t>发包人应按照工程总承包模式所适用的法律法规和专用合同条件约定，投保其他保险并保持保险有效，其投保费用发包人自行承担。承包人应按照工程总承包模式所适用法律法规和专用合同条件约定投保相应保险并保持保险有效，其投保费用包含在合同价格中，但在合同执行过程中，新颁布适用的法律法规规定由承包人投保的强制保险，应根据本合同第</w:t>
      </w:r>
      <w:r>
        <w:rPr>
          <w:sz w:val="24"/>
          <w:szCs w:val="24"/>
        </w:rPr>
        <w:t>13</w:t>
      </w:r>
      <w:r>
        <w:rPr>
          <w:rFonts w:hint="eastAsia"/>
          <w:sz w:val="24"/>
          <w:szCs w:val="24"/>
        </w:rPr>
        <w:t>条</w:t>
      </w:r>
      <w:r>
        <w:rPr>
          <w:sz w:val="24"/>
          <w:szCs w:val="24"/>
        </w:rPr>
        <w:t>[</w:t>
      </w:r>
      <w:r>
        <w:rPr>
          <w:rFonts w:hint="eastAsia"/>
          <w:sz w:val="24"/>
          <w:szCs w:val="24"/>
        </w:rPr>
        <w:t>变更与调整</w:t>
      </w:r>
      <w:r>
        <w:rPr>
          <w:sz w:val="24"/>
          <w:szCs w:val="24"/>
        </w:rPr>
        <w:t>]</w:t>
      </w:r>
      <w:r>
        <w:rPr>
          <w:rFonts w:hint="eastAsia"/>
          <w:sz w:val="24"/>
          <w:szCs w:val="24"/>
        </w:rPr>
        <w:t>的约定增加合同价款。</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18.5 </w:t>
      </w:r>
      <w:r>
        <w:rPr>
          <w:rFonts w:hint="eastAsia" w:ascii="宋体" w:hAnsi="宋体" w:eastAsia="宋体" w:cs="宋体"/>
        </w:rPr>
        <w:t>对各项保险的一般要求</w:t>
      </w:r>
    </w:p>
    <w:p>
      <w:pPr>
        <w:pStyle w:val="66"/>
        <w:spacing w:afterLines="0"/>
        <w:ind w:left="0" w:firstLine="480" w:firstLineChars="200"/>
        <w:rPr>
          <w:rFonts w:cs="宋体"/>
          <w:szCs w:val="24"/>
        </w:rPr>
      </w:pPr>
      <w:r>
        <w:rPr>
          <w:rFonts w:cs="宋体"/>
          <w:szCs w:val="24"/>
        </w:rPr>
        <w:t xml:space="preserve">18.5.1 </w:t>
      </w:r>
      <w:r>
        <w:rPr>
          <w:rFonts w:hint="eastAsia" w:cs="宋体"/>
          <w:szCs w:val="24"/>
        </w:rPr>
        <w:t>持续保险</w:t>
      </w:r>
    </w:p>
    <w:p>
      <w:pPr>
        <w:spacing w:line="360" w:lineRule="auto"/>
        <w:ind w:firstLine="480" w:firstLineChars="200"/>
        <w:rPr>
          <w:sz w:val="24"/>
          <w:szCs w:val="24"/>
        </w:rPr>
      </w:pPr>
      <w:r>
        <w:rPr>
          <w:rFonts w:hint="eastAsia"/>
          <w:sz w:val="24"/>
          <w:szCs w:val="24"/>
        </w:rPr>
        <w:t>合同当事人应与保险人保持联系，使保险人能够随时了解工程实施中的变动，并确保按保险合同条款要求持续保险。</w:t>
      </w:r>
    </w:p>
    <w:p>
      <w:pPr>
        <w:pStyle w:val="66"/>
        <w:spacing w:afterLines="0"/>
        <w:ind w:left="0" w:firstLine="480" w:firstLineChars="200"/>
        <w:rPr>
          <w:rFonts w:cs="宋体"/>
          <w:szCs w:val="24"/>
        </w:rPr>
      </w:pPr>
      <w:r>
        <w:rPr>
          <w:rFonts w:cs="宋体"/>
          <w:szCs w:val="24"/>
        </w:rPr>
        <w:t xml:space="preserve">18.5.2 </w:t>
      </w:r>
      <w:r>
        <w:rPr>
          <w:rFonts w:hint="eastAsia" w:cs="宋体"/>
          <w:szCs w:val="24"/>
        </w:rPr>
        <w:t>保险凭证</w:t>
      </w:r>
    </w:p>
    <w:p>
      <w:pPr>
        <w:spacing w:line="360" w:lineRule="auto"/>
        <w:ind w:firstLine="480" w:firstLineChars="200"/>
        <w:rPr>
          <w:sz w:val="24"/>
          <w:szCs w:val="24"/>
        </w:rPr>
      </w:pPr>
      <w:r>
        <w:rPr>
          <w:rFonts w:hint="eastAsia"/>
          <w:sz w:val="24"/>
          <w:szCs w:val="24"/>
        </w:rPr>
        <w:t>合同当事人应及时向另一方当事人提交其已投保的各项保险的凭证和保险单复印件，保险单必须与专用合同条件约定的条件保持一致。</w:t>
      </w:r>
    </w:p>
    <w:p>
      <w:pPr>
        <w:pStyle w:val="66"/>
        <w:spacing w:afterLines="0"/>
        <w:ind w:left="0" w:firstLine="480" w:firstLineChars="200"/>
        <w:rPr>
          <w:rFonts w:cs="宋体"/>
          <w:szCs w:val="24"/>
        </w:rPr>
      </w:pPr>
      <w:r>
        <w:rPr>
          <w:rFonts w:cs="宋体"/>
          <w:szCs w:val="24"/>
        </w:rPr>
        <w:t xml:space="preserve">18.5.3 </w:t>
      </w:r>
      <w:r>
        <w:rPr>
          <w:rFonts w:hint="eastAsia" w:cs="宋体"/>
          <w:szCs w:val="24"/>
        </w:rPr>
        <w:t>未按约定投保的补救</w:t>
      </w:r>
    </w:p>
    <w:p>
      <w:pPr>
        <w:spacing w:line="360" w:lineRule="auto"/>
        <w:ind w:firstLine="480" w:firstLineChars="200"/>
        <w:rPr>
          <w:sz w:val="24"/>
          <w:szCs w:val="24"/>
        </w:rPr>
      </w:pPr>
      <w:r>
        <w:rPr>
          <w:rFonts w:hint="eastAsia"/>
          <w:sz w:val="24"/>
          <w:szCs w:val="24"/>
        </w:rPr>
        <w:t>负有投保义务的一方当事人未按合同约定办理保险，或未能使保险持续有效的，则另一方当事人可代为办理，所需费用由负有投保义务的一方当事人承担。</w:t>
      </w:r>
    </w:p>
    <w:p>
      <w:pPr>
        <w:spacing w:line="360" w:lineRule="auto"/>
        <w:ind w:firstLine="480" w:firstLineChars="200"/>
        <w:rPr>
          <w:sz w:val="24"/>
          <w:szCs w:val="24"/>
        </w:rPr>
      </w:pPr>
      <w:r>
        <w:rPr>
          <w:rFonts w:hint="eastAsia"/>
          <w:sz w:val="24"/>
          <w:szCs w:val="24"/>
        </w:rPr>
        <w:t>负有投保义务的一方当事人未按合同约定办理某项保险，导致受益人未能得到足额赔偿的，由负有投保义务的一方当事人负责按照原应从该项保险得到的保险金数额进行补足。</w:t>
      </w:r>
    </w:p>
    <w:p>
      <w:pPr>
        <w:pStyle w:val="66"/>
        <w:spacing w:afterLines="0"/>
        <w:ind w:left="0" w:firstLine="480" w:firstLineChars="200"/>
        <w:rPr>
          <w:rFonts w:cs="宋体"/>
          <w:szCs w:val="24"/>
        </w:rPr>
      </w:pPr>
      <w:r>
        <w:rPr>
          <w:rFonts w:cs="宋体"/>
          <w:szCs w:val="24"/>
        </w:rPr>
        <w:t xml:space="preserve">18.5.4 </w:t>
      </w:r>
      <w:r>
        <w:rPr>
          <w:rFonts w:hint="eastAsia" w:cs="宋体"/>
          <w:szCs w:val="24"/>
        </w:rPr>
        <w:t>通知义务</w:t>
      </w:r>
    </w:p>
    <w:p>
      <w:pPr>
        <w:spacing w:line="360" w:lineRule="auto"/>
        <w:ind w:firstLine="480" w:firstLineChars="200"/>
        <w:rPr>
          <w:sz w:val="24"/>
          <w:szCs w:val="24"/>
        </w:rPr>
      </w:pPr>
      <w:r>
        <w:rPr>
          <w:rFonts w:hint="eastAsia"/>
          <w:sz w:val="24"/>
          <w:szCs w:val="24"/>
        </w:rPr>
        <w:t>除专用合同条件另有约定外，任何一方当事人变更除工伤保险之外的保险合同时，应事先征得另一方当事人同意，并通知工程师。</w:t>
      </w:r>
    </w:p>
    <w:p>
      <w:pPr>
        <w:spacing w:line="360" w:lineRule="auto"/>
        <w:ind w:firstLine="480" w:firstLineChars="200"/>
        <w:rPr>
          <w:sz w:val="24"/>
          <w:szCs w:val="24"/>
        </w:rPr>
      </w:pPr>
      <w:r>
        <w:rPr>
          <w:rFonts w:hint="eastAsia"/>
          <w:sz w:val="24"/>
          <w:szCs w:val="24"/>
        </w:rPr>
        <w:t>保险事故发生时，投保人应按照保险合同规定的条件和期限及时向保险人报告。发包人和承包人应当在知道保险事故发生后及时通知对方。</w:t>
      </w:r>
    </w:p>
    <w:p>
      <w:pPr>
        <w:spacing w:line="360" w:lineRule="auto"/>
        <w:ind w:firstLine="480" w:firstLineChars="200"/>
        <w:rPr>
          <w:sz w:val="24"/>
          <w:szCs w:val="24"/>
        </w:rPr>
      </w:pPr>
      <w:r>
        <w:rPr>
          <w:rFonts w:hint="eastAsia"/>
          <w:sz w:val="24"/>
          <w:szCs w:val="24"/>
        </w:rPr>
        <w:t>双方按本条规定投保不减少双方在合同下的其他义务。</w:t>
      </w:r>
    </w:p>
    <w:p>
      <w:pPr>
        <w:pStyle w:val="64"/>
        <w:numPr>
          <w:ilvl w:val="0"/>
          <w:numId w:val="0"/>
        </w:numPr>
        <w:spacing w:before="0"/>
        <w:ind w:firstLine="482" w:firstLineChars="200"/>
        <w:rPr>
          <w:rFonts w:ascii="宋体"/>
          <w:b/>
          <w:sz w:val="24"/>
          <w:szCs w:val="24"/>
        </w:rPr>
      </w:pPr>
      <w:r>
        <w:rPr>
          <w:rFonts w:hint="eastAsia" w:ascii="宋体" w:hAnsi="宋体"/>
          <w:b/>
          <w:sz w:val="24"/>
          <w:szCs w:val="24"/>
        </w:rPr>
        <w:t>第</w:t>
      </w:r>
      <w:r>
        <w:rPr>
          <w:rFonts w:ascii="宋体" w:hAnsi="宋体"/>
          <w:b/>
          <w:sz w:val="24"/>
          <w:szCs w:val="24"/>
        </w:rPr>
        <w:t>19</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索赔</w:t>
      </w:r>
      <w:r>
        <w:rPr>
          <w:rFonts w:ascii="宋体" w:hAnsi="宋体"/>
          <w:b/>
          <w:sz w:val="24"/>
          <w:szCs w:val="24"/>
        </w:rPr>
        <w:t xml:space="preserve"> </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19.1 </w:t>
      </w:r>
      <w:r>
        <w:rPr>
          <w:rFonts w:hint="eastAsia" w:ascii="宋体" w:hAnsi="宋体" w:eastAsia="宋体" w:cs="宋体"/>
        </w:rPr>
        <w:t>索赔的提出</w:t>
      </w:r>
    </w:p>
    <w:p>
      <w:pPr>
        <w:spacing w:line="360" w:lineRule="auto"/>
        <w:ind w:firstLine="480" w:firstLineChars="200"/>
        <w:rPr>
          <w:sz w:val="24"/>
          <w:szCs w:val="24"/>
        </w:rPr>
      </w:pPr>
      <w:r>
        <w:rPr>
          <w:rFonts w:hint="eastAsia"/>
          <w:sz w:val="24"/>
          <w:szCs w:val="24"/>
        </w:rPr>
        <w:t>根据合同约定，任意一方认为有权得到追加</w:t>
      </w:r>
      <w:r>
        <w:rPr>
          <w:sz w:val="24"/>
          <w:szCs w:val="24"/>
        </w:rPr>
        <w:t>/</w:t>
      </w:r>
      <w:r>
        <w:rPr>
          <w:rFonts w:hint="eastAsia"/>
          <w:sz w:val="24"/>
          <w:szCs w:val="24"/>
        </w:rPr>
        <w:t>减少付款、延长缺陷责任期和（或）延长工期的，应按以下程序向对方提出索赔：</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索赔方应在知道或应当知道索赔事件发生后</w:t>
      </w:r>
      <w:r>
        <w:rPr>
          <w:sz w:val="24"/>
          <w:szCs w:val="24"/>
        </w:rPr>
        <w:t>28</w:t>
      </w:r>
      <w:r>
        <w:rPr>
          <w:rFonts w:hint="eastAsia"/>
          <w:sz w:val="24"/>
          <w:szCs w:val="24"/>
        </w:rPr>
        <w:t>天内，向对方递交索赔意向通知书，并说明发生索赔事件的事由；索赔方未在前述</w:t>
      </w:r>
      <w:r>
        <w:rPr>
          <w:sz w:val="24"/>
          <w:szCs w:val="24"/>
        </w:rPr>
        <w:t>28</w:t>
      </w:r>
      <w:r>
        <w:rPr>
          <w:rFonts w:hint="eastAsia"/>
          <w:sz w:val="24"/>
          <w:szCs w:val="24"/>
        </w:rPr>
        <w:t>天内发出索赔意向通知书的，丧失要求追加</w:t>
      </w:r>
      <w:r>
        <w:rPr>
          <w:sz w:val="24"/>
          <w:szCs w:val="24"/>
        </w:rPr>
        <w:t>/</w:t>
      </w:r>
      <w:r>
        <w:rPr>
          <w:rFonts w:hint="eastAsia"/>
          <w:sz w:val="24"/>
          <w:szCs w:val="24"/>
        </w:rPr>
        <w:t>减少付款、延长缺陷责任期和（或）延长工期的权利；</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索赔方应在发出索赔意向通知书后</w:t>
      </w:r>
      <w:r>
        <w:rPr>
          <w:sz w:val="24"/>
          <w:szCs w:val="24"/>
        </w:rPr>
        <w:t>28</w:t>
      </w:r>
      <w:r>
        <w:rPr>
          <w:rFonts w:hint="eastAsia"/>
          <w:sz w:val="24"/>
          <w:szCs w:val="24"/>
        </w:rPr>
        <w:t>天内，向对方正式递交索赔报告；索赔报告应详细说明索赔理由以及要求追加的付款金额、延长缺陷责任期和（或）延长的工期，并附必要的记录和证明材料；</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索赔事件具有持续影响的，索赔方应每月递交延续索赔通知，说明持续影响的实际情况和记录，列出累计的追加付款金额、延长缺陷责任期和（或）工期延长天数；</w:t>
      </w:r>
    </w:p>
    <w:p>
      <w:pPr>
        <w:spacing w:line="360" w:lineRule="auto"/>
        <w:ind w:firstLine="480" w:firstLineChars="200"/>
        <w:rPr>
          <w:sz w:val="24"/>
          <w:szCs w:val="24"/>
        </w:rPr>
      </w:pPr>
      <w:r>
        <w:rPr>
          <w:rFonts w:hint="eastAsia"/>
          <w:sz w:val="24"/>
          <w:szCs w:val="24"/>
        </w:rPr>
        <w:t>（</w:t>
      </w:r>
      <w:r>
        <w:rPr>
          <w:sz w:val="24"/>
          <w:szCs w:val="24"/>
        </w:rPr>
        <w:t>4</w:t>
      </w:r>
      <w:r>
        <w:rPr>
          <w:rFonts w:hint="eastAsia"/>
          <w:sz w:val="24"/>
          <w:szCs w:val="24"/>
        </w:rPr>
        <w:t>）</w:t>
      </w:r>
      <w:r>
        <w:rPr>
          <w:sz w:val="24"/>
          <w:szCs w:val="24"/>
        </w:rPr>
        <w:t xml:space="preserve"> </w:t>
      </w:r>
      <w:r>
        <w:rPr>
          <w:rFonts w:hint="eastAsia"/>
          <w:sz w:val="24"/>
          <w:szCs w:val="24"/>
        </w:rPr>
        <w:t>在索赔事件影响结束后</w:t>
      </w:r>
      <w:r>
        <w:rPr>
          <w:sz w:val="24"/>
          <w:szCs w:val="24"/>
        </w:rPr>
        <w:t>28</w:t>
      </w:r>
      <w:r>
        <w:rPr>
          <w:rFonts w:hint="eastAsia"/>
          <w:sz w:val="24"/>
          <w:szCs w:val="24"/>
        </w:rPr>
        <w:t>天内，索赔方应向对方递交最终索赔报告，说明最终要求索赔的追加付款金额、延长缺陷责任期和（或）延长的工期，并附必要的记录和证明材料。</w:t>
      </w:r>
    </w:p>
    <w:p>
      <w:pPr>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w:t>
      </w:r>
      <w:r>
        <w:rPr>
          <w:sz w:val="24"/>
          <w:szCs w:val="24"/>
        </w:rPr>
        <w:t xml:space="preserve"> </w:t>
      </w:r>
      <w:r>
        <w:rPr>
          <w:rFonts w:hint="eastAsia"/>
          <w:sz w:val="24"/>
          <w:szCs w:val="24"/>
        </w:rPr>
        <w:t>承包人作为索赔方时，其索赔意向通知书、索赔报告及相关索赔文件应向工程师提出；发包人作为索赔方时，其索赔意向通知书、索赔报告及相关索赔文件可自行向承包人提出或由工程师向承包人提出。</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19.2 </w:t>
      </w:r>
      <w:r>
        <w:rPr>
          <w:rFonts w:hint="eastAsia" w:ascii="宋体" w:hAnsi="宋体" w:eastAsia="宋体" w:cs="宋体"/>
        </w:rPr>
        <w:t>承包人索赔的处理程序</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工程师收到承包人提交的索赔报告后，应及时审查索赔报告的内容、查验承包人的记录和证明材料，必要时工程师可要求承包人提交全部原始记录副本。</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工程师应按第</w:t>
      </w:r>
      <w:r>
        <w:rPr>
          <w:sz w:val="24"/>
          <w:szCs w:val="24"/>
        </w:rPr>
        <w:t>3.6</w:t>
      </w:r>
      <w:r>
        <w:rPr>
          <w:rFonts w:hint="eastAsia"/>
          <w:sz w:val="24"/>
          <w:szCs w:val="24"/>
        </w:rPr>
        <w:t>款</w:t>
      </w:r>
      <w:r>
        <w:rPr>
          <w:sz w:val="24"/>
          <w:szCs w:val="24"/>
        </w:rPr>
        <w:t>[</w:t>
      </w:r>
      <w:r>
        <w:rPr>
          <w:rFonts w:hint="eastAsia"/>
          <w:sz w:val="24"/>
          <w:szCs w:val="24"/>
        </w:rPr>
        <w:t>商定或确定</w:t>
      </w:r>
      <w:r>
        <w:rPr>
          <w:sz w:val="24"/>
          <w:szCs w:val="24"/>
        </w:rPr>
        <w:t>]</w:t>
      </w:r>
      <w:r>
        <w:rPr>
          <w:rFonts w:hint="eastAsia"/>
          <w:sz w:val="24"/>
          <w:szCs w:val="24"/>
        </w:rPr>
        <w:t>商定或确定追加的付款和（或）延长的工期，并在收到上述索赔报告或有关索赔的进一步证明材料后及时书面告知发包人，并在</w:t>
      </w:r>
      <w:r>
        <w:rPr>
          <w:sz w:val="24"/>
          <w:szCs w:val="24"/>
        </w:rPr>
        <w:t>42</w:t>
      </w:r>
      <w:r>
        <w:rPr>
          <w:rFonts w:hint="eastAsia"/>
          <w:sz w:val="24"/>
          <w:szCs w:val="24"/>
        </w:rPr>
        <w:t>天内，将发包人书面认可的索赔处理结果答复承包人。工程师在收到索赔报告或有关索赔的进一步证明材料后的</w:t>
      </w:r>
      <w:r>
        <w:rPr>
          <w:sz w:val="24"/>
          <w:szCs w:val="24"/>
        </w:rPr>
        <w:t>42</w:t>
      </w:r>
      <w:r>
        <w:rPr>
          <w:rFonts w:hint="eastAsia"/>
          <w:sz w:val="24"/>
          <w:szCs w:val="24"/>
        </w:rPr>
        <w:t>天内不予答复的，视为认可索赔。</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承包人接受索赔处理结果的，发包人应在作出索赔处理结果答复后</w:t>
      </w:r>
      <w:r>
        <w:rPr>
          <w:sz w:val="24"/>
          <w:szCs w:val="24"/>
        </w:rPr>
        <w:t>28</w:t>
      </w:r>
      <w:r>
        <w:rPr>
          <w:rFonts w:hint="eastAsia"/>
          <w:sz w:val="24"/>
          <w:szCs w:val="24"/>
        </w:rPr>
        <w:t>天内完成支付。承包人不接受索赔处理结果的，按照第</w:t>
      </w:r>
      <w:r>
        <w:rPr>
          <w:sz w:val="24"/>
          <w:szCs w:val="24"/>
        </w:rPr>
        <w:t>20</w:t>
      </w:r>
      <w:r>
        <w:rPr>
          <w:rFonts w:hint="eastAsia"/>
          <w:sz w:val="24"/>
          <w:szCs w:val="24"/>
        </w:rPr>
        <w:t>条</w:t>
      </w:r>
      <w:r>
        <w:rPr>
          <w:sz w:val="24"/>
          <w:szCs w:val="24"/>
        </w:rPr>
        <w:t>[</w:t>
      </w:r>
      <w:r>
        <w:rPr>
          <w:rFonts w:hint="eastAsia"/>
          <w:sz w:val="24"/>
          <w:szCs w:val="24"/>
        </w:rPr>
        <w:t>争议解决</w:t>
      </w:r>
      <w:r>
        <w:rPr>
          <w:sz w:val="24"/>
          <w:szCs w:val="24"/>
        </w:rPr>
        <w:t>]</w:t>
      </w:r>
      <w:r>
        <w:rPr>
          <w:rFonts w:hint="eastAsia"/>
          <w:sz w:val="24"/>
          <w:szCs w:val="24"/>
        </w:rPr>
        <w:t>约定处理。</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19.3 </w:t>
      </w:r>
      <w:r>
        <w:rPr>
          <w:rFonts w:hint="eastAsia" w:ascii="宋体" w:hAnsi="宋体" w:eastAsia="宋体" w:cs="宋体"/>
        </w:rPr>
        <w:t>发包人索赔的处理程序</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承包人收到发包人提交的索赔报告后，应及时审查索赔报告的内容、查验发包人证明材料；</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承包人应在收到上述索赔报告或有关索赔的进一步证明材料后</w:t>
      </w:r>
      <w:r>
        <w:rPr>
          <w:sz w:val="24"/>
          <w:szCs w:val="24"/>
        </w:rPr>
        <w:t>42</w:t>
      </w:r>
      <w:r>
        <w:rPr>
          <w:rFonts w:hint="eastAsia"/>
          <w:sz w:val="24"/>
          <w:szCs w:val="24"/>
        </w:rPr>
        <w:t>天内，将索赔处理结果答复发包人。承包人在收到索赔通知书或有关索赔的进一步证明材料后的</w:t>
      </w:r>
      <w:r>
        <w:rPr>
          <w:sz w:val="24"/>
          <w:szCs w:val="24"/>
        </w:rPr>
        <w:t>42</w:t>
      </w:r>
      <w:r>
        <w:rPr>
          <w:rFonts w:hint="eastAsia"/>
          <w:sz w:val="24"/>
          <w:szCs w:val="24"/>
        </w:rPr>
        <w:t>天内不予答复的，视为认可索赔。</w:t>
      </w:r>
    </w:p>
    <w:p>
      <w:pPr>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sz w:val="24"/>
          <w:szCs w:val="24"/>
        </w:rPr>
        <w:t xml:space="preserve"> </w:t>
      </w:r>
      <w:r>
        <w:rPr>
          <w:rFonts w:hint="eastAsia"/>
          <w:sz w:val="24"/>
          <w:szCs w:val="24"/>
        </w:rPr>
        <w:t>发包人接受索赔处理结果的，发包人可从应支付给承包人的合同价款中扣除赔付的金额或延长缺陷责任期；发包人不接受索赔处理结果的，按第</w:t>
      </w:r>
      <w:r>
        <w:rPr>
          <w:sz w:val="24"/>
          <w:szCs w:val="24"/>
        </w:rPr>
        <w:t>20</w:t>
      </w:r>
      <w:r>
        <w:rPr>
          <w:rFonts w:hint="eastAsia"/>
          <w:sz w:val="24"/>
          <w:szCs w:val="24"/>
        </w:rPr>
        <w:t>条</w:t>
      </w:r>
      <w:r>
        <w:rPr>
          <w:sz w:val="24"/>
          <w:szCs w:val="24"/>
        </w:rPr>
        <w:t>[</w:t>
      </w:r>
      <w:r>
        <w:rPr>
          <w:rFonts w:hint="eastAsia"/>
          <w:sz w:val="24"/>
          <w:szCs w:val="24"/>
        </w:rPr>
        <w:t>争议解决</w:t>
      </w:r>
      <w:r>
        <w:rPr>
          <w:sz w:val="24"/>
          <w:szCs w:val="24"/>
        </w:rPr>
        <w:t>]</w:t>
      </w:r>
      <w:r>
        <w:rPr>
          <w:rFonts w:hint="eastAsia"/>
          <w:sz w:val="24"/>
          <w:szCs w:val="24"/>
        </w:rPr>
        <w:t>约定处理。</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19.4 </w:t>
      </w:r>
      <w:r>
        <w:rPr>
          <w:rFonts w:hint="eastAsia" w:ascii="宋体" w:hAnsi="宋体" w:eastAsia="宋体" w:cs="宋体"/>
        </w:rPr>
        <w:t>提出索赔的期限</w:t>
      </w:r>
    </w:p>
    <w:p>
      <w:pPr>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承包人按第</w:t>
      </w:r>
      <w:r>
        <w:rPr>
          <w:sz w:val="24"/>
          <w:szCs w:val="24"/>
        </w:rPr>
        <w:t>14.5</w:t>
      </w:r>
      <w:r>
        <w:rPr>
          <w:rFonts w:hint="eastAsia"/>
          <w:sz w:val="24"/>
          <w:szCs w:val="24"/>
        </w:rPr>
        <w:t>款</w:t>
      </w:r>
      <w:r>
        <w:rPr>
          <w:sz w:val="24"/>
          <w:szCs w:val="24"/>
        </w:rPr>
        <w:t>[</w:t>
      </w:r>
      <w:r>
        <w:rPr>
          <w:rFonts w:hint="eastAsia"/>
          <w:sz w:val="24"/>
          <w:szCs w:val="24"/>
        </w:rPr>
        <w:t>竣工结算</w:t>
      </w:r>
      <w:r>
        <w:rPr>
          <w:sz w:val="24"/>
          <w:szCs w:val="24"/>
        </w:rPr>
        <w:t>]</w:t>
      </w:r>
      <w:r>
        <w:rPr>
          <w:rFonts w:hint="eastAsia"/>
          <w:sz w:val="24"/>
          <w:szCs w:val="24"/>
        </w:rPr>
        <w:t>约定接收竣工付款证书后，应被认为已无权再提出在合同工程接收证书颁发前所发生的任何索赔。</w:t>
      </w:r>
    </w:p>
    <w:p>
      <w:pPr>
        <w:spacing w:line="360" w:lineRule="auto"/>
        <w:ind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承包人按第</w:t>
      </w:r>
      <w:r>
        <w:rPr>
          <w:sz w:val="24"/>
          <w:szCs w:val="24"/>
        </w:rPr>
        <w:t>14.7</w:t>
      </w:r>
      <w:r>
        <w:rPr>
          <w:rFonts w:hint="eastAsia"/>
          <w:sz w:val="24"/>
          <w:szCs w:val="24"/>
        </w:rPr>
        <w:t>款</w:t>
      </w:r>
      <w:r>
        <w:rPr>
          <w:sz w:val="24"/>
          <w:szCs w:val="24"/>
        </w:rPr>
        <w:t>[</w:t>
      </w:r>
      <w:r>
        <w:rPr>
          <w:rFonts w:hint="eastAsia"/>
          <w:sz w:val="24"/>
          <w:szCs w:val="24"/>
        </w:rPr>
        <w:t>最终结清</w:t>
      </w:r>
      <w:r>
        <w:rPr>
          <w:sz w:val="24"/>
          <w:szCs w:val="24"/>
        </w:rPr>
        <w:t>]</w:t>
      </w:r>
      <w:r>
        <w:rPr>
          <w:rFonts w:hint="eastAsia"/>
          <w:sz w:val="24"/>
          <w:szCs w:val="24"/>
        </w:rPr>
        <w:t>提交的最终结清申请单中，只限于提出工程接收证书颁发后发生的索赔。提出索赔的期限均自接受最终结清证书时终止。</w:t>
      </w:r>
    </w:p>
    <w:p>
      <w:pPr>
        <w:pStyle w:val="64"/>
        <w:numPr>
          <w:ilvl w:val="0"/>
          <w:numId w:val="0"/>
        </w:numPr>
        <w:spacing w:before="0"/>
        <w:ind w:firstLine="482" w:firstLineChars="200"/>
        <w:rPr>
          <w:rFonts w:ascii="宋体"/>
          <w:b/>
          <w:sz w:val="24"/>
          <w:szCs w:val="24"/>
        </w:rPr>
      </w:pPr>
      <w:r>
        <w:rPr>
          <w:rFonts w:hint="eastAsia" w:ascii="宋体" w:hAnsi="宋体"/>
          <w:b/>
          <w:sz w:val="24"/>
          <w:szCs w:val="24"/>
        </w:rPr>
        <w:t>第</w:t>
      </w:r>
      <w:r>
        <w:rPr>
          <w:rFonts w:ascii="宋体" w:hAnsi="宋体"/>
          <w:b/>
          <w:sz w:val="24"/>
          <w:szCs w:val="24"/>
        </w:rPr>
        <w:t>20</w:t>
      </w:r>
      <w:r>
        <w:rPr>
          <w:rFonts w:hint="eastAsia" w:ascii="宋体" w:hAnsi="宋体"/>
          <w:b/>
          <w:sz w:val="24"/>
          <w:szCs w:val="24"/>
        </w:rPr>
        <w:t>条</w:t>
      </w:r>
      <w:r>
        <w:rPr>
          <w:rFonts w:ascii="宋体" w:hAnsi="宋体"/>
          <w:b/>
          <w:sz w:val="24"/>
          <w:szCs w:val="24"/>
        </w:rPr>
        <w:t xml:space="preserve"> </w:t>
      </w:r>
      <w:r>
        <w:rPr>
          <w:rFonts w:hint="eastAsia" w:ascii="宋体" w:hAnsi="宋体"/>
          <w:b/>
          <w:sz w:val="24"/>
          <w:szCs w:val="24"/>
        </w:rPr>
        <w:t>争议解决</w:t>
      </w:r>
      <w:r>
        <w:rPr>
          <w:rFonts w:ascii="宋体" w:hAnsi="宋体"/>
          <w:b/>
          <w:sz w:val="24"/>
          <w:szCs w:val="24"/>
        </w:rPr>
        <w:t xml:space="preserve"> </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20.1 </w:t>
      </w:r>
      <w:r>
        <w:rPr>
          <w:rFonts w:hint="eastAsia" w:ascii="宋体" w:hAnsi="宋体" w:eastAsia="宋体" w:cs="宋体"/>
        </w:rPr>
        <w:t>和解</w:t>
      </w:r>
    </w:p>
    <w:p>
      <w:pPr>
        <w:spacing w:line="360" w:lineRule="auto"/>
        <w:ind w:firstLine="480" w:firstLineChars="200"/>
        <w:rPr>
          <w:sz w:val="24"/>
          <w:szCs w:val="24"/>
        </w:rPr>
      </w:pPr>
      <w:r>
        <w:rPr>
          <w:rFonts w:hint="eastAsia"/>
          <w:sz w:val="24"/>
          <w:szCs w:val="24"/>
        </w:rPr>
        <w:t>合同当事人可以就争议自行和解，自行和解达成协议的经双方签字并盖章后作为合同补充文件，双方均应遵照执行。</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20.2 </w:t>
      </w:r>
      <w:r>
        <w:rPr>
          <w:rFonts w:hint="eastAsia" w:ascii="宋体" w:hAnsi="宋体" w:eastAsia="宋体" w:cs="宋体"/>
        </w:rPr>
        <w:t>调解</w:t>
      </w:r>
      <w:r>
        <w:rPr>
          <w:rFonts w:ascii="宋体" w:hAnsi="宋体" w:eastAsia="宋体" w:cs="宋体"/>
        </w:rPr>
        <w:t xml:space="preserve"> </w:t>
      </w:r>
    </w:p>
    <w:p>
      <w:pPr>
        <w:spacing w:line="360" w:lineRule="auto"/>
        <w:ind w:firstLine="480" w:firstLineChars="200"/>
        <w:rPr>
          <w:sz w:val="24"/>
          <w:szCs w:val="24"/>
        </w:rPr>
      </w:pPr>
      <w:r>
        <w:rPr>
          <w:rFonts w:hint="eastAsia"/>
          <w:sz w:val="24"/>
          <w:szCs w:val="24"/>
        </w:rPr>
        <w:t>合同当事人可以就争议请求建设行政主管部门、行业协会或其他第三方进行调解，调解达成协议的，经双方签字盖章后作为合同补充文件，双方均应遵照执行。</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20.3 </w:t>
      </w:r>
      <w:r>
        <w:rPr>
          <w:rFonts w:hint="eastAsia" w:ascii="宋体" w:hAnsi="宋体" w:eastAsia="宋体" w:cs="宋体"/>
        </w:rPr>
        <w:t>争议评审</w:t>
      </w:r>
    </w:p>
    <w:p>
      <w:pPr>
        <w:spacing w:line="360" w:lineRule="auto"/>
        <w:ind w:firstLine="480" w:firstLineChars="200"/>
        <w:rPr>
          <w:sz w:val="24"/>
          <w:szCs w:val="24"/>
        </w:rPr>
      </w:pPr>
      <w:r>
        <w:rPr>
          <w:rFonts w:hint="eastAsia"/>
          <w:sz w:val="24"/>
          <w:szCs w:val="24"/>
        </w:rPr>
        <w:t>合同当事人在专用合同条件中约定采取争议评审方式及评审规则解决争议的，按下列约定执行：</w:t>
      </w:r>
    </w:p>
    <w:p>
      <w:pPr>
        <w:pStyle w:val="66"/>
        <w:spacing w:afterLines="0"/>
        <w:ind w:left="0" w:firstLine="480" w:firstLineChars="200"/>
        <w:rPr>
          <w:rFonts w:cs="宋体"/>
          <w:szCs w:val="24"/>
        </w:rPr>
      </w:pPr>
      <w:r>
        <w:rPr>
          <w:rFonts w:cs="宋体"/>
          <w:szCs w:val="24"/>
        </w:rPr>
        <w:t xml:space="preserve">20.3.1 </w:t>
      </w:r>
      <w:r>
        <w:rPr>
          <w:rFonts w:hint="eastAsia" w:cs="宋体"/>
          <w:szCs w:val="24"/>
        </w:rPr>
        <w:t>争议评审小组的确定</w:t>
      </w:r>
    </w:p>
    <w:p>
      <w:pPr>
        <w:spacing w:line="360" w:lineRule="auto"/>
        <w:ind w:firstLine="480" w:firstLineChars="200"/>
        <w:rPr>
          <w:sz w:val="24"/>
          <w:szCs w:val="24"/>
        </w:rPr>
      </w:pPr>
      <w:r>
        <w:rPr>
          <w:rFonts w:hint="eastAsia"/>
          <w:sz w:val="24"/>
          <w:szCs w:val="24"/>
        </w:rPr>
        <w:t>合同当事人可以共同选择一名或三名争议评审员，组成争议评审小组。如专用合同条件未对成员人数进行约定，则应由三名成员组成。除专用合同条件另有约定外，合同当事人应当自合同订立后</w:t>
      </w:r>
      <w:r>
        <w:rPr>
          <w:sz w:val="24"/>
          <w:szCs w:val="24"/>
        </w:rPr>
        <w:t>28</w:t>
      </w:r>
      <w:r>
        <w:rPr>
          <w:rFonts w:hint="eastAsia"/>
          <w:sz w:val="24"/>
          <w:szCs w:val="24"/>
        </w:rPr>
        <w:t>天内，或者争议发生后</w:t>
      </w:r>
      <w:r>
        <w:rPr>
          <w:sz w:val="24"/>
          <w:szCs w:val="24"/>
        </w:rPr>
        <w:t>14</w:t>
      </w:r>
      <w:r>
        <w:rPr>
          <w:rFonts w:hint="eastAsia"/>
          <w:sz w:val="24"/>
          <w:szCs w:val="24"/>
        </w:rPr>
        <w:t>天内，选定争议评审员。</w:t>
      </w:r>
    </w:p>
    <w:p>
      <w:pPr>
        <w:spacing w:line="360" w:lineRule="auto"/>
        <w:ind w:firstLine="480" w:firstLineChars="200"/>
        <w:rPr>
          <w:sz w:val="24"/>
          <w:szCs w:val="24"/>
        </w:rPr>
      </w:pPr>
      <w:r>
        <w:rPr>
          <w:rFonts w:hint="eastAsia"/>
          <w:sz w:val="24"/>
          <w:szCs w:val="24"/>
        </w:rPr>
        <w:t>选择一名争议评审员的，由合同当事人共同确定；选择三名争议评审员的，各自选定一名，第三名成员由合同当事人共同确定或由合同当事人委托已选定的争议评审员共同确定，为首席争议评审员。争议评审员为一人且合同当事人未能达成一致的，或争议评审员为三人且合同当事人就首席争议评审员未能达成一致的，由专用合同条件约定的评审机构指定。</w:t>
      </w:r>
    </w:p>
    <w:p>
      <w:pPr>
        <w:spacing w:line="360" w:lineRule="auto"/>
        <w:ind w:firstLine="480" w:firstLineChars="200"/>
        <w:rPr>
          <w:sz w:val="24"/>
          <w:szCs w:val="24"/>
        </w:rPr>
      </w:pPr>
      <w:r>
        <w:rPr>
          <w:rFonts w:hint="eastAsia"/>
          <w:sz w:val="24"/>
          <w:szCs w:val="24"/>
        </w:rPr>
        <w:t>除专用合同条件另有约定外，争议评审员报酬由发包人和承包人各承担一半。</w:t>
      </w:r>
    </w:p>
    <w:p>
      <w:pPr>
        <w:pStyle w:val="66"/>
        <w:spacing w:afterLines="0"/>
        <w:ind w:left="0" w:firstLine="480" w:firstLineChars="200"/>
        <w:rPr>
          <w:rFonts w:cs="宋体"/>
          <w:szCs w:val="24"/>
        </w:rPr>
      </w:pPr>
      <w:r>
        <w:rPr>
          <w:rFonts w:cs="宋体"/>
          <w:szCs w:val="24"/>
        </w:rPr>
        <w:t xml:space="preserve">20.3.2 </w:t>
      </w:r>
      <w:r>
        <w:rPr>
          <w:rFonts w:hint="eastAsia" w:cs="宋体"/>
          <w:szCs w:val="24"/>
        </w:rPr>
        <w:t>争议的避免</w:t>
      </w:r>
    </w:p>
    <w:p>
      <w:pPr>
        <w:spacing w:line="360" w:lineRule="auto"/>
        <w:ind w:firstLine="480" w:firstLineChars="200"/>
        <w:rPr>
          <w:sz w:val="24"/>
          <w:szCs w:val="24"/>
        </w:rPr>
      </w:pPr>
      <w:r>
        <w:rPr>
          <w:rFonts w:hint="eastAsia"/>
          <w:sz w:val="24"/>
          <w:szCs w:val="24"/>
        </w:rPr>
        <w:t>合同当事人协商一致，可以共同书面请求争议评审小组，就合同履行过程中可能出现争议的情况提供协助或进行非正式讨论，争议评审小组应给出公正的意见或建议。</w:t>
      </w:r>
    </w:p>
    <w:p>
      <w:pPr>
        <w:spacing w:line="360" w:lineRule="auto"/>
        <w:ind w:firstLine="480" w:firstLineChars="200"/>
        <w:rPr>
          <w:sz w:val="24"/>
          <w:szCs w:val="24"/>
        </w:rPr>
      </w:pPr>
      <w:r>
        <w:rPr>
          <w:rFonts w:hint="eastAsia"/>
          <w:sz w:val="24"/>
          <w:szCs w:val="24"/>
        </w:rPr>
        <w:t>此类协助或非正式讨论可在任何会议、施工现场视察或其他场合进行，并且除专用合同条件另有约定外，发包人和承包人均应出席。</w:t>
      </w:r>
    </w:p>
    <w:p>
      <w:pPr>
        <w:spacing w:line="360" w:lineRule="auto"/>
        <w:ind w:firstLine="480" w:firstLineChars="200"/>
        <w:rPr>
          <w:sz w:val="24"/>
          <w:szCs w:val="24"/>
        </w:rPr>
      </w:pPr>
      <w:r>
        <w:rPr>
          <w:rFonts w:hint="eastAsia"/>
          <w:sz w:val="24"/>
          <w:szCs w:val="24"/>
        </w:rPr>
        <w:t>争议评审小组在此类非正式讨论上给出的任何意见或建议，无论是口头还是书面的，对发包人和承包人不具有约束力，争议评审小组在之后的争议评审程序或决定中也不受此类意见或建议的约束。</w:t>
      </w:r>
    </w:p>
    <w:p>
      <w:pPr>
        <w:pStyle w:val="66"/>
        <w:spacing w:afterLines="0"/>
        <w:ind w:left="0" w:firstLine="480" w:firstLineChars="200"/>
        <w:rPr>
          <w:rFonts w:cs="宋体"/>
          <w:szCs w:val="24"/>
        </w:rPr>
      </w:pPr>
      <w:r>
        <w:rPr>
          <w:rFonts w:cs="宋体"/>
          <w:szCs w:val="24"/>
        </w:rPr>
        <w:t xml:space="preserve">20.3.3 </w:t>
      </w:r>
      <w:r>
        <w:rPr>
          <w:rFonts w:hint="eastAsia" w:cs="宋体"/>
          <w:szCs w:val="24"/>
        </w:rPr>
        <w:t>争议评审小组的决定</w:t>
      </w:r>
    </w:p>
    <w:p>
      <w:pPr>
        <w:spacing w:line="360" w:lineRule="auto"/>
        <w:ind w:firstLine="480" w:firstLineChars="200"/>
        <w:rPr>
          <w:sz w:val="24"/>
          <w:szCs w:val="24"/>
        </w:rPr>
      </w:pPr>
      <w:r>
        <w:rPr>
          <w:rFonts w:hint="eastAsia"/>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sz w:val="24"/>
          <w:szCs w:val="24"/>
        </w:rPr>
        <w:t>14</w:t>
      </w:r>
      <w:r>
        <w:rPr>
          <w:rFonts w:hint="eastAsia"/>
          <w:sz w:val="24"/>
          <w:szCs w:val="24"/>
        </w:rPr>
        <w:t>天或争议评审小组建议并经双方同意的其他期限内作出书面决定，并说明理由。合同当事人可以在专用合同条件中对本项事项另行约定。</w:t>
      </w:r>
    </w:p>
    <w:p>
      <w:pPr>
        <w:pStyle w:val="66"/>
        <w:spacing w:afterLines="0"/>
        <w:ind w:left="0" w:firstLine="480" w:firstLineChars="200"/>
        <w:rPr>
          <w:rFonts w:cs="宋体"/>
          <w:szCs w:val="24"/>
        </w:rPr>
      </w:pPr>
      <w:r>
        <w:rPr>
          <w:rFonts w:cs="宋体"/>
          <w:szCs w:val="24"/>
        </w:rPr>
        <w:t xml:space="preserve">20.3.4 </w:t>
      </w:r>
      <w:r>
        <w:rPr>
          <w:rFonts w:hint="eastAsia" w:cs="宋体"/>
          <w:szCs w:val="24"/>
        </w:rPr>
        <w:t>争议评审小组决定的效力</w:t>
      </w:r>
    </w:p>
    <w:p>
      <w:pPr>
        <w:spacing w:line="360" w:lineRule="auto"/>
        <w:ind w:firstLine="480" w:firstLineChars="200"/>
        <w:rPr>
          <w:sz w:val="24"/>
          <w:szCs w:val="24"/>
        </w:rPr>
      </w:pPr>
      <w:r>
        <w:rPr>
          <w:rFonts w:hint="eastAsia"/>
          <w:sz w:val="24"/>
          <w:szCs w:val="24"/>
        </w:rPr>
        <w:t>争议评审小组作出的书面决定经合同当事人签字确认后，对双方具有约束力，双方应遵照执行。</w:t>
      </w:r>
    </w:p>
    <w:p>
      <w:pPr>
        <w:spacing w:line="360" w:lineRule="auto"/>
        <w:ind w:firstLine="480" w:firstLineChars="200"/>
        <w:rPr>
          <w:sz w:val="24"/>
          <w:szCs w:val="24"/>
        </w:rPr>
      </w:pPr>
      <w:r>
        <w:rPr>
          <w:rFonts w:hint="eastAsia"/>
          <w:sz w:val="24"/>
          <w:szCs w:val="24"/>
        </w:rPr>
        <w:t>任何一方当事人不接受争议评审小组决定或不履行争议评审小组决定的，双方可选择采用其他争议解决方式。</w:t>
      </w:r>
    </w:p>
    <w:p>
      <w:pPr>
        <w:spacing w:line="360" w:lineRule="auto"/>
        <w:ind w:firstLine="480" w:firstLineChars="200"/>
        <w:rPr>
          <w:sz w:val="24"/>
          <w:szCs w:val="24"/>
        </w:rPr>
      </w:pPr>
      <w:r>
        <w:rPr>
          <w:rFonts w:hint="eastAsia"/>
          <w:sz w:val="24"/>
          <w:szCs w:val="24"/>
        </w:rPr>
        <w:t>任何一方当事人不接受争议评审小组的决定，并不影响暂时执行争议评审小组的决定，直到在后续的采用其他争议解决方式中对争议评审小组的决定进行了改变。</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20.4 </w:t>
      </w:r>
      <w:r>
        <w:rPr>
          <w:rFonts w:hint="eastAsia" w:ascii="宋体" w:hAnsi="宋体" w:eastAsia="宋体" w:cs="宋体"/>
        </w:rPr>
        <w:t>仲裁或诉讼</w:t>
      </w:r>
    </w:p>
    <w:p>
      <w:pPr>
        <w:spacing w:line="360" w:lineRule="auto"/>
        <w:ind w:firstLine="480" w:firstLineChars="200"/>
        <w:rPr>
          <w:sz w:val="24"/>
          <w:szCs w:val="24"/>
        </w:rPr>
      </w:pPr>
      <w:r>
        <w:rPr>
          <w:rFonts w:hint="eastAsia"/>
          <w:sz w:val="24"/>
          <w:szCs w:val="24"/>
        </w:rPr>
        <w:t>因合同及合同有关事项产生的争议，合同当事人可以在专用合同条件中约定以下一种方式解决争议：</w:t>
      </w:r>
    </w:p>
    <w:p>
      <w:pPr>
        <w:pStyle w:val="68"/>
        <w:spacing w:line="360" w:lineRule="auto"/>
        <w:ind w:left="0" w:firstLine="480" w:firstLineChars="200"/>
        <w:rPr>
          <w:sz w:val="24"/>
          <w:szCs w:val="24"/>
        </w:rPr>
      </w:pPr>
      <w:r>
        <w:rPr>
          <w:rFonts w:hint="eastAsia"/>
          <w:sz w:val="24"/>
          <w:szCs w:val="24"/>
        </w:rPr>
        <w:t>（</w:t>
      </w:r>
      <w:r>
        <w:rPr>
          <w:sz w:val="24"/>
          <w:szCs w:val="24"/>
        </w:rPr>
        <w:t>1</w:t>
      </w:r>
      <w:r>
        <w:rPr>
          <w:rFonts w:hint="eastAsia"/>
          <w:sz w:val="24"/>
          <w:szCs w:val="24"/>
        </w:rPr>
        <w:t>）</w:t>
      </w:r>
      <w:r>
        <w:rPr>
          <w:sz w:val="24"/>
          <w:szCs w:val="24"/>
        </w:rPr>
        <w:t xml:space="preserve"> </w:t>
      </w:r>
      <w:r>
        <w:rPr>
          <w:rFonts w:hint="eastAsia"/>
          <w:sz w:val="24"/>
          <w:szCs w:val="24"/>
        </w:rPr>
        <w:t>向约定的仲裁委员会申请仲裁；</w:t>
      </w:r>
    </w:p>
    <w:p>
      <w:pPr>
        <w:pStyle w:val="68"/>
        <w:spacing w:line="360" w:lineRule="auto"/>
        <w:ind w:left="0" w:firstLine="480" w:firstLineChars="200"/>
        <w:rPr>
          <w:sz w:val="24"/>
          <w:szCs w:val="24"/>
        </w:rPr>
      </w:pPr>
      <w:r>
        <w:rPr>
          <w:rFonts w:hint="eastAsia"/>
          <w:sz w:val="24"/>
          <w:szCs w:val="24"/>
        </w:rPr>
        <w:t>（</w:t>
      </w:r>
      <w:r>
        <w:rPr>
          <w:sz w:val="24"/>
          <w:szCs w:val="24"/>
        </w:rPr>
        <w:t>2</w:t>
      </w:r>
      <w:r>
        <w:rPr>
          <w:rFonts w:hint="eastAsia"/>
          <w:sz w:val="24"/>
          <w:szCs w:val="24"/>
        </w:rPr>
        <w:t>）</w:t>
      </w:r>
      <w:r>
        <w:rPr>
          <w:sz w:val="24"/>
          <w:szCs w:val="24"/>
        </w:rPr>
        <w:t xml:space="preserve"> </w:t>
      </w:r>
      <w:r>
        <w:rPr>
          <w:rFonts w:hint="eastAsia"/>
          <w:sz w:val="24"/>
          <w:szCs w:val="24"/>
        </w:rPr>
        <w:t>向有管辖权的人民法院起诉。</w:t>
      </w:r>
    </w:p>
    <w:p>
      <w:pPr>
        <w:pStyle w:val="65"/>
        <w:widowControl/>
        <w:spacing w:afterLines="0"/>
        <w:ind w:left="0" w:firstLine="482" w:firstLineChars="200"/>
        <w:rPr>
          <w:rFonts w:ascii="宋体" w:hAnsi="宋体" w:eastAsia="宋体" w:cs="宋体"/>
        </w:rPr>
      </w:pPr>
      <w:r>
        <w:rPr>
          <w:rFonts w:ascii="宋体" w:hAnsi="宋体" w:eastAsia="宋体" w:cs="宋体"/>
        </w:rPr>
        <w:t xml:space="preserve">20.5 </w:t>
      </w:r>
      <w:r>
        <w:rPr>
          <w:rFonts w:hint="eastAsia" w:ascii="宋体" w:hAnsi="宋体" w:eastAsia="宋体" w:cs="宋体"/>
        </w:rPr>
        <w:t>争议解决条款效力</w:t>
      </w:r>
    </w:p>
    <w:p>
      <w:pPr>
        <w:spacing w:line="360" w:lineRule="auto"/>
        <w:ind w:firstLine="480" w:firstLineChars="200"/>
        <w:jc w:val="both"/>
        <w:rPr>
          <w:sz w:val="24"/>
          <w:szCs w:val="24"/>
        </w:rPr>
      </w:pPr>
      <w:r>
        <w:rPr>
          <w:rFonts w:hint="eastAsia"/>
          <w:sz w:val="24"/>
          <w:szCs w:val="24"/>
        </w:rPr>
        <w:t>合同有关争议解决的条款独立存在，合同的不生效、无效、被撤销或者终止的，不影响合同中有关争议解决条款的效力。</w:t>
      </w:r>
    </w:p>
    <w:p>
      <w:pPr>
        <w:spacing w:line="360" w:lineRule="auto"/>
        <w:jc w:val="both"/>
        <w:rPr>
          <w:sz w:val="30"/>
        </w:rPr>
        <w:sectPr>
          <w:footerReference r:id="rId18" w:type="default"/>
          <w:pgSz w:w="11910" w:h="16840"/>
          <w:pgMar w:top="1580" w:right="620" w:bottom="1740" w:left="1220" w:header="0" w:footer="1545" w:gutter="0"/>
          <w:cols w:space="720" w:num="1"/>
        </w:sectPr>
      </w:pPr>
    </w:p>
    <w:p>
      <w:pPr>
        <w:spacing w:before="58" w:line="360" w:lineRule="auto"/>
        <w:ind w:left="135" w:right="12944"/>
        <w:jc w:val="center"/>
        <w:rPr>
          <w:sz w:val="30"/>
        </w:rPr>
      </w:pPr>
      <w:bookmarkStart w:id="792" w:name="_bookmark8"/>
      <w:bookmarkEnd w:id="792"/>
      <w:r>
        <w:rPr>
          <w:rFonts w:hint="eastAsia"/>
          <w:sz w:val="30"/>
        </w:rPr>
        <w:t>附件</w:t>
      </w:r>
      <w:r>
        <w:rPr>
          <w:sz w:val="30"/>
        </w:rPr>
        <w:t xml:space="preserve"> 1</w:t>
      </w:r>
      <w:r>
        <w:rPr>
          <w:rFonts w:hint="eastAsia"/>
          <w:sz w:val="30"/>
        </w:rPr>
        <w:t>：</w:t>
      </w:r>
    </w:p>
    <w:p>
      <w:pPr>
        <w:spacing w:before="122" w:line="360" w:lineRule="auto"/>
        <w:ind w:left="135" w:right="290"/>
        <w:jc w:val="center"/>
        <w:rPr>
          <w:sz w:val="30"/>
        </w:rPr>
      </w:pPr>
      <w:r>
        <w:rPr>
          <w:rFonts w:hint="eastAsia"/>
          <w:sz w:val="30"/>
        </w:rPr>
        <w:t>承包人承揽工程项目一览表</w:t>
      </w:r>
    </w:p>
    <w:p>
      <w:pPr>
        <w:pStyle w:val="18"/>
        <w:spacing w:before="7" w:line="360" w:lineRule="auto"/>
        <w:rPr>
          <w:sz w:val="15"/>
        </w:rPr>
      </w:pPr>
    </w:p>
    <w:tbl>
      <w:tblPr>
        <w:tblStyle w:val="36"/>
        <w:tblW w:w="0" w:type="auto"/>
        <w:tblInd w:w="21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419"/>
        <w:gridCol w:w="1702"/>
        <w:gridCol w:w="4962"/>
        <w:gridCol w:w="2127"/>
        <w:gridCol w:w="1843"/>
        <w:gridCol w:w="170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0" w:hRule="atLeast"/>
        </w:trPr>
        <w:tc>
          <w:tcPr>
            <w:tcW w:w="1419" w:type="dxa"/>
            <w:tcBorders>
              <w:bottom w:val="single" w:color="000000" w:sz="4" w:space="0"/>
              <w:right w:val="single" w:color="000000" w:sz="4" w:space="0"/>
            </w:tcBorders>
          </w:tcPr>
          <w:p>
            <w:pPr>
              <w:pStyle w:val="59"/>
              <w:tabs>
                <w:tab w:val="left" w:pos="930"/>
              </w:tabs>
              <w:spacing w:before="2" w:line="360" w:lineRule="auto"/>
              <w:ind w:left="91" w:right="29"/>
              <w:jc w:val="center"/>
              <w:rPr>
                <w:sz w:val="28"/>
              </w:rPr>
            </w:pPr>
            <w:r>
              <w:rPr>
                <w:rFonts w:hint="eastAsia"/>
                <w:spacing w:val="38"/>
                <w:sz w:val="28"/>
              </w:rPr>
              <w:t>单位工</w:t>
            </w:r>
            <w:r>
              <w:rPr>
                <w:rFonts w:hint="eastAsia"/>
                <w:spacing w:val="21"/>
                <w:sz w:val="28"/>
              </w:rPr>
              <w:t>程</w:t>
            </w:r>
            <w:r>
              <w:rPr>
                <w:rFonts w:hint="eastAsia"/>
                <w:sz w:val="28"/>
              </w:rPr>
              <w:t>名</w:t>
            </w:r>
            <w:r>
              <w:rPr>
                <w:sz w:val="28"/>
              </w:rPr>
              <w:tab/>
            </w:r>
            <w:r>
              <w:rPr>
                <w:rFonts w:hint="eastAsia"/>
                <w:sz w:val="28"/>
              </w:rPr>
              <w:t>称</w:t>
            </w:r>
          </w:p>
        </w:tc>
        <w:tc>
          <w:tcPr>
            <w:tcW w:w="1702" w:type="dxa"/>
            <w:tcBorders>
              <w:left w:val="single" w:color="000000" w:sz="4" w:space="0"/>
              <w:bottom w:val="single" w:color="000000" w:sz="4" w:space="0"/>
              <w:right w:val="single" w:color="000000" w:sz="4" w:space="0"/>
            </w:tcBorders>
          </w:tcPr>
          <w:p>
            <w:pPr>
              <w:pStyle w:val="59"/>
              <w:spacing w:before="11" w:line="360" w:lineRule="auto"/>
              <w:jc w:val="center"/>
            </w:pPr>
          </w:p>
          <w:p>
            <w:pPr>
              <w:pStyle w:val="59"/>
              <w:spacing w:line="360" w:lineRule="auto"/>
              <w:ind w:left="100"/>
              <w:jc w:val="center"/>
              <w:rPr>
                <w:sz w:val="28"/>
              </w:rPr>
            </w:pPr>
            <w:r>
              <w:rPr>
                <w:rFonts w:hint="eastAsia"/>
                <w:sz w:val="28"/>
              </w:rPr>
              <w:t>建设规模</w:t>
            </w:r>
          </w:p>
        </w:tc>
        <w:tc>
          <w:tcPr>
            <w:tcW w:w="4962" w:type="dxa"/>
            <w:tcBorders>
              <w:left w:val="single" w:color="000000" w:sz="4" w:space="0"/>
              <w:bottom w:val="single" w:color="000000" w:sz="4" w:space="0"/>
              <w:right w:val="single" w:color="000000" w:sz="4" w:space="0"/>
            </w:tcBorders>
          </w:tcPr>
          <w:p>
            <w:pPr>
              <w:pStyle w:val="59"/>
              <w:spacing w:before="11" w:line="360" w:lineRule="auto"/>
              <w:jc w:val="center"/>
            </w:pPr>
          </w:p>
          <w:p>
            <w:pPr>
              <w:pStyle w:val="59"/>
              <w:spacing w:line="360" w:lineRule="auto"/>
              <w:ind w:left="100"/>
              <w:jc w:val="center"/>
              <w:rPr>
                <w:sz w:val="28"/>
              </w:rPr>
            </w:pPr>
            <w:r>
              <w:rPr>
                <w:rFonts w:hint="eastAsia"/>
                <w:sz w:val="28"/>
              </w:rPr>
              <w:t>主要内容</w:t>
            </w:r>
          </w:p>
        </w:tc>
        <w:tc>
          <w:tcPr>
            <w:tcW w:w="2127" w:type="dxa"/>
            <w:tcBorders>
              <w:left w:val="single" w:color="000000" w:sz="4" w:space="0"/>
              <w:bottom w:val="single" w:color="000000" w:sz="4" w:space="0"/>
              <w:right w:val="single" w:color="000000" w:sz="4" w:space="0"/>
            </w:tcBorders>
          </w:tcPr>
          <w:p>
            <w:pPr>
              <w:pStyle w:val="59"/>
              <w:spacing w:before="11" w:line="360" w:lineRule="auto"/>
              <w:jc w:val="center"/>
            </w:pPr>
          </w:p>
          <w:p>
            <w:pPr>
              <w:pStyle w:val="59"/>
              <w:spacing w:line="360" w:lineRule="auto"/>
              <w:ind w:left="99"/>
              <w:jc w:val="center"/>
              <w:rPr>
                <w:sz w:val="28"/>
              </w:rPr>
            </w:pPr>
            <w:r>
              <w:rPr>
                <w:rFonts w:hint="eastAsia"/>
                <w:sz w:val="28"/>
              </w:rPr>
              <w:t>合同价格（元）</w:t>
            </w:r>
          </w:p>
        </w:tc>
        <w:tc>
          <w:tcPr>
            <w:tcW w:w="1843" w:type="dxa"/>
            <w:tcBorders>
              <w:left w:val="single" w:color="000000" w:sz="4" w:space="0"/>
              <w:bottom w:val="single" w:color="000000" w:sz="4" w:space="0"/>
              <w:right w:val="single" w:color="000000" w:sz="4" w:space="0"/>
            </w:tcBorders>
          </w:tcPr>
          <w:p>
            <w:pPr>
              <w:pStyle w:val="59"/>
              <w:spacing w:before="11" w:line="360" w:lineRule="auto"/>
              <w:jc w:val="center"/>
            </w:pPr>
          </w:p>
          <w:p>
            <w:pPr>
              <w:pStyle w:val="59"/>
              <w:spacing w:line="360" w:lineRule="auto"/>
              <w:ind w:left="97"/>
              <w:jc w:val="center"/>
              <w:rPr>
                <w:sz w:val="28"/>
              </w:rPr>
            </w:pPr>
            <w:r>
              <w:rPr>
                <w:rFonts w:hint="eastAsia"/>
                <w:sz w:val="28"/>
              </w:rPr>
              <w:t>开工日期</w:t>
            </w:r>
          </w:p>
        </w:tc>
        <w:tc>
          <w:tcPr>
            <w:tcW w:w="1702" w:type="dxa"/>
            <w:tcBorders>
              <w:left w:val="single" w:color="000000" w:sz="4" w:space="0"/>
              <w:bottom w:val="single" w:color="000000" w:sz="4" w:space="0"/>
            </w:tcBorders>
          </w:tcPr>
          <w:p>
            <w:pPr>
              <w:pStyle w:val="59"/>
              <w:spacing w:before="11" w:line="360" w:lineRule="auto"/>
              <w:jc w:val="center"/>
            </w:pPr>
          </w:p>
          <w:p>
            <w:pPr>
              <w:pStyle w:val="59"/>
              <w:spacing w:line="360" w:lineRule="auto"/>
              <w:ind w:left="97"/>
              <w:jc w:val="center"/>
              <w:rPr>
                <w:sz w:val="28"/>
              </w:rPr>
            </w:pPr>
            <w:r>
              <w:rPr>
                <w:rFonts w:hint="eastAsia"/>
                <w:sz w:val="28"/>
              </w:rPr>
              <w:t>竣工日期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1419" w:type="dxa"/>
            <w:tcBorders>
              <w:top w:val="single" w:color="000000" w:sz="4" w:space="0"/>
              <w:bottom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96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212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84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419" w:type="dxa"/>
            <w:tcBorders>
              <w:top w:val="single" w:color="000000" w:sz="4" w:space="0"/>
              <w:bottom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96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212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84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419" w:type="dxa"/>
            <w:tcBorders>
              <w:top w:val="single" w:color="000000" w:sz="4" w:space="0"/>
              <w:bottom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96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212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84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419" w:type="dxa"/>
            <w:tcBorders>
              <w:top w:val="single" w:color="000000" w:sz="4" w:space="0"/>
              <w:bottom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96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212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84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419" w:type="dxa"/>
            <w:tcBorders>
              <w:top w:val="single" w:color="000000" w:sz="4" w:space="0"/>
              <w:bottom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96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212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84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419" w:type="dxa"/>
            <w:tcBorders>
              <w:top w:val="single" w:color="000000" w:sz="4" w:space="0"/>
              <w:bottom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96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212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84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419" w:type="dxa"/>
            <w:tcBorders>
              <w:top w:val="single" w:color="000000" w:sz="4" w:space="0"/>
              <w:bottom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96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212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84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419" w:type="dxa"/>
            <w:tcBorders>
              <w:top w:val="single" w:color="000000" w:sz="4" w:space="0"/>
              <w:bottom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96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212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84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419" w:type="dxa"/>
            <w:tcBorders>
              <w:top w:val="single" w:color="000000" w:sz="4" w:space="0"/>
              <w:bottom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96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212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84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419" w:type="dxa"/>
            <w:tcBorders>
              <w:top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right w:val="single" w:color="000000" w:sz="4" w:space="0"/>
            </w:tcBorders>
          </w:tcPr>
          <w:p>
            <w:pPr>
              <w:pStyle w:val="59"/>
              <w:spacing w:line="360" w:lineRule="auto"/>
              <w:rPr>
                <w:sz w:val="28"/>
              </w:rPr>
            </w:pPr>
          </w:p>
        </w:tc>
        <w:tc>
          <w:tcPr>
            <w:tcW w:w="4962" w:type="dxa"/>
            <w:tcBorders>
              <w:top w:val="single" w:color="000000" w:sz="4" w:space="0"/>
              <w:left w:val="single" w:color="000000" w:sz="4" w:space="0"/>
              <w:right w:val="single" w:color="000000" w:sz="4" w:space="0"/>
            </w:tcBorders>
          </w:tcPr>
          <w:p>
            <w:pPr>
              <w:pStyle w:val="59"/>
              <w:spacing w:line="360" w:lineRule="auto"/>
              <w:rPr>
                <w:sz w:val="28"/>
              </w:rPr>
            </w:pPr>
          </w:p>
        </w:tc>
        <w:tc>
          <w:tcPr>
            <w:tcW w:w="2127" w:type="dxa"/>
            <w:tcBorders>
              <w:top w:val="single" w:color="000000" w:sz="4" w:space="0"/>
              <w:left w:val="single" w:color="000000" w:sz="4" w:space="0"/>
              <w:right w:val="single" w:color="000000" w:sz="4" w:space="0"/>
            </w:tcBorders>
          </w:tcPr>
          <w:p>
            <w:pPr>
              <w:pStyle w:val="59"/>
              <w:spacing w:line="360" w:lineRule="auto"/>
              <w:rPr>
                <w:sz w:val="28"/>
              </w:rPr>
            </w:pPr>
          </w:p>
        </w:tc>
        <w:tc>
          <w:tcPr>
            <w:tcW w:w="1843" w:type="dxa"/>
            <w:tcBorders>
              <w:top w:val="single" w:color="000000" w:sz="4" w:space="0"/>
              <w:left w:val="single" w:color="000000" w:sz="4" w:space="0"/>
              <w:right w:val="single" w:color="000000" w:sz="4" w:space="0"/>
            </w:tcBorders>
          </w:tcPr>
          <w:p>
            <w:pPr>
              <w:pStyle w:val="59"/>
              <w:spacing w:line="360" w:lineRule="auto"/>
              <w:rPr>
                <w:sz w:val="28"/>
              </w:rPr>
            </w:pPr>
          </w:p>
        </w:tc>
        <w:tc>
          <w:tcPr>
            <w:tcW w:w="1702" w:type="dxa"/>
            <w:tcBorders>
              <w:top w:val="single" w:color="000000" w:sz="4" w:space="0"/>
              <w:left w:val="single" w:color="000000" w:sz="4" w:space="0"/>
            </w:tcBorders>
          </w:tcPr>
          <w:p>
            <w:pPr>
              <w:pStyle w:val="59"/>
              <w:spacing w:line="360" w:lineRule="auto"/>
              <w:rPr>
                <w:sz w:val="28"/>
              </w:rPr>
            </w:pPr>
          </w:p>
        </w:tc>
      </w:tr>
    </w:tbl>
    <w:p>
      <w:pPr>
        <w:spacing w:line="360" w:lineRule="auto"/>
        <w:rPr>
          <w:sz w:val="28"/>
        </w:rPr>
        <w:sectPr>
          <w:footerReference r:id="rId19" w:type="default"/>
          <w:pgSz w:w="16840" w:h="11910" w:orient="landscape"/>
          <w:pgMar w:top="1100" w:right="1180" w:bottom="1180" w:left="1340" w:header="0" w:footer="997" w:gutter="0"/>
          <w:cols w:space="720" w:num="1"/>
        </w:sectPr>
      </w:pPr>
    </w:p>
    <w:p>
      <w:pPr>
        <w:spacing w:before="58" w:line="360" w:lineRule="auto"/>
        <w:ind w:left="135" w:right="12944"/>
        <w:jc w:val="center"/>
        <w:rPr>
          <w:sz w:val="30"/>
        </w:rPr>
      </w:pPr>
      <w:bookmarkStart w:id="793" w:name="_bookmark9"/>
      <w:bookmarkEnd w:id="793"/>
      <w:r>
        <w:rPr>
          <w:rFonts w:hint="eastAsia"/>
          <w:sz w:val="30"/>
        </w:rPr>
        <w:t>附件</w:t>
      </w:r>
      <w:r>
        <w:rPr>
          <w:sz w:val="30"/>
        </w:rPr>
        <w:t xml:space="preserve"> 2</w:t>
      </w:r>
      <w:r>
        <w:rPr>
          <w:rFonts w:hint="eastAsia"/>
          <w:sz w:val="30"/>
        </w:rPr>
        <w:t>：</w:t>
      </w:r>
    </w:p>
    <w:p>
      <w:pPr>
        <w:spacing w:before="122" w:line="360" w:lineRule="auto"/>
        <w:ind w:left="135" w:right="293"/>
        <w:jc w:val="center"/>
        <w:rPr>
          <w:sz w:val="30"/>
        </w:rPr>
      </w:pPr>
      <w:r>
        <w:rPr>
          <w:rFonts w:hint="eastAsia"/>
          <w:sz w:val="30"/>
        </w:rPr>
        <w:t>现状树木一览表</w:t>
      </w:r>
    </w:p>
    <w:p>
      <w:pPr>
        <w:pStyle w:val="18"/>
        <w:spacing w:before="3" w:line="360" w:lineRule="auto"/>
        <w:rPr>
          <w:sz w:val="17"/>
        </w:rPr>
      </w:pPr>
    </w:p>
    <w:tbl>
      <w:tblPr>
        <w:tblStyle w:val="36"/>
        <w:tblW w:w="0" w:type="auto"/>
        <w:tblInd w:w="13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44"/>
        <w:gridCol w:w="1608"/>
        <w:gridCol w:w="1059"/>
        <w:gridCol w:w="1222"/>
        <w:gridCol w:w="3603"/>
        <w:gridCol w:w="1990"/>
        <w:gridCol w:w="2198"/>
        <w:gridCol w:w="103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4" w:hRule="atLeast"/>
        </w:trPr>
        <w:tc>
          <w:tcPr>
            <w:tcW w:w="1344" w:type="dxa"/>
            <w:tcBorders>
              <w:bottom w:val="single" w:color="000000" w:sz="4" w:space="0"/>
              <w:right w:val="single" w:color="000000" w:sz="4" w:space="0"/>
            </w:tcBorders>
          </w:tcPr>
          <w:p>
            <w:pPr>
              <w:pStyle w:val="59"/>
              <w:spacing w:before="7" w:line="360" w:lineRule="auto"/>
              <w:jc w:val="center"/>
              <w:rPr>
                <w:sz w:val="21"/>
              </w:rPr>
            </w:pPr>
          </w:p>
          <w:p>
            <w:pPr>
              <w:pStyle w:val="59"/>
              <w:spacing w:line="360" w:lineRule="auto"/>
              <w:ind w:left="90"/>
              <w:jc w:val="center"/>
              <w:rPr>
                <w:sz w:val="28"/>
              </w:rPr>
            </w:pPr>
            <w:r>
              <w:rPr>
                <w:rFonts w:hint="eastAsia"/>
                <w:sz w:val="28"/>
              </w:rPr>
              <w:t>树木名称</w:t>
            </w:r>
          </w:p>
        </w:tc>
        <w:tc>
          <w:tcPr>
            <w:tcW w:w="1608" w:type="dxa"/>
            <w:tcBorders>
              <w:left w:val="single" w:color="000000" w:sz="4" w:space="0"/>
              <w:bottom w:val="single" w:color="000000" w:sz="4" w:space="0"/>
              <w:right w:val="single" w:color="000000" w:sz="4" w:space="0"/>
            </w:tcBorders>
          </w:tcPr>
          <w:p>
            <w:pPr>
              <w:pStyle w:val="59"/>
              <w:spacing w:before="7" w:line="360" w:lineRule="auto"/>
              <w:jc w:val="center"/>
              <w:rPr>
                <w:sz w:val="21"/>
              </w:rPr>
            </w:pPr>
          </w:p>
          <w:p>
            <w:pPr>
              <w:pStyle w:val="59"/>
              <w:spacing w:line="360" w:lineRule="auto"/>
              <w:ind w:left="98"/>
              <w:jc w:val="center"/>
              <w:rPr>
                <w:sz w:val="28"/>
              </w:rPr>
            </w:pPr>
            <w:r>
              <w:rPr>
                <w:rFonts w:hint="eastAsia"/>
                <w:sz w:val="28"/>
              </w:rPr>
              <w:t>规格</w:t>
            </w:r>
          </w:p>
        </w:tc>
        <w:tc>
          <w:tcPr>
            <w:tcW w:w="1059" w:type="dxa"/>
            <w:tcBorders>
              <w:left w:val="single" w:color="000000" w:sz="4" w:space="0"/>
              <w:bottom w:val="single" w:color="000000" w:sz="4" w:space="0"/>
              <w:right w:val="single" w:color="000000" w:sz="4" w:space="0"/>
            </w:tcBorders>
          </w:tcPr>
          <w:p>
            <w:pPr>
              <w:pStyle w:val="59"/>
              <w:spacing w:before="7" w:line="360" w:lineRule="auto"/>
              <w:jc w:val="center"/>
              <w:rPr>
                <w:sz w:val="21"/>
              </w:rPr>
            </w:pPr>
          </w:p>
          <w:p>
            <w:pPr>
              <w:pStyle w:val="59"/>
              <w:spacing w:line="360" w:lineRule="auto"/>
              <w:ind w:left="101"/>
              <w:jc w:val="center"/>
              <w:rPr>
                <w:sz w:val="28"/>
              </w:rPr>
            </w:pPr>
            <w:r>
              <w:rPr>
                <w:rFonts w:hint="eastAsia"/>
                <w:sz w:val="28"/>
              </w:rPr>
              <w:t>数量</w:t>
            </w:r>
          </w:p>
        </w:tc>
        <w:tc>
          <w:tcPr>
            <w:tcW w:w="1222" w:type="dxa"/>
            <w:tcBorders>
              <w:left w:val="single" w:color="000000" w:sz="4" w:space="0"/>
              <w:bottom w:val="single" w:color="000000" w:sz="4" w:space="0"/>
              <w:right w:val="single" w:color="000000" w:sz="4" w:space="0"/>
            </w:tcBorders>
          </w:tcPr>
          <w:p>
            <w:pPr>
              <w:pStyle w:val="59"/>
              <w:spacing w:before="7" w:line="360" w:lineRule="auto"/>
              <w:jc w:val="center"/>
              <w:rPr>
                <w:sz w:val="21"/>
              </w:rPr>
            </w:pPr>
          </w:p>
          <w:p>
            <w:pPr>
              <w:pStyle w:val="59"/>
              <w:spacing w:line="360" w:lineRule="auto"/>
              <w:ind w:left="101"/>
              <w:jc w:val="center"/>
              <w:rPr>
                <w:sz w:val="28"/>
              </w:rPr>
            </w:pPr>
            <w:r>
              <w:rPr>
                <w:rFonts w:hint="eastAsia"/>
                <w:sz w:val="28"/>
              </w:rPr>
              <w:t>单位</w:t>
            </w:r>
          </w:p>
        </w:tc>
        <w:tc>
          <w:tcPr>
            <w:tcW w:w="3603" w:type="dxa"/>
            <w:tcBorders>
              <w:left w:val="single" w:color="000000" w:sz="4" w:space="0"/>
              <w:bottom w:val="single" w:color="000000" w:sz="4" w:space="0"/>
              <w:right w:val="single" w:color="000000" w:sz="4" w:space="0"/>
            </w:tcBorders>
          </w:tcPr>
          <w:p>
            <w:pPr>
              <w:pStyle w:val="59"/>
              <w:spacing w:before="7" w:line="360" w:lineRule="auto"/>
              <w:jc w:val="center"/>
              <w:rPr>
                <w:sz w:val="21"/>
              </w:rPr>
            </w:pPr>
          </w:p>
          <w:p>
            <w:pPr>
              <w:pStyle w:val="59"/>
              <w:spacing w:line="360" w:lineRule="auto"/>
              <w:ind w:left="98"/>
              <w:jc w:val="center"/>
              <w:rPr>
                <w:sz w:val="28"/>
              </w:rPr>
            </w:pPr>
            <w:r>
              <w:rPr>
                <w:rFonts w:hint="eastAsia"/>
                <w:sz w:val="28"/>
              </w:rPr>
              <w:t>生长情况</w:t>
            </w:r>
          </w:p>
        </w:tc>
        <w:tc>
          <w:tcPr>
            <w:tcW w:w="1990" w:type="dxa"/>
            <w:tcBorders>
              <w:left w:val="single" w:color="000000" w:sz="4" w:space="0"/>
              <w:bottom w:val="single" w:color="000000" w:sz="4" w:space="0"/>
              <w:right w:val="single" w:color="000000" w:sz="4" w:space="0"/>
            </w:tcBorders>
          </w:tcPr>
          <w:p>
            <w:pPr>
              <w:pStyle w:val="59"/>
              <w:spacing w:before="7" w:line="360" w:lineRule="auto"/>
              <w:jc w:val="center"/>
              <w:rPr>
                <w:sz w:val="21"/>
              </w:rPr>
            </w:pPr>
          </w:p>
          <w:p>
            <w:pPr>
              <w:pStyle w:val="59"/>
              <w:spacing w:line="360" w:lineRule="auto"/>
              <w:ind w:left="100"/>
              <w:jc w:val="center"/>
              <w:rPr>
                <w:sz w:val="28"/>
              </w:rPr>
            </w:pPr>
            <w:r>
              <w:rPr>
                <w:rFonts w:hint="eastAsia"/>
                <w:sz w:val="28"/>
              </w:rPr>
              <w:t>是否古树名木</w:t>
            </w:r>
          </w:p>
        </w:tc>
        <w:tc>
          <w:tcPr>
            <w:tcW w:w="2198" w:type="dxa"/>
            <w:tcBorders>
              <w:left w:val="single" w:color="000000" w:sz="4" w:space="0"/>
              <w:bottom w:val="single" w:color="000000" w:sz="4" w:space="0"/>
              <w:right w:val="single" w:color="000000" w:sz="4" w:space="0"/>
            </w:tcBorders>
          </w:tcPr>
          <w:p>
            <w:pPr>
              <w:pStyle w:val="59"/>
              <w:spacing w:before="7" w:line="360" w:lineRule="auto"/>
              <w:jc w:val="center"/>
              <w:rPr>
                <w:sz w:val="21"/>
              </w:rPr>
            </w:pPr>
          </w:p>
          <w:p>
            <w:pPr>
              <w:pStyle w:val="59"/>
              <w:spacing w:line="360" w:lineRule="auto"/>
              <w:ind w:left="100"/>
              <w:jc w:val="center"/>
              <w:rPr>
                <w:sz w:val="28"/>
              </w:rPr>
            </w:pPr>
            <w:r>
              <w:rPr>
                <w:rFonts w:hint="eastAsia"/>
                <w:sz w:val="28"/>
              </w:rPr>
              <w:t>处置情况</w:t>
            </w:r>
          </w:p>
        </w:tc>
        <w:tc>
          <w:tcPr>
            <w:tcW w:w="1037" w:type="dxa"/>
            <w:tcBorders>
              <w:left w:val="single" w:color="000000" w:sz="4" w:space="0"/>
              <w:bottom w:val="single" w:color="000000" w:sz="4" w:space="0"/>
            </w:tcBorders>
          </w:tcPr>
          <w:p>
            <w:pPr>
              <w:pStyle w:val="59"/>
              <w:spacing w:before="7" w:line="360" w:lineRule="auto"/>
              <w:jc w:val="center"/>
              <w:rPr>
                <w:sz w:val="21"/>
              </w:rPr>
            </w:pPr>
          </w:p>
          <w:p>
            <w:pPr>
              <w:pStyle w:val="59"/>
              <w:spacing w:line="360" w:lineRule="auto"/>
              <w:ind w:left="100"/>
              <w:jc w:val="center"/>
              <w:rPr>
                <w:sz w:val="28"/>
              </w:rPr>
            </w:pPr>
            <w:r>
              <w:rPr>
                <w:rFonts w:hint="eastAsia"/>
                <w:sz w:val="28"/>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6" w:hRule="atLeast"/>
        </w:trPr>
        <w:tc>
          <w:tcPr>
            <w:tcW w:w="1344" w:type="dxa"/>
            <w:tcBorders>
              <w:top w:val="single" w:color="000000" w:sz="4" w:space="0"/>
              <w:bottom w:val="single" w:color="000000" w:sz="4" w:space="0"/>
              <w:right w:val="single" w:color="000000" w:sz="4" w:space="0"/>
            </w:tcBorders>
          </w:tcPr>
          <w:p>
            <w:pPr>
              <w:pStyle w:val="59"/>
              <w:spacing w:line="360" w:lineRule="auto"/>
              <w:rPr>
                <w:sz w:val="28"/>
              </w:rPr>
            </w:pPr>
          </w:p>
        </w:tc>
        <w:tc>
          <w:tcPr>
            <w:tcW w:w="160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59"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2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360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990"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21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37"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344" w:type="dxa"/>
            <w:tcBorders>
              <w:top w:val="single" w:color="000000" w:sz="4" w:space="0"/>
              <w:bottom w:val="single" w:color="000000" w:sz="4" w:space="0"/>
              <w:right w:val="single" w:color="000000" w:sz="4" w:space="0"/>
            </w:tcBorders>
          </w:tcPr>
          <w:p>
            <w:pPr>
              <w:pStyle w:val="59"/>
              <w:spacing w:line="360" w:lineRule="auto"/>
              <w:rPr>
                <w:sz w:val="28"/>
              </w:rPr>
            </w:pPr>
          </w:p>
        </w:tc>
        <w:tc>
          <w:tcPr>
            <w:tcW w:w="160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59"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2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360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990"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21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37"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344" w:type="dxa"/>
            <w:tcBorders>
              <w:top w:val="single" w:color="000000" w:sz="4" w:space="0"/>
              <w:bottom w:val="single" w:color="000000" w:sz="4" w:space="0"/>
              <w:right w:val="single" w:color="000000" w:sz="4" w:space="0"/>
            </w:tcBorders>
          </w:tcPr>
          <w:p>
            <w:pPr>
              <w:pStyle w:val="59"/>
              <w:spacing w:line="360" w:lineRule="auto"/>
              <w:rPr>
                <w:sz w:val="28"/>
              </w:rPr>
            </w:pPr>
          </w:p>
        </w:tc>
        <w:tc>
          <w:tcPr>
            <w:tcW w:w="160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59"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2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360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990"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21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37"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344" w:type="dxa"/>
            <w:tcBorders>
              <w:top w:val="single" w:color="000000" w:sz="4" w:space="0"/>
              <w:bottom w:val="single" w:color="000000" w:sz="4" w:space="0"/>
              <w:right w:val="single" w:color="000000" w:sz="4" w:space="0"/>
            </w:tcBorders>
          </w:tcPr>
          <w:p>
            <w:pPr>
              <w:pStyle w:val="59"/>
              <w:spacing w:line="360" w:lineRule="auto"/>
              <w:rPr>
                <w:sz w:val="28"/>
              </w:rPr>
            </w:pPr>
          </w:p>
        </w:tc>
        <w:tc>
          <w:tcPr>
            <w:tcW w:w="160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59"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2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360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990"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21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37"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344" w:type="dxa"/>
            <w:tcBorders>
              <w:top w:val="single" w:color="000000" w:sz="4" w:space="0"/>
              <w:bottom w:val="single" w:color="000000" w:sz="4" w:space="0"/>
              <w:right w:val="single" w:color="000000" w:sz="4" w:space="0"/>
            </w:tcBorders>
          </w:tcPr>
          <w:p>
            <w:pPr>
              <w:pStyle w:val="59"/>
              <w:spacing w:line="360" w:lineRule="auto"/>
              <w:rPr>
                <w:sz w:val="28"/>
              </w:rPr>
            </w:pPr>
          </w:p>
        </w:tc>
        <w:tc>
          <w:tcPr>
            <w:tcW w:w="160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59"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2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360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990"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21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37"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1344" w:type="dxa"/>
            <w:tcBorders>
              <w:top w:val="single" w:color="000000" w:sz="4" w:space="0"/>
              <w:bottom w:val="single" w:color="000000" w:sz="4" w:space="0"/>
              <w:right w:val="single" w:color="000000" w:sz="4" w:space="0"/>
            </w:tcBorders>
          </w:tcPr>
          <w:p>
            <w:pPr>
              <w:pStyle w:val="59"/>
              <w:spacing w:line="360" w:lineRule="auto"/>
              <w:rPr>
                <w:sz w:val="28"/>
              </w:rPr>
            </w:pPr>
          </w:p>
        </w:tc>
        <w:tc>
          <w:tcPr>
            <w:tcW w:w="160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59"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2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360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990"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21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37"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1344" w:type="dxa"/>
            <w:tcBorders>
              <w:top w:val="single" w:color="000000" w:sz="4" w:space="0"/>
              <w:bottom w:val="single" w:color="000000" w:sz="4" w:space="0"/>
              <w:right w:val="single" w:color="000000" w:sz="4" w:space="0"/>
            </w:tcBorders>
          </w:tcPr>
          <w:p>
            <w:pPr>
              <w:pStyle w:val="59"/>
              <w:spacing w:line="360" w:lineRule="auto"/>
              <w:rPr>
                <w:sz w:val="28"/>
              </w:rPr>
            </w:pPr>
          </w:p>
        </w:tc>
        <w:tc>
          <w:tcPr>
            <w:tcW w:w="160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59"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2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360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990"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21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37"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9" w:hRule="atLeast"/>
        </w:trPr>
        <w:tc>
          <w:tcPr>
            <w:tcW w:w="1344" w:type="dxa"/>
            <w:tcBorders>
              <w:top w:val="single" w:color="000000" w:sz="4" w:space="0"/>
              <w:bottom w:val="single" w:color="000000" w:sz="4" w:space="0"/>
              <w:right w:val="single" w:color="000000" w:sz="4" w:space="0"/>
            </w:tcBorders>
          </w:tcPr>
          <w:p>
            <w:pPr>
              <w:pStyle w:val="59"/>
              <w:spacing w:line="360" w:lineRule="auto"/>
              <w:rPr>
                <w:sz w:val="28"/>
              </w:rPr>
            </w:pPr>
          </w:p>
        </w:tc>
        <w:tc>
          <w:tcPr>
            <w:tcW w:w="160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59"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2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360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990"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21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37"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1344" w:type="dxa"/>
            <w:tcBorders>
              <w:top w:val="single" w:color="000000" w:sz="4" w:space="0"/>
              <w:bottom w:val="single" w:color="000000" w:sz="4" w:space="0"/>
              <w:right w:val="single" w:color="000000" w:sz="4" w:space="0"/>
            </w:tcBorders>
          </w:tcPr>
          <w:p>
            <w:pPr>
              <w:pStyle w:val="59"/>
              <w:spacing w:line="360" w:lineRule="auto"/>
              <w:rPr>
                <w:sz w:val="28"/>
              </w:rPr>
            </w:pPr>
          </w:p>
        </w:tc>
        <w:tc>
          <w:tcPr>
            <w:tcW w:w="160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59"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2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360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990"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21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37"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3" w:hRule="atLeast"/>
        </w:trPr>
        <w:tc>
          <w:tcPr>
            <w:tcW w:w="1344" w:type="dxa"/>
            <w:tcBorders>
              <w:top w:val="single" w:color="000000" w:sz="4" w:space="0"/>
              <w:right w:val="single" w:color="000000" w:sz="4" w:space="0"/>
            </w:tcBorders>
          </w:tcPr>
          <w:p>
            <w:pPr>
              <w:pStyle w:val="59"/>
              <w:spacing w:line="360" w:lineRule="auto"/>
              <w:rPr>
                <w:sz w:val="28"/>
              </w:rPr>
            </w:pPr>
          </w:p>
        </w:tc>
        <w:tc>
          <w:tcPr>
            <w:tcW w:w="1608" w:type="dxa"/>
            <w:tcBorders>
              <w:top w:val="single" w:color="000000" w:sz="4" w:space="0"/>
              <w:left w:val="single" w:color="000000" w:sz="4" w:space="0"/>
              <w:right w:val="single" w:color="000000" w:sz="4" w:space="0"/>
            </w:tcBorders>
          </w:tcPr>
          <w:p>
            <w:pPr>
              <w:pStyle w:val="59"/>
              <w:spacing w:line="360" w:lineRule="auto"/>
              <w:rPr>
                <w:sz w:val="28"/>
              </w:rPr>
            </w:pPr>
          </w:p>
        </w:tc>
        <w:tc>
          <w:tcPr>
            <w:tcW w:w="1059" w:type="dxa"/>
            <w:tcBorders>
              <w:top w:val="single" w:color="000000" w:sz="4" w:space="0"/>
              <w:left w:val="single" w:color="000000" w:sz="4" w:space="0"/>
              <w:right w:val="single" w:color="000000" w:sz="4" w:space="0"/>
            </w:tcBorders>
          </w:tcPr>
          <w:p>
            <w:pPr>
              <w:pStyle w:val="59"/>
              <w:spacing w:line="360" w:lineRule="auto"/>
              <w:rPr>
                <w:sz w:val="28"/>
              </w:rPr>
            </w:pPr>
          </w:p>
        </w:tc>
        <w:tc>
          <w:tcPr>
            <w:tcW w:w="1222" w:type="dxa"/>
            <w:tcBorders>
              <w:top w:val="single" w:color="000000" w:sz="4" w:space="0"/>
              <w:left w:val="single" w:color="000000" w:sz="4" w:space="0"/>
              <w:right w:val="single" w:color="000000" w:sz="4" w:space="0"/>
            </w:tcBorders>
          </w:tcPr>
          <w:p>
            <w:pPr>
              <w:pStyle w:val="59"/>
              <w:spacing w:line="360" w:lineRule="auto"/>
              <w:rPr>
                <w:sz w:val="28"/>
              </w:rPr>
            </w:pPr>
          </w:p>
        </w:tc>
        <w:tc>
          <w:tcPr>
            <w:tcW w:w="3603" w:type="dxa"/>
            <w:tcBorders>
              <w:top w:val="single" w:color="000000" w:sz="4" w:space="0"/>
              <w:left w:val="single" w:color="000000" w:sz="4" w:space="0"/>
              <w:right w:val="single" w:color="000000" w:sz="4" w:space="0"/>
            </w:tcBorders>
          </w:tcPr>
          <w:p>
            <w:pPr>
              <w:pStyle w:val="59"/>
              <w:spacing w:line="360" w:lineRule="auto"/>
              <w:rPr>
                <w:sz w:val="28"/>
              </w:rPr>
            </w:pPr>
          </w:p>
        </w:tc>
        <w:tc>
          <w:tcPr>
            <w:tcW w:w="1990" w:type="dxa"/>
            <w:tcBorders>
              <w:top w:val="single" w:color="000000" w:sz="4" w:space="0"/>
              <w:left w:val="single" w:color="000000" w:sz="4" w:space="0"/>
              <w:right w:val="single" w:color="000000" w:sz="4" w:space="0"/>
            </w:tcBorders>
          </w:tcPr>
          <w:p>
            <w:pPr>
              <w:pStyle w:val="59"/>
              <w:spacing w:line="360" w:lineRule="auto"/>
              <w:rPr>
                <w:sz w:val="28"/>
              </w:rPr>
            </w:pPr>
          </w:p>
        </w:tc>
        <w:tc>
          <w:tcPr>
            <w:tcW w:w="2198" w:type="dxa"/>
            <w:tcBorders>
              <w:top w:val="single" w:color="000000" w:sz="4" w:space="0"/>
              <w:left w:val="single" w:color="000000" w:sz="4" w:space="0"/>
              <w:right w:val="single" w:color="000000" w:sz="4" w:space="0"/>
            </w:tcBorders>
          </w:tcPr>
          <w:p>
            <w:pPr>
              <w:pStyle w:val="59"/>
              <w:spacing w:line="360" w:lineRule="auto"/>
              <w:rPr>
                <w:sz w:val="28"/>
              </w:rPr>
            </w:pPr>
          </w:p>
        </w:tc>
        <w:tc>
          <w:tcPr>
            <w:tcW w:w="1037" w:type="dxa"/>
            <w:tcBorders>
              <w:top w:val="single" w:color="000000" w:sz="4" w:space="0"/>
              <w:left w:val="single" w:color="000000" w:sz="4" w:space="0"/>
            </w:tcBorders>
          </w:tcPr>
          <w:p>
            <w:pPr>
              <w:pStyle w:val="59"/>
              <w:spacing w:line="360" w:lineRule="auto"/>
              <w:rPr>
                <w:sz w:val="28"/>
              </w:rPr>
            </w:pPr>
          </w:p>
        </w:tc>
      </w:tr>
    </w:tbl>
    <w:p>
      <w:pPr>
        <w:spacing w:line="360" w:lineRule="auto"/>
        <w:rPr>
          <w:sz w:val="28"/>
        </w:rPr>
        <w:sectPr>
          <w:footerReference r:id="rId20" w:type="default"/>
          <w:pgSz w:w="16840" w:h="11910" w:orient="landscape"/>
          <w:pgMar w:top="1100" w:right="1180" w:bottom="1300" w:left="1340" w:header="0" w:footer="1120" w:gutter="0"/>
          <w:cols w:space="720" w:num="1"/>
        </w:sectPr>
      </w:pPr>
    </w:p>
    <w:p>
      <w:pPr>
        <w:spacing w:before="58" w:line="360" w:lineRule="auto"/>
        <w:ind w:left="377"/>
        <w:rPr>
          <w:sz w:val="30"/>
        </w:rPr>
      </w:pPr>
      <w:bookmarkStart w:id="794" w:name="_bookmark10"/>
      <w:bookmarkEnd w:id="794"/>
      <w:r>
        <w:rPr>
          <w:rFonts w:hint="eastAsia"/>
          <w:sz w:val="30"/>
        </w:rPr>
        <w:t>附件</w:t>
      </w:r>
      <w:r>
        <w:rPr>
          <w:sz w:val="30"/>
        </w:rPr>
        <w:t xml:space="preserve"> 3</w:t>
      </w:r>
      <w:r>
        <w:rPr>
          <w:rFonts w:hint="eastAsia"/>
          <w:sz w:val="30"/>
        </w:rPr>
        <w:t>：</w:t>
      </w:r>
    </w:p>
    <w:p>
      <w:pPr>
        <w:pStyle w:val="18"/>
        <w:spacing w:before="2" w:line="360" w:lineRule="auto"/>
        <w:rPr>
          <w:sz w:val="14"/>
        </w:rPr>
      </w:pPr>
    </w:p>
    <w:p>
      <w:pPr>
        <w:spacing w:before="58" w:line="360" w:lineRule="auto"/>
        <w:ind w:left="328" w:right="626"/>
        <w:jc w:val="center"/>
        <w:rPr>
          <w:sz w:val="30"/>
        </w:rPr>
      </w:pPr>
      <w:r>
        <w:rPr>
          <w:rFonts w:hint="eastAsia"/>
          <w:sz w:val="30"/>
        </w:rPr>
        <w:t>暂估价一览表</w:t>
      </w:r>
    </w:p>
    <w:p>
      <w:pPr>
        <w:pStyle w:val="18"/>
        <w:spacing w:before="7" w:line="360" w:lineRule="auto"/>
        <w:rPr>
          <w:sz w:val="9"/>
        </w:rPr>
      </w:pPr>
    </w:p>
    <w:tbl>
      <w:tblPr>
        <w:tblStyle w:val="36"/>
        <w:tblW w:w="0" w:type="auto"/>
        <w:tblInd w:w="364"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99"/>
        <w:gridCol w:w="1973"/>
        <w:gridCol w:w="792"/>
        <w:gridCol w:w="723"/>
        <w:gridCol w:w="1258"/>
        <w:gridCol w:w="1321"/>
        <w:gridCol w:w="158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9" w:hRule="atLeast"/>
        </w:trPr>
        <w:tc>
          <w:tcPr>
            <w:tcW w:w="799" w:type="dxa"/>
            <w:tcBorders>
              <w:bottom w:val="single" w:color="000000" w:sz="4" w:space="0"/>
              <w:right w:val="single" w:color="000000" w:sz="4" w:space="0"/>
            </w:tcBorders>
          </w:tcPr>
          <w:p>
            <w:pPr>
              <w:pStyle w:val="59"/>
              <w:spacing w:before="209" w:line="360" w:lineRule="auto"/>
              <w:ind w:left="90"/>
              <w:jc w:val="center"/>
              <w:rPr>
                <w:sz w:val="28"/>
              </w:rPr>
            </w:pPr>
            <w:r>
              <w:rPr>
                <w:rFonts w:hint="eastAsia"/>
                <w:sz w:val="28"/>
              </w:rPr>
              <w:t>序号</w:t>
            </w:r>
          </w:p>
        </w:tc>
        <w:tc>
          <w:tcPr>
            <w:tcW w:w="1973" w:type="dxa"/>
            <w:tcBorders>
              <w:left w:val="single" w:color="000000" w:sz="4" w:space="0"/>
              <w:bottom w:val="single" w:color="000000" w:sz="4" w:space="0"/>
              <w:right w:val="single" w:color="000000" w:sz="4" w:space="0"/>
            </w:tcBorders>
          </w:tcPr>
          <w:p>
            <w:pPr>
              <w:pStyle w:val="59"/>
              <w:spacing w:before="209" w:line="360" w:lineRule="auto"/>
              <w:ind w:left="100"/>
              <w:jc w:val="center"/>
              <w:rPr>
                <w:sz w:val="28"/>
              </w:rPr>
            </w:pPr>
            <w:r>
              <w:rPr>
                <w:rFonts w:hint="eastAsia"/>
                <w:sz w:val="28"/>
              </w:rPr>
              <w:t>名称</w:t>
            </w:r>
          </w:p>
        </w:tc>
        <w:tc>
          <w:tcPr>
            <w:tcW w:w="792" w:type="dxa"/>
            <w:tcBorders>
              <w:left w:val="single" w:color="000000" w:sz="4" w:space="0"/>
              <w:bottom w:val="single" w:color="000000" w:sz="4" w:space="0"/>
              <w:right w:val="single" w:color="000000" w:sz="4" w:space="0"/>
            </w:tcBorders>
          </w:tcPr>
          <w:p>
            <w:pPr>
              <w:pStyle w:val="59"/>
              <w:spacing w:before="209" w:line="360" w:lineRule="auto"/>
              <w:ind w:left="101"/>
              <w:jc w:val="center"/>
              <w:rPr>
                <w:sz w:val="28"/>
              </w:rPr>
            </w:pPr>
            <w:r>
              <w:rPr>
                <w:rFonts w:hint="eastAsia"/>
                <w:sz w:val="28"/>
              </w:rPr>
              <w:t>单位</w:t>
            </w:r>
          </w:p>
        </w:tc>
        <w:tc>
          <w:tcPr>
            <w:tcW w:w="723" w:type="dxa"/>
            <w:tcBorders>
              <w:left w:val="single" w:color="000000" w:sz="4" w:space="0"/>
              <w:bottom w:val="single" w:color="000000" w:sz="4" w:space="0"/>
              <w:right w:val="single" w:color="000000" w:sz="4" w:space="0"/>
            </w:tcBorders>
          </w:tcPr>
          <w:p>
            <w:pPr>
              <w:pStyle w:val="59"/>
              <w:spacing w:before="177" w:line="360" w:lineRule="auto"/>
              <w:ind w:left="38"/>
              <w:jc w:val="center"/>
              <w:rPr>
                <w:sz w:val="28"/>
              </w:rPr>
            </w:pPr>
            <w:r>
              <w:rPr>
                <w:rFonts w:hint="eastAsia"/>
                <w:sz w:val="28"/>
              </w:rPr>
              <w:t>数量</w:t>
            </w:r>
          </w:p>
        </w:tc>
        <w:tc>
          <w:tcPr>
            <w:tcW w:w="1258" w:type="dxa"/>
            <w:tcBorders>
              <w:left w:val="single" w:color="000000" w:sz="4" w:space="0"/>
              <w:bottom w:val="single" w:color="000000" w:sz="4" w:space="0"/>
              <w:right w:val="single" w:color="000000" w:sz="4" w:space="0"/>
            </w:tcBorders>
          </w:tcPr>
          <w:p>
            <w:pPr>
              <w:pStyle w:val="59"/>
              <w:spacing w:before="177" w:line="360" w:lineRule="auto"/>
              <w:ind w:left="38"/>
              <w:jc w:val="center"/>
              <w:rPr>
                <w:sz w:val="28"/>
              </w:rPr>
            </w:pPr>
            <w:r>
              <w:rPr>
                <w:rFonts w:hint="eastAsia"/>
                <w:sz w:val="28"/>
              </w:rPr>
              <w:t>单价（元</w:t>
            </w:r>
          </w:p>
        </w:tc>
        <w:tc>
          <w:tcPr>
            <w:tcW w:w="1321" w:type="dxa"/>
            <w:tcBorders>
              <w:left w:val="single" w:color="000000" w:sz="4" w:space="0"/>
              <w:bottom w:val="single" w:color="000000" w:sz="4" w:space="0"/>
              <w:right w:val="single" w:color="000000" w:sz="4" w:space="0"/>
            </w:tcBorders>
          </w:tcPr>
          <w:p>
            <w:pPr>
              <w:pStyle w:val="59"/>
              <w:spacing w:before="179" w:line="360" w:lineRule="auto"/>
              <w:ind w:left="-133"/>
              <w:jc w:val="center"/>
              <w:rPr>
                <w:sz w:val="28"/>
              </w:rPr>
            </w:pPr>
            <w:r>
              <w:rPr>
                <w:rFonts w:hint="eastAsia"/>
                <w:spacing w:val="-48"/>
                <w:position w:val="3"/>
                <w:sz w:val="28"/>
              </w:rPr>
              <w:t>）</w:t>
            </w:r>
            <w:r>
              <w:rPr>
                <w:rFonts w:hint="eastAsia"/>
                <w:spacing w:val="-62"/>
                <w:sz w:val="28"/>
              </w:rPr>
              <w:t>合价</w:t>
            </w:r>
            <w:r>
              <w:rPr>
                <w:rFonts w:hint="eastAsia"/>
                <w:sz w:val="28"/>
              </w:rPr>
              <w:t>（元</w:t>
            </w:r>
          </w:p>
        </w:tc>
        <w:tc>
          <w:tcPr>
            <w:tcW w:w="1584" w:type="dxa"/>
            <w:tcBorders>
              <w:left w:val="single" w:color="000000" w:sz="4" w:space="0"/>
              <w:bottom w:val="single" w:color="000000" w:sz="4" w:space="0"/>
            </w:tcBorders>
          </w:tcPr>
          <w:p>
            <w:pPr>
              <w:pStyle w:val="59"/>
              <w:spacing w:before="209" w:line="360" w:lineRule="auto"/>
              <w:ind w:left="-223"/>
              <w:jc w:val="center"/>
              <w:rPr>
                <w:sz w:val="28"/>
              </w:rPr>
            </w:pPr>
            <w:r>
              <w:rPr>
                <w:rFonts w:hint="eastAsia"/>
                <w:sz w:val="28"/>
              </w:rPr>
              <w:t>）</w:t>
            </w:r>
            <w:r>
              <w:rPr>
                <w:sz w:val="28"/>
              </w:rPr>
              <w:t xml:space="preserve"> </w:t>
            </w:r>
            <w:r>
              <w:rPr>
                <w:rFonts w:hint="eastAsia"/>
                <w:sz w:val="28"/>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799" w:type="dxa"/>
            <w:tcBorders>
              <w:top w:val="single" w:color="000000" w:sz="4" w:space="0"/>
              <w:bottom w:val="single" w:color="000000" w:sz="4" w:space="0"/>
              <w:right w:val="single" w:color="000000" w:sz="4" w:space="0"/>
            </w:tcBorders>
          </w:tcPr>
          <w:p>
            <w:pPr>
              <w:pStyle w:val="59"/>
              <w:spacing w:line="360" w:lineRule="auto"/>
              <w:rPr>
                <w:sz w:val="28"/>
              </w:rPr>
            </w:pPr>
          </w:p>
        </w:tc>
        <w:tc>
          <w:tcPr>
            <w:tcW w:w="197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5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584"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799" w:type="dxa"/>
            <w:tcBorders>
              <w:top w:val="single" w:color="000000" w:sz="4" w:space="0"/>
              <w:bottom w:val="single" w:color="000000" w:sz="4" w:space="0"/>
              <w:right w:val="single" w:color="000000" w:sz="4" w:space="0"/>
            </w:tcBorders>
          </w:tcPr>
          <w:p>
            <w:pPr>
              <w:pStyle w:val="59"/>
              <w:spacing w:line="360" w:lineRule="auto"/>
              <w:rPr>
                <w:sz w:val="28"/>
              </w:rPr>
            </w:pPr>
          </w:p>
        </w:tc>
        <w:tc>
          <w:tcPr>
            <w:tcW w:w="197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5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584"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799" w:type="dxa"/>
            <w:tcBorders>
              <w:top w:val="single" w:color="000000" w:sz="4" w:space="0"/>
              <w:bottom w:val="single" w:color="000000" w:sz="4" w:space="0"/>
              <w:right w:val="single" w:color="000000" w:sz="4" w:space="0"/>
            </w:tcBorders>
          </w:tcPr>
          <w:p>
            <w:pPr>
              <w:pStyle w:val="59"/>
              <w:spacing w:line="360" w:lineRule="auto"/>
              <w:rPr>
                <w:sz w:val="28"/>
              </w:rPr>
            </w:pPr>
          </w:p>
        </w:tc>
        <w:tc>
          <w:tcPr>
            <w:tcW w:w="197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5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584"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799" w:type="dxa"/>
            <w:tcBorders>
              <w:top w:val="single" w:color="000000" w:sz="4" w:space="0"/>
              <w:bottom w:val="single" w:color="000000" w:sz="4" w:space="0"/>
              <w:right w:val="single" w:color="000000" w:sz="4" w:space="0"/>
            </w:tcBorders>
          </w:tcPr>
          <w:p>
            <w:pPr>
              <w:pStyle w:val="59"/>
              <w:spacing w:line="360" w:lineRule="auto"/>
              <w:rPr>
                <w:sz w:val="28"/>
              </w:rPr>
            </w:pPr>
          </w:p>
        </w:tc>
        <w:tc>
          <w:tcPr>
            <w:tcW w:w="197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5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584"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799" w:type="dxa"/>
            <w:tcBorders>
              <w:top w:val="single" w:color="000000" w:sz="4" w:space="0"/>
              <w:bottom w:val="single" w:color="000000" w:sz="4" w:space="0"/>
              <w:right w:val="single" w:color="000000" w:sz="4" w:space="0"/>
            </w:tcBorders>
          </w:tcPr>
          <w:p>
            <w:pPr>
              <w:pStyle w:val="59"/>
              <w:spacing w:line="360" w:lineRule="auto"/>
              <w:rPr>
                <w:sz w:val="28"/>
              </w:rPr>
            </w:pPr>
          </w:p>
        </w:tc>
        <w:tc>
          <w:tcPr>
            <w:tcW w:w="197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5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584"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799" w:type="dxa"/>
            <w:tcBorders>
              <w:top w:val="single" w:color="000000" w:sz="4" w:space="0"/>
              <w:bottom w:val="single" w:color="000000" w:sz="4" w:space="0"/>
              <w:right w:val="single" w:color="000000" w:sz="4" w:space="0"/>
            </w:tcBorders>
          </w:tcPr>
          <w:p>
            <w:pPr>
              <w:pStyle w:val="59"/>
              <w:spacing w:line="360" w:lineRule="auto"/>
              <w:rPr>
                <w:sz w:val="28"/>
              </w:rPr>
            </w:pPr>
          </w:p>
        </w:tc>
        <w:tc>
          <w:tcPr>
            <w:tcW w:w="197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5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584"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799" w:type="dxa"/>
            <w:tcBorders>
              <w:top w:val="single" w:color="000000" w:sz="4" w:space="0"/>
              <w:bottom w:val="single" w:color="000000" w:sz="4" w:space="0"/>
              <w:right w:val="single" w:color="000000" w:sz="4" w:space="0"/>
            </w:tcBorders>
          </w:tcPr>
          <w:p>
            <w:pPr>
              <w:pStyle w:val="59"/>
              <w:spacing w:line="360" w:lineRule="auto"/>
              <w:rPr>
                <w:sz w:val="28"/>
              </w:rPr>
            </w:pPr>
          </w:p>
        </w:tc>
        <w:tc>
          <w:tcPr>
            <w:tcW w:w="197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5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584"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799" w:type="dxa"/>
            <w:tcBorders>
              <w:top w:val="single" w:color="000000" w:sz="4" w:space="0"/>
              <w:bottom w:val="single" w:color="000000" w:sz="4" w:space="0"/>
              <w:right w:val="single" w:color="000000" w:sz="4" w:space="0"/>
            </w:tcBorders>
          </w:tcPr>
          <w:p>
            <w:pPr>
              <w:pStyle w:val="59"/>
              <w:spacing w:line="360" w:lineRule="auto"/>
              <w:rPr>
                <w:sz w:val="28"/>
              </w:rPr>
            </w:pPr>
          </w:p>
        </w:tc>
        <w:tc>
          <w:tcPr>
            <w:tcW w:w="197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5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584"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799" w:type="dxa"/>
            <w:tcBorders>
              <w:top w:val="single" w:color="000000" w:sz="4" w:space="0"/>
              <w:bottom w:val="single" w:color="000000" w:sz="4" w:space="0"/>
              <w:right w:val="single" w:color="000000" w:sz="4" w:space="0"/>
            </w:tcBorders>
          </w:tcPr>
          <w:p>
            <w:pPr>
              <w:pStyle w:val="59"/>
              <w:spacing w:line="360" w:lineRule="auto"/>
              <w:rPr>
                <w:sz w:val="28"/>
              </w:rPr>
            </w:pPr>
          </w:p>
        </w:tc>
        <w:tc>
          <w:tcPr>
            <w:tcW w:w="197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5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584"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799" w:type="dxa"/>
            <w:tcBorders>
              <w:top w:val="single" w:color="000000" w:sz="4" w:space="0"/>
              <w:bottom w:val="single" w:color="000000" w:sz="4" w:space="0"/>
              <w:right w:val="single" w:color="000000" w:sz="4" w:space="0"/>
            </w:tcBorders>
          </w:tcPr>
          <w:p>
            <w:pPr>
              <w:pStyle w:val="59"/>
              <w:spacing w:line="360" w:lineRule="auto"/>
              <w:rPr>
                <w:sz w:val="28"/>
              </w:rPr>
            </w:pPr>
          </w:p>
        </w:tc>
        <w:tc>
          <w:tcPr>
            <w:tcW w:w="197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5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584"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799" w:type="dxa"/>
            <w:tcBorders>
              <w:top w:val="single" w:color="000000" w:sz="4" w:space="0"/>
              <w:bottom w:val="single" w:color="000000" w:sz="4" w:space="0"/>
              <w:right w:val="single" w:color="000000" w:sz="4" w:space="0"/>
            </w:tcBorders>
          </w:tcPr>
          <w:p>
            <w:pPr>
              <w:pStyle w:val="59"/>
              <w:spacing w:line="360" w:lineRule="auto"/>
              <w:rPr>
                <w:sz w:val="28"/>
              </w:rPr>
            </w:pPr>
          </w:p>
        </w:tc>
        <w:tc>
          <w:tcPr>
            <w:tcW w:w="197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5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584"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799" w:type="dxa"/>
            <w:tcBorders>
              <w:top w:val="single" w:color="000000" w:sz="4" w:space="0"/>
              <w:bottom w:val="single" w:color="000000" w:sz="4" w:space="0"/>
              <w:right w:val="single" w:color="000000" w:sz="4" w:space="0"/>
            </w:tcBorders>
          </w:tcPr>
          <w:p>
            <w:pPr>
              <w:pStyle w:val="59"/>
              <w:spacing w:line="360" w:lineRule="auto"/>
              <w:rPr>
                <w:sz w:val="28"/>
              </w:rPr>
            </w:pPr>
          </w:p>
        </w:tc>
        <w:tc>
          <w:tcPr>
            <w:tcW w:w="197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5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584"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799" w:type="dxa"/>
            <w:tcBorders>
              <w:top w:val="single" w:color="000000" w:sz="4" w:space="0"/>
              <w:bottom w:val="single" w:color="000000" w:sz="4" w:space="0"/>
              <w:right w:val="single" w:color="000000" w:sz="4" w:space="0"/>
            </w:tcBorders>
          </w:tcPr>
          <w:p>
            <w:pPr>
              <w:pStyle w:val="59"/>
              <w:spacing w:line="360" w:lineRule="auto"/>
              <w:rPr>
                <w:sz w:val="28"/>
              </w:rPr>
            </w:pPr>
          </w:p>
        </w:tc>
        <w:tc>
          <w:tcPr>
            <w:tcW w:w="197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5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584"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799" w:type="dxa"/>
            <w:tcBorders>
              <w:top w:val="single" w:color="000000" w:sz="4" w:space="0"/>
              <w:bottom w:val="single" w:color="000000" w:sz="4" w:space="0"/>
              <w:right w:val="single" w:color="000000" w:sz="4" w:space="0"/>
            </w:tcBorders>
          </w:tcPr>
          <w:p>
            <w:pPr>
              <w:pStyle w:val="59"/>
              <w:spacing w:line="360" w:lineRule="auto"/>
              <w:rPr>
                <w:sz w:val="28"/>
              </w:rPr>
            </w:pPr>
          </w:p>
        </w:tc>
        <w:tc>
          <w:tcPr>
            <w:tcW w:w="197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5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584"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799" w:type="dxa"/>
            <w:tcBorders>
              <w:top w:val="single" w:color="000000" w:sz="4" w:space="0"/>
              <w:bottom w:val="single" w:color="000000" w:sz="4" w:space="0"/>
              <w:right w:val="single" w:color="000000" w:sz="4" w:space="0"/>
            </w:tcBorders>
          </w:tcPr>
          <w:p>
            <w:pPr>
              <w:pStyle w:val="59"/>
              <w:spacing w:line="360" w:lineRule="auto"/>
              <w:rPr>
                <w:sz w:val="28"/>
              </w:rPr>
            </w:pPr>
          </w:p>
        </w:tc>
        <w:tc>
          <w:tcPr>
            <w:tcW w:w="197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5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584"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799" w:type="dxa"/>
            <w:tcBorders>
              <w:top w:val="single" w:color="000000" w:sz="4" w:space="0"/>
              <w:bottom w:val="single" w:color="000000" w:sz="4" w:space="0"/>
              <w:right w:val="single" w:color="000000" w:sz="4" w:space="0"/>
            </w:tcBorders>
          </w:tcPr>
          <w:p>
            <w:pPr>
              <w:pStyle w:val="59"/>
              <w:spacing w:line="360" w:lineRule="auto"/>
              <w:rPr>
                <w:sz w:val="28"/>
              </w:rPr>
            </w:pPr>
          </w:p>
        </w:tc>
        <w:tc>
          <w:tcPr>
            <w:tcW w:w="197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2"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25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584"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799" w:type="dxa"/>
            <w:tcBorders>
              <w:top w:val="single" w:color="000000" w:sz="4" w:space="0"/>
              <w:right w:val="single" w:color="000000" w:sz="4" w:space="0"/>
            </w:tcBorders>
          </w:tcPr>
          <w:p>
            <w:pPr>
              <w:pStyle w:val="59"/>
              <w:spacing w:line="360" w:lineRule="auto"/>
              <w:rPr>
                <w:sz w:val="28"/>
              </w:rPr>
            </w:pPr>
          </w:p>
        </w:tc>
        <w:tc>
          <w:tcPr>
            <w:tcW w:w="1973" w:type="dxa"/>
            <w:tcBorders>
              <w:top w:val="single" w:color="000000" w:sz="4" w:space="0"/>
              <w:left w:val="single" w:color="000000" w:sz="4" w:space="0"/>
              <w:right w:val="single" w:color="000000" w:sz="4" w:space="0"/>
            </w:tcBorders>
          </w:tcPr>
          <w:p>
            <w:pPr>
              <w:pStyle w:val="59"/>
              <w:spacing w:line="360" w:lineRule="auto"/>
              <w:rPr>
                <w:sz w:val="28"/>
              </w:rPr>
            </w:pPr>
          </w:p>
        </w:tc>
        <w:tc>
          <w:tcPr>
            <w:tcW w:w="792" w:type="dxa"/>
            <w:tcBorders>
              <w:top w:val="single" w:color="000000" w:sz="4" w:space="0"/>
              <w:left w:val="single" w:color="000000" w:sz="4" w:space="0"/>
              <w:right w:val="single" w:color="000000" w:sz="4" w:space="0"/>
            </w:tcBorders>
          </w:tcPr>
          <w:p>
            <w:pPr>
              <w:pStyle w:val="59"/>
              <w:spacing w:line="360" w:lineRule="auto"/>
              <w:rPr>
                <w:sz w:val="28"/>
              </w:rPr>
            </w:pPr>
          </w:p>
        </w:tc>
        <w:tc>
          <w:tcPr>
            <w:tcW w:w="723" w:type="dxa"/>
            <w:tcBorders>
              <w:top w:val="single" w:color="000000" w:sz="4" w:space="0"/>
              <w:left w:val="single" w:color="000000" w:sz="4" w:space="0"/>
              <w:right w:val="single" w:color="000000" w:sz="4" w:space="0"/>
            </w:tcBorders>
          </w:tcPr>
          <w:p>
            <w:pPr>
              <w:pStyle w:val="59"/>
              <w:spacing w:line="360" w:lineRule="auto"/>
              <w:rPr>
                <w:sz w:val="28"/>
              </w:rPr>
            </w:pPr>
          </w:p>
        </w:tc>
        <w:tc>
          <w:tcPr>
            <w:tcW w:w="1258" w:type="dxa"/>
            <w:tcBorders>
              <w:top w:val="single" w:color="000000" w:sz="4" w:space="0"/>
              <w:left w:val="single" w:color="000000" w:sz="4" w:space="0"/>
              <w:right w:val="single" w:color="000000" w:sz="4" w:space="0"/>
            </w:tcBorders>
          </w:tcPr>
          <w:p>
            <w:pPr>
              <w:pStyle w:val="59"/>
              <w:spacing w:line="360" w:lineRule="auto"/>
              <w:rPr>
                <w:sz w:val="28"/>
              </w:rPr>
            </w:pPr>
          </w:p>
        </w:tc>
        <w:tc>
          <w:tcPr>
            <w:tcW w:w="1321" w:type="dxa"/>
            <w:tcBorders>
              <w:top w:val="single" w:color="000000" w:sz="4" w:space="0"/>
              <w:left w:val="single" w:color="000000" w:sz="4" w:space="0"/>
              <w:right w:val="single" w:color="000000" w:sz="4" w:space="0"/>
            </w:tcBorders>
          </w:tcPr>
          <w:p>
            <w:pPr>
              <w:pStyle w:val="59"/>
              <w:spacing w:line="360" w:lineRule="auto"/>
              <w:rPr>
                <w:sz w:val="28"/>
              </w:rPr>
            </w:pPr>
          </w:p>
        </w:tc>
        <w:tc>
          <w:tcPr>
            <w:tcW w:w="1584" w:type="dxa"/>
            <w:tcBorders>
              <w:top w:val="single" w:color="000000" w:sz="4" w:space="0"/>
              <w:left w:val="single" w:color="000000" w:sz="4" w:space="0"/>
            </w:tcBorders>
          </w:tcPr>
          <w:p>
            <w:pPr>
              <w:pStyle w:val="59"/>
              <w:spacing w:line="360" w:lineRule="auto"/>
              <w:rPr>
                <w:sz w:val="28"/>
              </w:rPr>
            </w:pPr>
          </w:p>
        </w:tc>
      </w:tr>
    </w:tbl>
    <w:p>
      <w:pPr>
        <w:spacing w:line="360" w:lineRule="auto"/>
        <w:rPr>
          <w:sz w:val="28"/>
        </w:rPr>
        <w:sectPr>
          <w:footerReference r:id="rId21" w:type="default"/>
          <w:pgSz w:w="11910" w:h="16840"/>
          <w:pgMar w:top="1580" w:right="1080" w:bottom="1620" w:left="1380" w:header="0" w:footer="1422" w:gutter="0"/>
          <w:pgNumType w:start="45"/>
          <w:cols w:space="720" w:num="1"/>
        </w:sectPr>
      </w:pPr>
    </w:p>
    <w:p>
      <w:pPr>
        <w:spacing w:before="58" w:line="360" w:lineRule="auto"/>
        <w:ind w:left="151"/>
        <w:rPr>
          <w:sz w:val="30"/>
        </w:rPr>
      </w:pPr>
      <w:bookmarkStart w:id="795" w:name="_bookmark11"/>
      <w:bookmarkEnd w:id="795"/>
      <w:r>
        <w:rPr>
          <w:rFonts w:hint="eastAsia"/>
          <w:sz w:val="30"/>
        </w:rPr>
        <w:t>附件</w:t>
      </w:r>
      <w:r>
        <w:rPr>
          <w:sz w:val="30"/>
        </w:rPr>
        <w:t xml:space="preserve"> 4</w:t>
      </w:r>
      <w:r>
        <w:rPr>
          <w:rFonts w:hint="eastAsia"/>
          <w:sz w:val="30"/>
        </w:rPr>
        <w:t>：</w:t>
      </w:r>
    </w:p>
    <w:p>
      <w:pPr>
        <w:pStyle w:val="18"/>
        <w:spacing w:before="2" w:line="360" w:lineRule="auto"/>
        <w:rPr>
          <w:sz w:val="14"/>
        </w:rPr>
      </w:pPr>
    </w:p>
    <w:p>
      <w:pPr>
        <w:spacing w:before="58" w:line="360" w:lineRule="auto"/>
        <w:ind w:left="328" w:right="626"/>
        <w:jc w:val="center"/>
        <w:rPr>
          <w:sz w:val="30"/>
        </w:rPr>
      </w:pPr>
      <w:r>
        <w:rPr>
          <w:rFonts w:hint="eastAsia"/>
          <w:sz w:val="30"/>
        </w:rPr>
        <w:t>发包人供应材料设备一览表</w:t>
      </w:r>
    </w:p>
    <w:p>
      <w:pPr>
        <w:pStyle w:val="18"/>
        <w:spacing w:before="7" w:line="360" w:lineRule="auto"/>
        <w:rPr>
          <w:sz w:val="9"/>
        </w:rPr>
      </w:pPr>
    </w:p>
    <w:tbl>
      <w:tblPr>
        <w:tblStyle w:val="36"/>
        <w:tblW w:w="0" w:type="auto"/>
        <w:tblInd w:w="13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77"/>
        <w:gridCol w:w="1311"/>
        <w:gridCol w:w="1326"/>
        <w:gridCol w:w="881"/>
        <w:gridCol w:w="795"/>
        <w:gridCol w:w="975"/>
        <w:gridCol w:w="928"/>
        <w:gridCol w:w="697"/>
        <w:gridCol w:w="798"/>
        <w:gridCol w:w="52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677" w:type="dxa"/>
            <w:tcBorders>
              <w:bottom w:val="single" w:color="000000" w:sz="4" w:space="0"/>
              <w:right w:val="single" w:color="000000" w:sz="4" w:space="0"/>
            </w:tcBorders>
          </w:tcPr>
          <w:p>
            <w:pPr>
              <w:pStyle w:val="59"/>
              <w:spacing w:before="2" w:line="360" w:lineRule="auto"/>
              <w:ind w:left="28"/>
              <w:jc w:val="center"/>
              <w:rPr>
                <w:sz w:val="28"/>
              </w:rPr>
            </w:pPr>
            <w:r>
              <w:rPr>
                <w:rFonts w:hint="eastAsia"/>
                <w:sz w:val="28"/>
              </w:rPr>
              <w:t>序</w:t>
            </w:r>
          </w:p>
          <w:p>
            <w:pPr>
              <w:pStyle w:val="59"/>
              <w:spacing w:before="4" w:line="360" w:lineRule="auto"/>
              <w:ind w:left="28"/>
              <w:jc w:val="center"/>
              <w:rPr>
                <w:sz w:val="28"/>
              </w:rPr>
            </w:pPr>
            <w:r>
              <w:rPr>
                <w:rFonts w:hint="eastAsia"/>
                <w:sz w:val="28"/>
              </w:rPr>
              <w:t>号</w:t>
            </w:r>
          </w:p>
        </w:tc>
        <w:tc>
          <w:tcPr>
            <w:tcW w:w="1311" w:type="dxa"/>
            <w:tcBorders>
              <w:left w:val="single" w:color="000000" w:sz="4" w:space="0"/>
              <w:bottom w:val="single" w:color="000000" w:sz="4" w:space="0"/>
              <w:right w:val="single" w:color="000000" w:sz="4" w:space="0"/>
            </w:tcBorders>
          </w:tcPr>
          <w:p>
            <w:pPr>
              <w:pStyle w:val="59"/>
              <w:tabs>
                <w:tab w:val="left" w:pos="597"/>
              </w:tabs>
              <w:spacing w:before="2" w:line="360" w:lineRule="auto"/>
              <w:ind w:left="37"/>
              <w:jc w:val="center"/>
              <w:rPr>
                <w:sz w:val="28"/>
              </w:rPr>
            </w:pPr>
            <w:r>
              <w:rPr>
                <w:rFonts w:hint="eastAsia"/>
                <w:sz w:val="28"/>
              </w:rPr>
              <w:t>材</w:t>
            </w:r>
            <w:r>
              <w:rPr>
                <w:sz w:val="28"/>
              </w:rPr>
              <w:tab/>
            </w:r>
            <w:r>
              <w:rPr>
                <w:rFonts w:hint="eastAsia"/>
                <w:sz w:val="28"/>
              </w:rPr>
              <w:t>料、</w:t>
            </w:r>
          </w:p>
          <w:p>
            <w:pPr>
              <w:pStyle w:val="59"/>
              <w:spacing w:before="4" w:line="360" w:lineRule="auto"/>
              <w:ind w:left="37"/>
              <w:jc w:val="center"/>
              <w:rPr>
                <w:sz w:val="28"/>
              </w:rPr>
            </w:pPr>
            <w:r>
              <w:rPr>
                <w:rFonts w:hint="eastAsia"/>
                <w:sz w:val="28"/>
              </w:rPr>
              <w:t>设备品种</w:t>
            </w:r>
          </w:p>
        </w:tc>
        <w:tc>
          <w:tcPr>
            <w:tcW w:w="1326" w:type="dxa"/>
            <w:tcBorders>
              <w:left w:val="single" w:color="000000" w:sz="4" w:space="0"/>
              <w:bottom w:val="single" w:color="000000" w:sz="4" w:space="0"/>
              <w:right w:val="single" w:color="000000" w:sz="4" w:space="0"/>
            </w:tcBorders>
          </w:tcPr>
          <w:p>
            <w:pPr>
              <w:pStyle w:val="59"/>
              <w:spacing w:before="182" w:line="360" w:lineRule="auto"/>
              <w:ind w:left="37"/>
              <w:jc w:val="center"/>
              <w:rPr>
                <w:sz w:val="28"/>
              </w:rPr>
            </w:pPr>
            <w:r>
              <w:rPr>
                <w:rFonts w:hint="eastAsia"/>
                <w:sz w:val="28"/>
              </w:rPr>
              <w:t>规格型号</w:t>
            </w:r>
          </w:p>
        </w:tc>
        <w:tc>
          <w:tcPr>
            <w:tcW w:w="881" w:type="dxa"/>
            <w:tcBorders>
              <w:left w:val="single" w:color="000000" w:sz="4" w:space="0"/>
              <w:bottom w:val="single" w:color="000000" w:sz="4" w:space="0"/>
              <w:right w:val="single" w:color="000000" w:sz="4" w:space="0"/>
            </w:tcBorders>
          </w:tcPr>
          <w:p>
            <w:pPr>
              <w:pStyle w:val="59"/>
              <w:spacing w:before="182" w:line="360" w:lineRule="auto"/>
              <w:ind w:left="36"/>
              <w:jc w:val="center"/>
              <w:rPr>
                <w:sz w:val="28"/>
              </w:rPr>
            </w:pPr>
            <w:r>
              <w:rPr>
                <w:rFonts w:hint="eastAsia"/>
                <w:sz w:val="28"/>
              </w:rPr>
              <w:t>单位</w:t>
            </w:r>
          </w:p>
        </w:tc>
        <w:tc>
          <w:tcPr>
            <w:tcW w:w="795" w:type="dxa"/>
            <w:tcBorders>
              <w:left w:val="single" w:color="000000" w:sz="4" w:space="0"/>
              <w:bottom w:val="single" w:color="000000" w:sz="4" w:space="0"/>
              <w:right w:val="single" w:color="000000" w:sz="4" w:space="0"/>
            </w:tcBorders>
          </w:tcPr>
          <w:p>
            <w:pPr>
              <w:pStyle w:val="59"/>
              <w:spacing w:before="182" w:line="360" w:lineRule="auto"/>
              <w:ind w:left="34"/>
              <w:jc w:val="center"/>
              <w:rPr>
                <w:sz w:val="28"/>
              </w:rPr>
            </w:pPr>
            <w:r>
              <w:rPr>
                <w:rFonts w:hint="eastAsia"/>
                <w:sz w:val="28"/>
              </w:rPr>
              <w:t>数量</w:t>
            </w:r>
          </w:p>
        </w:tc>
        <w:tc>
          <w:tcPr>
            <w:tcW w:w="975" w:type="dxa"/>
            <w:tcBorders>
              <w:left w:val="single" w:color="000000" w:sz="4" w:space="0"/>
              <w:bottom w:val="single" w:color="000000" w:sz="4" w:space="0"/>
              <w:right w:val="single" w:color="000000" w:sz="4" w:space="0"/>
            </w:tcBorders>
          </w:tcPr>
          <w:p>
            <w:pPr>
              <w:pStyle w:val="59"/>
              <w:tabs>
                <w:tab w:val="left" w:pos="674"/>
              </w:tabs>
              <w:spacing w:before="2" w:line="360" w:lineRule="auto"/>
              <w:ind w:left="33"/>
              <w:jc w:val="center"/>
              <w:rPr>
                <w:sz w:val="28"/>
              </w:rPr>
            </w:pPr>
            <w:r>
              <w:rPr>
                <w:rFonts w:hint="eastAsia"/>
                <w:sz w:val="28"/>
              </w:rPr>
              <w:t>单</w:t>
            </w:r>
            <w:r>
              <w:rPr>
                <w:sz w:val="28"/>
              </w:rPr>
              <w:tab/>
            </w:r>
            <w:r>
              <w:rPr>
                <w:rFonts w:hint="eastAsia"/>
                <w:sz w:val="28"/>
              </w:rPr>
              <w:t>价</w:t>
            </w:r>
          </w:p>
          <w:p>
            <w:pPr>
              <w:pStyle w:val="59"/>
              <w:spacing w:before="4" w:line="360" w:lineRule="auto"/>
              <w:ind w:left="33"/>
              <w:jc w:val="center"/>
              <w:rPr>
                <w:sz w:val="28"/>
              </w:rPr>
            </w:pPr>
            <w:r>
              <w:rPr>
                <w:rFonts w:hint="eastAsia"/>
                <w:sz w:val="28"/>
              </w:rPr>
              <w:t>（元）</w:t>
            </w:r>
          </w:p>
        </w:tc>
        <w:tc>
          <w:tcPr>
            <w:tcW w:w="928" w:type="dxa"/>
            <w:tcBorders>
              <w:left w:val="single" w:color="000000" w:sz="4" w:space="0"/>
              <w:bottom w:val="single" w:color="000000" w:sz="4" w:space="0"/>
              <w:right w:val="single" w:color="000000" w:sz="4" w:space="0"/>
            </w:tcBorders>
          </w:tcPr>
          <w:p>
            <w:pPr>
              <w:pStyle w:val="59"/>
              <w:spacing w:before="2" w:line="360" w:lineRule="auto"/>
              <w:ind w:left="35"/>
              <w:jc w:val="center"/>
              <w:rPr>
                <w:sz w:val="28"/>
              </w:rPr>
            </w:pPr>
            <w:r>
              <w:rPr>
                <w:rFonts w:hint="eastAsia"/>
                <w:sz w:val="28"/>
              </w:rPr>
              <w:t>质量</w:t>
            </w:r>
          </w:p>
          <w:p>
            <w:pPr>
              <w:pStyle w:val="59"/>
              <w:spacing w:before="4" w:line="360" w:lineRule="auto"/>
              <w:ind w:left="35"/>
              <w:jc w:val="center"/>
              <w:rPr>
                <w:sz w:val="28"/>
              </w:rPr>
            </w:pPr>
            <w:r>
              <w:rPr>
                <w:rFonts w:hint="eastAsia"/>
                <w:sz w:val="28"/>
              </w:rPr>
              <w:t>等级</w:t>
            </w:r>
          </w:p>
        </w:tc>
        <w:tc>
          <w:tcPr>
            <w:tcW w:w="697" w:type="dxa"/>
            <w:tcBorders>
              <w:left w:val="single" w:color="000000" w:sz="4" w:space="0"/>
              <w:bottom w:val="single" w:color="000000" w:sz="4" w:space="0"/>
              <w:right w:val="single" w:color="000000" w:sz="4" w:space="0"/>
            </w:tcBorders>
          </w:tcPr>
          <w:p>
            <w:pPr>
              <w:pStyle w:val="59"/>
              <w:spacing w:before="2" w:line="360" w:lineRule="auto"/>
              <w:ind w:left="34"/>
              <w:jc w:val="center"/>
              <w:rPr>
                <w:sz w:val="28"/>
              </w:rPr>
            </w:pPr>
            <w:r>
              <w:rPr>
                <w:rFonts w:hint="eastAsia"/>
                <w:sz w:val="28"/>
              </w:rPr>
              <w:t>供应</w:t>
            </w:r>
          </w:p>
          <w:p>
            <w:pPr>
              <w:pStyle w:val="59"/>
              <w:spacing w:before="4" w:line="360" w:lineRule="auto"/>
              <w:ind w:left="34"/>
              <w:jc w:val="center"/>
              <w:rPr>
                <w:sz w:val="28"/>
              </w:rPr>
            </w:pPr>
            <w:r>
              <w:rPr>
                <w:rFonts w:hint="eastAsia"/>
                <w:sz w:val="28"/>
              </w:rPr>
              <w:t>时间</w:t>
            </w:r>
          </w:p>
        </w:tc>
        <w:tc>
          <w:tcPr>
            <w:tcW w:w="798" w:type="dxa"/>
            <w:tcBorders>
              <w:left w:val="single" w:color="000000" w:sz="4" w:space="0"/>
              <w:bottom w:val="single" w:color="000000" w:sz="4" w:space="0"/>
              <w:right w:val="single" w:color="000000" w:sz="4" w:space="0"/>
            </w:tcBorders>
          </w:tcPr>
          <w:p>
            <w:pPr>
              <w:pStyle w:val="59"/>
              <w:spacing w:before="2" w:line="360" w:lineRule="auto"/>
              <w:ind w:left="31"/>
              <w:jc w:val="center"/>
              <w:rPr>
                <w:sz w:val="28"/>
              </w:rPr>
            </w:pPr>
            <w:r>
              <w:rPr>
                <w:rFonts w:hint="eastAsia"/>
                <w:sz w:val="28"/>
              </w:rPr>
              <w:t>送达</w:t>
            </w:r>
          </w:p>
          <w:p>
            <w:pPr>
              <w:pStyle w:val="59"/>
              <w:spacing w:before="4" w:line="360" w:lineRule="auto"/>
              <w:ind w:left="31"/>
              <w:jc w:val="center"/>
              <w:rPr>
                <w:sz w:val="28"/>
              </w:rPr>
            </w:pPr>
            <w:r>
              <w:rPr>
                <w:rFonts w:hint="eastAsia"/>
                <w:sz w:val="28"/>
              </w:rPr>
              <w:t>地点</w:t>
            </w:r>
          </w:p>
        </w:tc>
        <w:tc>
          <w:tcPr>
            <w:tcW w:w="522" w:type="dxa"/>
            <w:tcBorders>
              <w:left w:val="single" w:color="000000" w:sz="4" w:space="0"/>
              <w:bottom w:val="single" w:color="000000" w:sz="4" w:space="0"/>
            </w:tcBorders>
          </w:tcPr>
          <w:p>
            <w:pPr>
              <w:pStyle w:val="59"/>
              <w:spacing w:before="2" w:line="360" w:lineRule="auto"/>
              <w:ind w:left="152"/>
              <w:jc w:val="center"/>
              <w:rPr>
                <w:sz w:val="28"/>
              </w:rPr>
            </w:pPr>
            <w:r>
              <w:rPr>
                <w:rFonts w:hint="eastAsia"/>
                <w:sz w:val="28"/>
              </w:rPr>
              <w:t>备</w:t>
            </w:r>
          </w:p>
          <w:p>
            <w:pPr>
              <w:pStyle w:val="59"/>
              <w:spacing w:before="4" w:line="360" w:lineRule="auto"/>
              <w:ind w:left="152"/>
              <w:jc w:val="center"/>
              <w:rPr>
                <w:sz w:val="28"/>
              </w:rPr>
            </w:pPr>
            <w:r>
              <w:rPr>
                <w:rFonts w:hint="eastAsia"/>
                <w:sz w:val="28"/>
              </w:rPr>
              <w:t>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77" w:type="dxa"/>
            <w:tcBorders>
              <w:top w:val="single" w:color="000000" w:sz="4" w:space="0"/>
              <w:bottom w:val="single" w:color="000000" w:sz="4" w:space="0"/>
              <w:right w:val="single" w:color="000000" w:sz="4" w:space="0"/>
            </w:tcBorders>
          </w:tcPr>
          <w:p>
            <w:pPr>
              <w:pStyle w:val="59"/>
              <w:spacing w:line="360" w:lineRule="auto"/>
              <w:rPr>
                <w:sz w:val="28"/>
              </w:rPr>
            </w:pPr>
          </w:p>
        </w:tc>
        <w:tc>
          <w:tcPr>
            <w:tcW w:w="131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8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7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2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69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52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77" w:type="dxa"/>
            <w:tcBorders>
              <w:top w:val="single" w:color="000000" w:sz="4" w:space="0"/>
              <w:bottom w:val="single" w:color="000000" w:sz="4" w:space="0"/>
              <w:right w:val="single" w:color="000000" w:sz="4" w:space="0"/>
            </w:tcBorders>
          </w:tcPr>
          <w:p>
            <w:pPr>
              <w:pStyle w:val="59"/>
              <w:spacing w:line="360" w:lineRule="auto"/>
              <w:rPr>
                <w:sz w:val="28"/>
              </w:rPr>
            </w:pPr>
          </w:p>
        </w:tc>
        <w:tc>
          <w:tcPr>
            <w:tcW w:w="131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8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7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2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69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52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77" w:type="dxa"/>
            <w:tcBorders>
              <w:top w:val="single" w:color="000000" w:sz="4" w:space="0"/>
              <w:bottom w:val="single" w:color="000000" w:sz="4" w:space="0"/>
              <w:right w:val="single" w:color="000000" w:sz="4" w:space="0"/>
            </w:tcBorders>
          </w:tcPr>
          <w:p>
            <w:pPr>
              <w:pStyle w:val="59"/>
              <w:spacing w:line="360" w:lineRule="auto"/>
              <w:rPr>
                <w:sz w:val="28"/>
              </w:rPr>
            </w:pPr>
          </w:p>
        </w:tc>
        <w:tc>
          <w:tcPr>
            <w:tcW w:w="131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8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7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2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69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52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77" w:type="dxa"/>
            <w:tcBorders>
              <w:top w:val="single" w:color="000000" w:sz="4" w:space="0"/>
              <w:bottom w:val="single" w:color="000000" w:sz="4" w:space="0"/>
              <w:right w:val="single" w:color="000000" w:sz="4" w:space="0"/>
            </w:tcBorders>
          </w:tcPr>
          <w:p>
            <w:pPr>
              <w:pStyle w:val="59"/>
              <w:spacing w:line="360" w:lineRule="auto"/>
              <w:rPr>
                <w:sz w:val="28"/>
              </w:rPr>
            </w:pPr>
          </w:p>
        </w:tc>
        <w:tc>
          <w:tcPr>
            <w:tcW w:w="131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8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7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2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69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52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77" w:type="dxa"/>
            <w:tcBorders>
              <w:top w:val="single" w:color="000000" w:sz="4" w:space="0"/>
              <w:bottom w:val="single" w:color="000000" w:sz="4" w:space="0"/>
              <w:right w:val="single" w:color="000000" w:sz="4" w:space="0"/>
            </w:tcBorders>
          </w:tcPr>
          <w:p>
            <w:pPr>
              <w:pStyle w:val="59"/>
              <w:spacing w:line="360" w:lineRule="auto"/>
              <w:rPr>
                <w:sz w:val="28"/>
              </w:rPr>
            </w:pPr>
          </w:p>
        </w:tc>
        <w:tc>
          <w:tcPr>
            <w:tcW w:w="131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8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7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2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69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52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77" w:type="dxa"/>
            <w:tcBorders>
              <w:top w:val="single" w:color="000000" w:sz="4" w:space="0"/>
              <w:bottom w:val="single" w:color="000000" w:sz="4" w:space="0"/>
              <w:right w:val="single" w:color="000000" w:sz="4" w:space="0"/>
            </w:tcBorders>
          </w:tcPr>
          <w:p>
            <w:pPr>
              <w:pStyle w:val="59"/>
              <w:spacing w:line="360" w:lineRule="auto"/>
              <w:rPr>
                <w:sz w:val="28"/>
              </w:rPr>
            </w:pPr>
          </w:p>
        </w:tc>
        <w:tc>
          <w:tcPr>
            <w:tcW w:w="131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8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7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2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69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52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77" w:type="dxa"/>
            <w:tcBorders>
              <w:top w:val="single" w:color="000000" w:sz="4" w:space="0"/>
              <w:bottom w:val="single" w:color="000000" w:sz="4" w:space="0"/>
              <w:right w:val="single" w:color="000000" w:sz="4" w:space="0"/>
            </w:tcBorders>
          </w:tcPr>
          <w:p>
            <w:pPr>
              <w:pStyle w:val="59"/>
              <w:spacing w:line="360" w:lineRule="auto"/>
              <w:rPr>
                <w:sz w:val="28"/>
              </w:rPr>
            </w:pPr>
          </w:p>
        </w:tc>
        <w:tc>
          <w:tcPr>
            <w:tcW w:w="131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8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7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2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69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52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77" w:type="dxa"/>
            <w:tcBorders>
              <w:top w:val="single" w:color="000000" w:sz="4" w:space="0"/>
              <w:bottom w:val="single" w:color="000000" w:sz="4" w:space="0"/>
              <w:right w:val="single" w:color="000000" w:sz="4" w:space="0"/>
            </w:tcBorders>
          </w:tcPr>
          <w:p>
            <w:pPr>
              <w:pStyle w:val="59"/>
              <w:spacing w:line="360" w:lineRule="auto"/>
              <w:rPr>
                <w:sz w:val="28"/>
              </w:rPr>
            </w:pPr>
          </w:p>
        </w:tc>
        <w:tc>
          <w:tcPr>
            <w:tcW w:w="131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8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7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2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69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52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77" w:type="dxa"/>
            <w:tcBorders>
              <w:top w:val="single" w:color="000000" w:sz="4" w:space="0"/>
              <w:bottom w:val="single" w:color="000000" w:sz="4" w:space="0"/>
              <w:right w:val="single" w:color="000000" w:sz="4" w:space="0"/>
            </w:tcBorders>
          </w:tcPr>
          <w:p>
            <w:pPr>
              <w:pStyle w:val="59"/>
              <w:spacing w:line="360" w:lineRule="auto"/>
              <w:rPr>
                <w:sz w:val="28"/>
              </w:rPr>
            </w:pPr>
          </w:p>
        </w:tc>
        <w:tc>
          <w:tcPr>
            <w:tcW w:w="131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8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7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2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69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52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77" w:type="dxa"/>
            <w:tcBorders>
              <w:top w:val="single" w:color="000000" w:sz="4" w:space="0"/>
              <w:bottom w:val="single" w:color="000000" w:sz="4" w:space="0"/>
              <w:right w:val="single" w:color="000000" w:sz="4" w:space="0"/>
            </w:tcBorders>
          </w:tcPr>
          <w:p>
            <w:pPr>
              <w:pStyle w:val="59"/>
              <w:spacing w:line="360" w:lineRule="auto"/>
              <w:rPr>
                <w:sz w:val="28"/>
              </w:rPr>
            </w:pPr>
          </w:p>
        </w:tc>
        <w:tc>
          <w:tcPr>
            <w:tcW w:w="131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8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7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2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69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52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77" w:type="dxa"/>
            <w:tcBorders>
              <w:top w:val="single" w:color="000000" w:sz="4" w:space="0"/>
              <w:bottom w:val="single" w:color="000000" w:sz="4" w:space="0"/>
              <w:right w:val="single" w:color="000000" w:sz="4" w:space="0"/>
            </w:tcBorders>
          </w:tcPr>
          <w:p>
            <w:pPr>
              <w:pStyle w:val="59"/>
              <w:spacing w:line="360" w:lineRule="auto"/>
              <w:rPr>
                <w:sz w:val="28"/>
              </w:rPr>
            </w:pPr>
          </w:p>
        </w:tc>
        <w:tc>
          <w:tcPr>
            <w:tcW w:w="131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8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7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2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69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52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77" w:type="dxa"/>
            <w:tcBorders>
              <w:top w:val="single" w:color="000000" w:sz="4" w:space="0"/>
              <w:bottom w:val="single" w:color="000000" w:sz="4" w:space="0"/>
              <w:right w:val="single" w:color="000000" w:sz="4" w:space="0"/>
            </w:tcBorders>
          </w:tcPr>
          <w:p>
            <w:pPr>
              <w:pStyle w:val="59"/>
              <w:spacing w:line="360" w:lineRule="auto"/>
              <w:rPr>
                <w:sz w:val="28"/>
              </w:rPr>
            </w:pPr>
          </w:p>
        </w:tc>
        <w:tc>
          <w:tcPr>
            <w:tcW w:w="131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8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7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2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69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52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9" w:hRule="atLeast"/>
        </w:trPr>
        <w:tc>
          <w:tcPr>
            <w:tcW w:w="677" w:type="dxa"/>
            <w:tcBorders>
              <w:top w:val="single" w:color="000000" w:sz="4" w:space="0"/>
              <w:bottom w:val="single" w:color="000000" w:sz="4" w:space="0"/>
              <w:right w:val="single" w:color="000000" w:sz="4" w:space="0"/>
            </w:tcBorders>
          </w:tcPr>
          <w:p>
            <w:pPr>
              <w:pStyle w:val="59"/>
              <w:spacing w:line="360" w:lineRule="auto"/>
              <w:rPr>
                <w:sz w:val="28"/>
              </w:rPr>
            </w:pPr>
          </w:p>
        </w:tc>
        <w:tc>
          <w:tcPr>
            <w:tcW w:w="131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8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7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2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69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52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77" w:type="dxa"/>
            <w:tcBorders>
              <w:top w:val="single" w:color="000000" w:sz="4" w:space="0"/>
              <w:bottom w:val="single" w:color="000000" w:sz="4" w:space="0"/>
              <w:right w:val="single" w:color="000000" w:sz="4" w:space="0"/>
            </w:tcBorders>
          </w:tcPr>
          <w:p>
            <w:pPr>
              <w:pStyle w:val="59"/>
              <w:spacing w:line="360" w:lineRule="auto"/>
              <w:rPr>
                <w:sz w:val="28"/>
              </w:rPr>
            </w:pPr>
          </w:p>
        </w:tc>
        <w:tc>
          <w:tcPr>
            <w:tcW w:w="131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8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7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2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69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52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77" w:type="dxa"/>
            <w:tcBorders>
              <w:top w:val="single" w:color="000000" w:sz="4" w:space="0"/>
              <w:bottom w:val="single" w:color="000000" w:sz="4" w:space="0"/>
              <w:right w:val="single" w:color="000000" w:sz="4" w:space="0"/>
            </w:tcBorders>
          </w:tcPr>
          <w:p>
            <w:pPr>
              <w:pStyle w:val="59"/>
              <w:spacing w:line="360" w:lineRule="auto"/>
              <w:rPr>
                <w:sz w:val="28"/>
              </w:rPr>
            </w:pPr>
          </w:p>
        </w:tc>
        <w:tc>
          <w:tcPr>
            <w:tcW w:w="131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8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7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2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69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52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77" w:type="dxa"/>
            <w:tcBorders>
              <w:top w:val="single" w:color="000000" w:sz="4" w:space="0"/>
              <w:bottom w:val="single" w:color="000000" w:sz="4" w:space="0"/>
              <w:right w:val="single" w:color="000000" w:sz="4" w:space="0"/>
            </w:tcBorders>
          </w:tcPr>
          <w:p>
            <w:pPr>
              <w:pStyle w:val="59"/>
              <w:spacing w:line="360" w:lineRule="auto"/>
              <w:rPr>
                <w:sz w:val="28"/>
              </w:rPr>
            </w:pPr>
          </w:p>
        </w:tc>
        <w:tc>
          <w:tcPr>
            <w:tcW w:w="131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32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81"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75"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2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69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79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522"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77" w:type="dxa"/>
            <w:tcBorders>
              <w:top w:val="single" w:color="000000" w:sz="4" w:space="0"/>
              <w:right w:val="single" w:color="000000" w:sz="4" w:space="0"/>
            </w:tcBorders>
          </w:tcPr>
          <w:p>
            <w:pPr>
              <w:pStyle w:val="59"/>
              <w:spacing w:line="360" w:lineRule="auto"/>
              <w:rPr>
                <w:sz w:val="28"/>
              </w:rPr>
            </w:pPr>
          </w:p>
        </w:tc>
        <w:tc>
          <w:tcPr>
            <w:tcW w:w="1311" w:type="dxa"/>
            <w:tcBorders>
              <w:top w:val="single" w:color="000000" w:sz="4" w:space="0"/>
              <w:left w:val="single" w:color="000000" w:sz="4" w:space="0"/>
              <w:right w:val="single" w:color="000000" w:sz="4" w:space="0"/>
            </w:tcBorders>
          </w:tcPr>
          <w:p>
            <w:pPr>
              <w:pStyle w:val="59"/>
              <w:spacing w:line="360" w:lineRule="auto"/>
              <w:rPr>
                <w:sz w:val="28"/>
              </w:rPr>
            </w:pPr>
          </w:p>
        </w:tc>
        <w:tc>
          <w:tcPr>
            <w:tcW w:w="1326" w:type="dxa"/>
            <w:tcBorders>
              <w:top w:val="single" w:color="000000" w:sz="4" w:space="0"/>
              <w:left w:val="single" w:color="000000" w:sz="4" w:space="0"/>
              <w:right w:val="single" w:color="000000" w:sz="4" w:space="0"/>
            </w:tcBorders>
          </w:tcPr>
          <w:p>
            <w:pPr>
              <w:pStyle w:val="59"/>
              <w:spacing w:line="360" w:lineRule="auto"/>
              <w:rPr>
                <w:sz w:val="28"/>
              </w:rPr>
            </w:pPr>
          </w:p>
        </w:tc>
        <w:tc>
          <w:tcPr>
            <w:tcW w:w="881" w:type="dxa"/>
            <w:tcBorders>
              <w:top w:val="single" w:color="000000" w:sz="4" w:space="0"/>
              <w:left w:val="single" w:color="000000" w:sz="4" w:space="0"/>
              <w:right w:val="single" w:color="000000" w:sz="4" w:space="0"/>
            </w:tcBorders>
          </w:tcPr>
          <w:p>
            <w:pPr>
              <w:pStyle w:val="59"/>
              <w:spacing w:line="360" w:lineRule="auto"/>
              <w:rPr>
                <w:sz w:val="28"/>
              </w:rPr>
            </w:pPr>
          </w:p>
        </w:tc>
        <w:tc>
          <w:tcPr>
            <w:tcW w:w="795" w:type="dxa"/>
            <w:tcBorders>
              <w:top w:val="single" w:color="000000" w:sz="4" w:space="0"/>
              <w:left w:val="single" w:color="000000" w:sz="4" w:space="0"/>
              <w:right w:val="single" w:color="000000" w:sz="4" w:space="0"/>
            </w:tcBorders>
          </w:tcPr>
          <w:p>
            <w:pPr>
              <w:pStyle w:val="59"/>
              <w:spacing w:line="360" w:lineRule="auto"/>
              <w:rPr>
                <w:sz w:val="28"/>
              </w:rPr>
            </w:pPr>
          </w:p>
        </w:tc>
        <w:tc>
          <w:tcPr>
            <w:tcW w:w="975" w:type="dxa"/>
            <w:tcBorders>
              <w:top w:val="single" w:color="000000" w:sz="4" w:space="0"/>
              <w:left w:val="single" w:color="000000" w:sz="4" w:space="0"/>
              <w:right w:val="single" w:color="000000" w:sz="4" w:space="0"/>
            </w:tcBorders>
          </w:tcPr>
          <w:p>
            <w:pPr>
              <w:pStyle w:val="59"/>
              <w:spacing w:line="360" w:lineRule="auto"/>
              <w:rPr>
                <w:sz w:val="28"/>
              </w:rPr>
            </w:pPr>
          </w:p>
        </w:tc>
        <w:tc>
          <w:tcPr>
            <w:tcW w:w="928" w:type="dxa"/>
            <w:tcBorders>
              <w:top w:val="single" w:color="000000" w:sz="4" w:space="0"/>
              <w:left w:val="single" w:color="000000" w:sz="4" w:space="0"/>
              <w:right w:val="single" w:color="000000" w:sz="4" w:space="0"/>
            </w:tcBorders>
          </w:tcPr>
          <w:p>
            <w:pPr>
              <w:pStyle w:val="59"/>
              <w:spacing w:line="360" w:lineRule="auto"/>
              <w:rPr>
                <w:sz w:val="28"/>
              </w:rPr>
            </w:pPr>
          </w:p>
        </w:tc>
        <w:tc>
          <w:tcPr>
            <w:tcW w:w="697" w:type="dxa"/>
            <w:tcBorders>
              <w:top w:val="single" w:color="000000" w:sz="4" w:space="0"/>
              <w:left w:val="single" w:color="000000" w:sz="4" w:space="0"/>
              <w:right w:val="single" w:color="000000" w:sz="4" w:space="0"/>
            </w:tcBorders>
          </w:tcPr>
          <w:p>
            <w:pPr>
              <w:pStyle w:val="59"/>
              <w:spacing w:line="360" w:lineRule="auto"/>
              <w:rPr>
                <w:sz w:val="28"/>
              </w:rPr>
            </w:pPr>
          </w:p>
        </w:tc>
        <w:tc>
          <w:tcPr>
            <w:tcW w:w="798" w:type="dxa"/>
            <w:tcBorders>
              <w:top w:val="single" w:color="000000" w:sz="4" w:space="0"/>
              <w:left w:val="single" w:color="000000" w:sz="4" w:space="0"/>
              <w:right w:val="single" w:color="000000" w:sz="4" w:space="0"/>
            </w:tcBorders>
          </w:tcPr>
          <w:p>
            <w:pPr>
              <w:pStyle w:val="59"/>
              <w:spacing w:line="360" w:lineRule="auto"/>
              <w:rPr>
                <w:sz w:val="28"/>
              </w:rPr>
            </w:pPr>
          </w:p>
        </w:tc>
        <w:tc>
          <w:tcPr>
            <w:tcW w:w="522" w:type="dxa"/>
            <w:tcBorders>
              <w:top w:val="single" w:color="000000" w:sz="4" w:space="0"/>
              <w:left w:val="single" w:color="000000" w:sz="4" w:space="0"/>
            </w:tcBorders>
          </w:tcPr>
          <w:p>
            <w:pPr>
              <w:pStyle w:val="59"/>
              <w:spacing w:line="360" w:lineRule="auto"/>
              <w:rPr>
                <w:sz w:val="28"/>
              </w:rPr>
            </w:pPr>
          </w:p>
        </w:tc>
      </w:tr>
    </w:tbl>
    <w:p>
      <w:pPr>
        <w:spacing w:line="360" w:lineRule="auto"/>
        <w:rPr>
          <w:sz w:val="28"/>
        </w:rPr>
        <w:sectPr>
          <w:pgSz w:w="11910" w:h="16840"/>
          <w:pgMar w:top="1580" w:right="1080" w:bottom="1620" w:left="1380" w:header="0" w:footer="1422" w:gutter="0"/>
          <w:cols w:space="720" w:num="1"/>
        </w:sectPr>
      </w:pPr>
    </w:p>
    <w:p>
      <w:pPr>
        <w:pStyle w:val="18"/>
        <w:spacing w:line="360" w:lineRule="auto"/>
        <w:ind w:left="381"/>
        <w:rPr>
          <w:sz w:val="2"/>
        </w:rPr>
      </w:pPr>
      <w:r>
        <w:rPr>
          <w:sz w:val="2"/>
        </w:rPr>
        <w:pict>
          <v:group id="组合 93" o:spid="_x0000_s1039" o:spt="203" style="height:0.75pt;width:418.55pt;" coordsize="8371,15">
            <o:lock v:ext="edit"/>
            <v:line id="直线 94" o:spid="_x0000_s1040" o:spt="20" style="position:absolute;left:0;top:7;height:0;width:8370;" coordsize="21600,21600">
              <v:path arrowok="t"/>
              <v:fill focussize="0,0"/>
              <v:stroke weight="0.72pt"/>
              <v:imagedata o:title=""/>
              <o:lock v:ext="edit"/>
            </v:line>
            <w10:wrap type="none"/>
            <w10:anchorlock/>
          </v:group>
        </w:pict>
      </w:r>
    </w:p>
    <w:p>
      <w:pPr>
        <w:pStyle w:val="18"/>
        <w:spacing w:before="2" w:line="360" w:lineRule="auto"/>
        <w:rPr>
          <w:sz w:val="22"/>
        </w:rPr>
      </w:pPr>
    </w:p>
    <w:p>
      <w:pPr>
        <w:spacing w:before="58" w:line="360" w:lineRule="auto"/>
        <w:ind w:left="328" w:right="7810"/>
        <w:jc w:val="center"/>
        <w:rPr>
          <w:sz w:val="30"/>
        </w:rPr>
      </w:pPr>
      <w:bookmarkStart w:id="796" w:name="_bookmark12"/>
      <w:bookmarkEnd w:id="796"/>
      <w:r>
        <w:rPr>
          <w:rFonts w:hint="eastAsia"/>
          <w:sz w:val="30"/>
        </w:rPr>
        <w:t>附件</w:t>
      </w:r>
      <w:r>
        <w:rPr>
          <w:sz w:val="30"/>
        </w:rPr>
        <w:t xml:space="preserve"> 5</w:t>
      </w:r>
      <w:r>
        <w:rPr>
          <w:rFonts w:hint="eastAsia"/>
          <w:sz w:val="30"/>
        </w:rPr>
        <w:t>：</w:t>
      </w:r>
    </w:p>
    <w:p>
      <w:pPr>
        <w:spacing w:before="4" w:after="5" w:line="360" w:lineRule="auto"/>
        <w:ind w:left="328" w:right="626"/>
        <w:jc w:val="center"/>
        <w:rPr>
          <w:sz w:val="30"/>
        </w:rPr>
      </w:pPr>
      <w:r>
        <w:rPr>
          <w:rFonts w:hint="eastAsia"/>
          <w:sz w:val="30"/>
        </w:rPr>
        <w:t>发包人供应苗木一览表</w:t>
      </w:r>
    </w:p>
    <w:tbl>
      <w:tblPr>
        <w:tblStyle w:val="36"/>
        <w:tblW w:w="0" w:type="auto"/>
        <w:tblInd w:w="366"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26"/>
        <w:gridCol w:w="1284"/>
        <w:gridCol w:w="1423"/>
        <w:gridCol w:w="946"/>
        <w:gridCol w:w="854"/>
        <w:gridCol w:w="1048"/>
        <w:gridCol w:w="857"/>
        <w:gridCol w:w="933"/>
        <w:gridCol w:w="47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26" w:hRule="atLeast"/>
        </w:trPr>
        <w:tc>
          <w:tcPr>
            <w:tcW w:w="626" w:type="dxa"/>
            <w:tcBorders>
              <w:bottom w:val="single" w:color="000000" w:sz="4" w:space="0"/>
              <w:right w:val="single" w:color="000000" w:sz="4" w:space="0"/>
            </w:tcBorders>
          </w:tcPr>
          <w:p>
            <w:pPr>
              <w:pStyle w:val="59"/>
              <w:spacing w:before="2" w:line="360" w:lineRule="auto"/>
              <w:ind w:left="25"/>
              <w:jc w:val="center"/>
              <w:rPr>
                <w:sz w:val="28"/>
              </w:rPr>
            </w:pPr>
            <w:r>
              <w:rPr>
                <w:rFonts w:hint="eastAsia"/>
                <w:sz w:val="28"/>
              </w:rPr>
              <w:t>序</w:t>
            </w:r>
          </w:p>
          <w:p>
            <w:pPr>
              <w:pStyle w:val="59"/>
              <w:spacing w:before="4" w:line="360" w:lineRule="auto"/>
              <w:ind w:left="25"/>
              <w:jc w:val="center"/>
              <w:rPr>
                <w:sz w:val="28"/>
              </w:rPr>
            </w:pPr>
            <w:r>
              <w:rPr>
                <w:rFonts w:hint="eastAsia"/>
                <w:sz w:val="28"/>
              </w:rPr>
              <w:t>号</w:t>
            </w:r>
          </w:p>
        </w:tc>
        <w:tc>
          <w:tcPr>
            <w:tcW w:w="1284" w:type="dxa"/>
            <w:tcBorders>
              <w:left w:val="single" w:color="000000" w:sz="4" w:space="0"/>
              <w:bottom w:val="single" w:color="000000" w:sz="4" w:space="0"/>
              <w:right w:val="single" w:color="000000" w:sz="4" w:space="0"/>
            </w:tcBorders>
          </w:tcPr>
          <w:p>
            <w:pPr>
              <w:pStyle w:val="59"/>
              <w:spacing w:before="2" w:line="360" w:lineRule="auto"/>
              <w:ind w:left="36"/>
              <w:jc w:val="center"/>
              <w:rPr>
                <w:sz w:val="28"/>
              </w:rPr>
            </w:pPr>
            <w:r>
              <w:rPr>
                <w:rFonts w:hint="eastAsia"/>
                <w:spacing w:val="14"/>
                <w:sz w:val="28"/>
              </w:rPr>
              <w:t>苗木材料</w:t>
            </w:r>
          </w:p>
          <w:p>
            <w:pPr>
              <w:pStyle w:val="59"/>
              <w:tabs>
                <w:tab w:val="left" w:pos="876"/>
              </w:tabs>
              <w:spacing w:before="4" w:line="360" w:lineRule="auto"/>
              <w:ind w:left="36"/>
              <w:jc w:val="center"/>
              <w:rPr>
                <w:sz w:val="28"/>
              </w:rPr>
            </w:pPr>
            <w:r>
              <w:rPr>
                <w:rFonts w:hint="eastAsia"/>
                <w:sz w:val="28"/>
              </w:rPr>
              <w:t>名</w:t>
            </w:r>
            <w:r>
              <w:rPr>
                <w:sz w:val="28"/>
              </w:rPr>
              <w:tab/>
            </w:r>
            <w:r>
              <w:rPr>
                <w:rFonts w:hint="eastAsia"/>
                <w:sz w:val="28"/>
              </w:rPr>
              <w:t>称</w:t>
            </w:r>
          </w:p>
        </w:tc>
        <w:tc>
          <w:tcPr>
            <w:tcW w:w="1423" w:type="dxa"/>
            <w:tcBorders>
              <w:left w:val="single" w:color="000000" w:sz="4" w:space="0"/>
              <w:bottom w:val="single" w:color="000000" w:sz="4" w:space="0"/>
              <w:right w:val="single" w:color="000000" w:sz="4" w:space="0"/>
            </w:tcBorders>
          </w:tcPr>
          <w:p>
            <w:pPr>
              <w:pStyle w:val="59"/>
              <w:spacing w:before="182" w:line="360" w:lineRule="auto"/>
              <w:ind w:left="36"/>
              <w:jc w:val="center"/>
              <w:rPr>
                <w:sz w:val="28"/>
              </w:rPr>
            </w:pPr>
            <w:r>
              <w:rPr>
                <w:rFonts w:hint="eastAsia"/>
                <w:sz w:val="28"/>
              </w:rPr>
              <w:t>规格</w:t>
            </w:r>
          </w:p>
        </w:tc>
        <w:tc>
          <w:tcPr>
            <w:tcW w:w="946" w:type="dxa"/>
            <w:tcBorders>
              <w:left w:val="single" w:color="000000" w:sz="4" w:space="0"/>
              <w:bottom w:val="single" w:color="000000" w:sz="4" w:space="0"/>
              <w:right w:val="single" w:color="000000" w:sz="4" w:space="0"/>
            </w:tcBorders>
          </w:tcPr>
          <w:p>
            <w:pPr>
              <w:pStyle w:val="59"/>
              <w:spacing w:before="182" w:line="360" w:lineRule="auto"/>
              <w:ind w:left="39"/>
              <w:jc w:val="center"/>
              <w:rPr>
                <w:sz w:val="28"/>
              </w:rPr>
            </w:pPr>
            <w:r>
              <w:rPr>
                <w:rFonts w:hint="eastAsia"/>
                <w:sz w:val="28"/>
              </w:rPr>
              <w:t>单位</w:t>
            </w:r>
          </w:p>
        </w:tc>
        <w:tc>
          <w:tcPr>
            <w:tcW w:w="854" w:type="dxa"/>
            <w:tcBorders>
              <w:left w:val="single" w:color="000000" w:sz="4" w:space="0"/>
              <w:bottom w:val="single" w:color="000000" w:sz="4" w:space="0"/>
              <w:right w:val="single" w:color="000000" w:sz="4" w:space="0"/>
            </w:tcBorders>
          </w:tcPr>
          <w:p>
            <w:pPr>
              <w:pStyle w:val="59"/>
              <w:spacing w:before="182" w:line="360" w:lineRule="auto"/>
              <w:ind w:left="36"/>
              <w:jc w:val="center"/>
              <w:rPr>
                <w:sz w:val="28"/>
              </w:rPr>
            </w:pPr>
            <w:r>
              <w:rPr>
                <w:rFonts w:hint="eastAsia"/>
                <w:sz w:val="28"/>
              </w:rPr>
              <w:t>数量</w:t>
            </w:r>
          </w:p>
        </w:tc>
        <w:tc>
          <w:tcPr>
            <w:tcW w:w="1048" w:type="dxa"/>
            <w:tcBorders>
              <w:left w:val="single" w:color="000000" w:sz="4" w:space="0"/>
              <w:bottom w:val="single" w:color="000000" w:sz="4" w:space="0"/>
              <w:right w:val="single" w:color="000000" w:sz="4" w:space="0"/>
            </w:tcBorders>
          </w:tcPr>
          <w:p>
            <w:pPr>
              <w:pStyle w:val="59"/>
              <w:tabs>
                <w:tab w:val="left" w:pos="690"/>
              </w:tabs>
              <w:spacing w:before="2" w:line="360" w:lineRule="auto"/>
              <w:ind w:left="39"/>
              <w:jc w:val="center"/>
              <w:rPr>
                <w:sz w:val="28"/>
              </w:rPr>
            </w:pPr>
            <w:r>
              <w:rPr>
                <w:rFonts w:hint="eastAsia"/>
                <w:sz w:val="28"/>
              </w:rPr>
              <w:t>单</w:t>
            </w:r>
            <w:r>
              <w:rPr>
                <w:sz w:val="28"/>
              </w:rPr>
              <w:tab/>
            </w:r>
            <w:r>
              <w:rPr>
                <w:rFonts w:hint="eastAsia"/>
                <w:sz w:val="28"/>
              </w:rPr>
              <w:t>价</w:t>
            </w:r>
          </w:p>
          <w:p>
            <w:pPr>
              <w:pStyle w:val="59"/>
              <w:spacing w:before="4" w:line="360" w:lineRule="auto"/>
              <w:ind w:left="39"/>
              <w:jc w:val="center"/>
              <w:rPr>
                <w:sz w:val="28"/>
              </w:rPr>
            </w:pPr>
            <w:r>
              <w:rPr>
                <w:rFonts w:hint="eastAsia"/>
                <w:sz w:val="28"/>
              </w:rPr>
              <w:t>（元）</w:t>
            </w:r>
          </w:p>
        </w:tc>
        <w:tc>
          <w:tcPr>
            <w:tcW w:w="857" w:type="dxa"/>
            <w:tcBorders>
              <w:left w:val="single" w:color="000000" w:sz="4" w:space="0"/>
              <w:bottom w:val="single" w:color="000000" w:sz="4" w:space="0"/>
              <w:right w:val="single" w:color="000000" w:sz="4" w:space="0"/>
            </w:tcBorders>
          </w:tcPr>
          <w:p>
            <w:pPr>
              <w:pStyle w:val="59"/>
              <w:spacing w:before="2" w:line="360" w:lineRule="auto"/>
              <w:ind w:left="40"/>
              <w:jc w:val="center"/>
              <w:rPr>
                <w:sz w:val="28"/>
              </w:rPr>
            </w:pPr>
            <w:r>
              <w:rPr>
                <w:rFonts w:hint="eastAsia"/>
                <w:sz w:val="28"/>
              </w:rPr>
              <w:t>供</w:t>
            </w:r>
            <w:r>
              <w:rPr>
                <w:sz w:val="28"/>
              </w:rPr>
              <w:t xml:space="preserve"> </w:t>
            </w:r>
            <w:r>
              <w:rPr>
                <w:rFonts w:hint="eastAsia"/>
                <w:sz w:val="28"/>
              </w:rPr>
              <w:t>应</w:t>
            </w:r>
          </w:p>
          <w:p>
            <w:pPr>
              <w:pStyle w:val="59"/>
              <w:spacing w:before="4" w:line="360" w:lineRule="auto"/>
              <w:ind w:left="40"/>
              <w:jc w:val="center"/>
              <w:rPr>
                <w:sz w:val="28"/>
              </w:rPr>
            </w:pPr>
            <w:r>
              <w:rPr>
                <w:rFonts w:hint="eastAsia"/>
                <w:sz w:val="28"/>
              </w:rPr>
              <w:t>时</w:t>
            </w:r>
            <w:r>
              <w:rPr>
                <w:sz w:val="28"/>
              </w:rPr>
              <w:t xml:space="preserve"> </w:t>
            </w:r>
            <w:r>
              <w:rPr>
                <w:rFonts w:hint="eastAsia"/>
                <w:sz w:val="28"/>
              </w:rPr>
              <w:t>间</w:t>
            </w:r>
          </w:p>
        </w:tc>
        <w:tc>
          <w:tcPr>
            <w:tcW w:w="933" w:type="dxa"/>
            <w:tcBorders>
              <w:left w:val="single" w:color="000000" w:sz="4" w:space="0"/>
              <w:bottom w:val="single" w:color="000000" w:sz="4" w:space="0"/>
              <w:right w:val="single" w:color="000000" w:sz="4" w:space="0"/>
            </w:tcBorders>
          </w:tcPr>
          <w:p>
            <w:pPr>
              <w:pStyle w:val="59"/>
              <w:spacing w:before="2" w:line="360" w:lineRule="auto"/>
              <w:ind w:left="38"/>
              <w:jc w:val="center"/>
              <w:rPr>
                <w:sz w:val="28"/>
              </w:rPr>
            </w:pPr>
            <w:r>
              <w:rPr>
                <w:rFonts w:hint="eastAsia"/>
                <w:sz w:val="28"/>
              </w:rPr>
              <w:t>送</w:t>
            </w:r>
            <w:r>
              <w:rPr>
                <w:sz w:val="28"/>
              </w:rPr>
              <w:t xml:space="preserve"> </w:t>
            </w:r>
            <w:r>
              <w:rPr>
                <w:rFonts w:hint="eastAsia"/>
                <w:sz w:val="28"/>
              </w:rPr>
              <w:t>达</w:t>
            </w:r>
          </w:p>
          <w:p>
            <w:pPr>
              <w:pStyle w:val="59"/>
              <w:spacing w:before="4" w:line="360" w:lineRule="auto"/>
              <w:ind w:left="38"/>
              <w:jc w:val="center"/>
              <w:rPr>
                <w:sz w:val="28"/>
              </w:rPr>
            </w:pPr>
            <w:r>
              <w:rPr>
                <w:rFonts w:hint="eastAsia"/>
                <w:sz w:val="28"/>
              </w:rPr>
              <w:t>地</w:t>
            </w:r>
            <w:r>
              <w:rPr>
                <w:sz w:val="28"/>
              </w:rPr>
              <w:t xml:space="preserve"> </w:t>
            </w:r>
            <w:r>
              <w:rPr>
                <w:rFonts w:hint="eastAsia"/>
                <w:sz w:val="28"/>
              </w:rPr>
              <w:t>点</w:t>
            </w:r>
          </w:p>
        </w:tc>
        <w:tc>
          <w:tcPr>
            <w:tcW w:w="475" w:type="dxa"/>
            <w:tcBorders>
              <w:left w:val="single" w:color="000000" w:sz="4" w:space="0"/>
              <w:bottom w:val="single" w:color="000000" w:sz="4" w:space="0"/>
            </w:tcBorders>
          </w:tcPr>
          <w:p>
            <w:pPr>
              <w:pStyle w:val="59"/>
              <w:spacing w:before="2" w:line="360" w:lineRule="auto"/>
              <w:ind w:left="41"/>
              <w:jc w:val="center"/>
              <w:rPr>
                <w:sz w:val="28"/>
              </w:rPr>
            </w:pPr>
            <w:r>
              <w:rPr>
                <w:rFonts w:hint="eastAsia"/>
                <w:sz w:val="28"/>
              </w:rPr>
              <w:t>备</w:t>
            </w:r>
          </w:p>
          <w:p>
            <w:pPr>
              <w:pStyle w:val="59"/>
              <w:spacing w:before="4" w:line="360" w:lineRule="auto"/>
              <w:ind w:left="41"/>
              <w:jc w:val="center"/>
              <w:rPr>
                <w:sz w:val="28"/>
              </w:rPr>
            </w:pPr>
            <w:r>
              <w:rPr>
                <w:rFonts w:hint="eastAsia"/>
                <w:sz w:val="28"/>
              </w:rPr>
              <w:t>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26" w:type="dxa"/>
            <w:tcBorders>
              <w:top w:val="single" w:color="000000" w:sz="4" w:space="0"/>
              <w:bottom w:val="single" w:color="000000" w:sz="4" w:space="0"/>
              <w:right w:val="single" w:color="000000" w:sz="4" w:space="0"/>
            </w:tcBorders>
          </w:tcPr>
          <w:p>
            <w:pPr>
              <w:pStyle w:val="59"/>
              <w:spacing w:line="360" w:lineRule="auto"/>
              <w:rPr>
                <w:sz w:val="28"/>
              </w:rPr>
            </w:pPr>
          </w:p>
        </w:tc>
        <w:tc>
          <w:tcPr>
            <w:tcW w:w="128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4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4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4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3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75"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26" w:type="dxa"/>
            <w:tcBorders>
              <w:top w:val="single" w:color="000000" w:sz="4" w:space="0"/>
              <w:bottom w:val="single" w:color="000000" w:sz="4" w:space="0"/>
              <w:right w:val="single" w:color="000000" w:sz="4" w:space="0"/>
            </w:tcBorders>
          </w:tcPr>
          <w:p>
            <w:pPr>
              <w:pStyle w:val="59"/>
              <w:spacing w:line="360" w:lineRule="auto"/>
              <w:rPr>
                <w:sz w:val="28"/>
              </w:rPr>
            </w:pPr>
          </w:p>
        </w:tc>
        <w:tc>
          <w:tcPr>
            <w:tcW w:w="128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4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4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4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3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75"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26" w:type="dxa"/>
            <w:tcBorders>
              <w:top w:val="single" w:color="000000" w:sz="4" w:space="0"/>
              <w:bottom w:val="single" w:color="000000" w:sz="4" w:space="0"/>
              <w:right w:val="single" w:color="000000" w:sz="4" w:space="0"/>
            </w:tcBorders>
          </w:tcPr>
          <w:p>
            <w:pPr>
              <w:pStyle w:val="59"/>
              <w:spacing w:line="360" w:lineRule="auto"/>
              <w:rPr>
                <w:sz w:val="28"/>
              </w:rPr>
            </w:pPr>
          </w:p>
        </w:tc>
        <w:tc>
          <w:tcPr>
            <w:tcW w:w="128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4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4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4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3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75"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26" w:type="dxa"/>
            <w:tcBorders>
              <w:top w:val="single" w:color="000000" w:sz="4" w:space="0"/>
              <w:bottom w:val="single" w:color="000000" w:sz="4" w:space="0"/>
              <w:right w:val="single" w:color="000000" w:sz="4" w:space="0"/>
            </w:tcBorders>
          </w:tcPr>
          <w:p>
            <w:pPr>
              <w:pStyle w:val="59"/>
              <w:spacing w:line="360" w:lineRule="auto"/>
              <w:rPr>
                <w:sz w:val="28"/>
              </w:rPr>
            </w:pPr>
          </w:p>
        </w:tc>
        <w:tc>
          <w:tcPr>
            <w:tcW w:w="128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4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4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4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3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75"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26" w:type="dxa"/>
            <w:tcBorders>
              <w:top w:val="single" w:color="000000" w:sz="4" w:space="0"/>
              <w:bottom w:val="single" w:color="000000" w:sz="4" w:space="0"/>
              <w:right w:val="single" w:color="000000" w:sz="4" w:space="0"/>
            </w:tcBorders>
          </w:tcPr>
          <w:p>
            <w:pPr>
              <w:pStyle w:val="59"/>
              <w:spacing w:line="360" w:lineRule="auto"/>
              <w:rPr>
                <w:sz w:val="28"/>
              </w:rPr>
            </w:pPr>
          </w:p>
        </w:tc>
        <w:tc>
          <w:tcPr>
            <w:tcW w:w="128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4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4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4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3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75"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26" w:type="dxa"/>
            <w:tcBorders>
              <w:top w:val="single" w:color="000000" w:sz="4" w:space="0"/>
              <w:bottom w:val="single" w:color="000000" w:sz="4" w:space="0"/>
              <w:right w:val="single" w:color="000000" w:sz="4" w:space="0"/>
            </w:tcBorders>
          </w:tcPr>
          <w:p>
            <w:pPr>
              <w:pStyle w:val="59"/>
              <w:spacing w:line="360" w:lineRule="auto"/>
              <w:rPr>
                <w:sz w:val="28"/>
              </w:rPr>
            </w:pPr>
          </w:p>
        </w:tc>
        <w:tc>
          <w:tcPr>
            <w:tcW w:w="128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4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4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4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3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75"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26" w:type="dxa"/>
            <w:tcBorders>
              <w:top w:val="single" w:color="000000" w:sz="4" w:space="0"/>
              <w:bottom w:val="single" w:color="000000" w:sz="4" w:space="0"/>
              <w:right w:val="single" w:color="000000" w:sz="4" w:space="0"/>
            </w:tcBorders>
          </w:tcPr>
          <w:p>
            <w:pPr>
              <w:pStyle w:val="59"/>
              <w:spacing w:line="360" w:lineRule="auto"/>
              <w:rPr>
                <w:sz w:val="28"/>
              </w:rPr>
            </w:pPr>
          </w:p>
        </w:tc>
        <w:tc>
          <w:tcPr>
            <w:tcW w:w="128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4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4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4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3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75"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26" w:type="dxa"/>
            <w:tcBorders>
              <w:top w:val="single" w:color="000000" w:sz="4" w:space="0"/>
              <w:bottom w:val="single" w:color="000000" w:sz="4" w:space="0"/>
              <w:right w:val="single" w:color="000000" w:sz="4" w:space="0"/>
            </w:tcBorders>
          </w:tcPr>
          <w:p>
            <w:pPr>
              <w:pStyle w:val="59"/>
              <w:spacing w:line="360" w:lineRule="auto"/>
              <w:rPr>
                <w:sz w:val="28"/>
              </w:rPr>
            </w:pPr>
          </w:p>
        </w:tc>
        <w:tc>
          <w:tcPr>
            <w:tcW w:w="128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4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4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4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3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75"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26" w:type="dxa"/>
            <w:tcBorders>
              <w:top w:val="single" w:color="000000" w:sz="4" w:space="0"/>
              <w:bottom w:val="single" w:color="000000" w:sz="4" w:space="0"/>
              <w:right w:val="single" w:color="000000" w:sz="4" w:space="0"/>
            </w:tcBorders>
          </w:tcPr>
          <w:p>
            <w:pPr>
              <w:pStyle w:val="59"/>
              <w:spacing w:line="360" w:lineRule="auto"/>
              <w:rPr>
                <w:sz w:val="28"/>
              </w:rPr>
            </w:pPr>
          </w:p>
        </w:tc>
        <w:tc>
          <w:tcPr>
            <w:tcW w:w="128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4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4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4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3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75"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26" w:type="dxa"/>
            <w:tcBorders>
              <w:top w:val="single" w:color="000000" w:sz="4" w:space="0"/>
              <w:bottom w:val="single" w:color="000000" w:sz="4" w:space="0"/>
              <w:right w:val="single" w:color="000000" w:sz="4" w:space="0"/>
            </w:tcBorders>
          </w:tcPr>
          <w:p>
            <w:pPr>
              <w:pStyle w:val="59"/>
              <w:spacing w:line="360" w:lineRule="auto"/>
              <w:rPr>
                <w:sz w:val="28"/>
              </w:rPr>
            </w:pPr>
          </w:p>
        </w:tc>
        <w:tc>
          <w:tcPr>
            <w:tcW w:w="128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4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4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4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3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75"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26" w:type="dxa"/>
            <w:tcBorders>
              <w:top w:val="single" w:color="000000" w:sz="4" w:space="0"/>
              <w:bottom w:val="single" w:color="000000" w:sz="4" w:space="0"/>
              <w:right w:val="single" w:color="000000" w:sz="4" w:space="0"/>
            </w:tcBorders>
          </w:tcPr>
          <w:p>
            <w:pPr>
              <w:pStyle w:val="59"/>
              <w:spacing w:line="360" w:lineRule="auto"/>
              <w:rPr>
                <w:sz w:val="28"/>
              </w:rPr>
            </w:pPr>
          </w:p>
        </w:tc>
        <w:tc>
          <w:tcPr>
            <w:tcW w:w="128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4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4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4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3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75"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6" w:hRule="atLeast"/>
        </w:trPr>
        <w:tc>
          <w:tcPr>
            <w:tcW w:w="626" w:type="dxa"/>
            <w:tcBorders>
              <w:top w:val="single" w:color="000000" w:sz="4" w:space="0"/>
              <w:bottom w:val="single" w:color="000000" w:sz="4" w:space="0"/>
              <w:right w:val="single" w:color="000000" w:sz="4" w:space="0"/>
            </w:tcBorders>
          </w:tcPr>
          <w:p>
            <w:pPr>
              <w:pStyle w:val="59"/>
              <w:spacing w:line="360" w:lineRule="auto"/>
              <w:rPr>
                <w:sz w:val="28"/>
              </w:rPr>
            </w:pPr>
          </w:p>
        </w:tc>
        <w:tc>
          <w:tcPr>
            <w:tcW w:w="128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4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4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4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3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75"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8" w:hRule="atLeast"/>
        </w:trPr>
        <w:tc>
          <w:tcPr>
            <w:tcW w:w="626" w:type="dxa"/>
            <w:tcBorders>
              <w:top w:val="single" w:color="000000" w:sz="4" w:space="0"/>
              <w:bottom w:val="single" w:color="000000" w:sz="4" w:space="0"/>
              <w:right w:val="single" w:color="000000" w:sz="4" w:space="0"/>
            </w:tcBorders>
          </w:tcPr>
          <w:p>
            <w:pPr>
              <w:pStyle w:val="59"/>
              <w:spacing w:line="360" w:lineRule="auto"/>
              <w:rPr>
                <w:sz w:val="28"/>
              </w:rPr>
            </w:pPr>
          </w:p>
        </w:tc>
        <w:tc>
          <w:tcPr>
            <w:tcW w:w="128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4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4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4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3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75"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26" w:type="dxa"/>
            <w:tcBorders>
              <w:top w:val="single" w:color="000000" w:sz="4" w:space="0"/>
              <w:bottom w:val="single" w:color="000000" w:sz="4" w:space="0"/>
              <w:right w:val="single" w:color="000000" w:sz="4" w:space="0"/>
            </w:tcBorders>
          </w:tcPr>
          <w:p>
            <w:pPr>
              <w:pStyle w:val="59"/>
              <w:spacing w:line="360" w:lineRule="auto"/>
              <w:rPr>
                <w:sz w:val="28"/>
              </w:rPr>
            </w:pPr>
          </w:p>
        </w:tc>
        <w:tc>
          <w:tcPr>
            <w:tcW w:w="128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4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4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4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3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75"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9" w:hRule="atLeast"/>
        </w:trPr>
        <w:tc>
          <w:tcPr>
            <w:tcW w:w="626" w:type="dxa"/>
            <w:tcBorders>
              <w:top w:val="single" w:color="000000" w:sz="4" w:space="0"/>
              <w:bottom w:val="single" w:color="000000" w:sz="4" w:space="0"/>
              <w:right w:val="single" w:color="000000" w:sz="4" w:space="0"/>
            </w:tcBorders>
          </w:tcPr>
          <w:p>
            <w:pPr>
              <w:pStyle w:val="59"/>
              <w:spacing w:line="360" w:lineRule="auto"/>
              <w:rPr>
                <w:sz w:val="28"/>
              </w:rPr>
            </w:pPr>
          </w:p>
        </w:tc>
        <w:tc>
          <w:tcPr>
            <w:tcW w:w="128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4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4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4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3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75"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5" w:hRule="atLeast"/>
        </w:trPr>
        <w:tc>
          <w:tcPr>
            <w:tcW w:w="626" w:type="dxa"/>
            <w:tcBorders>
              <w:top w:val="single" w:color="000000" w:sz="4" w:space="0"/>
              <w:bottom w:val="single" w:color="000000" w:sz="4" w:space="0"/>
              <w:right w:val="single" w:color="000000" w:sz="4" w:space="0"/>
            </w:tcBorders>
          </w:tcPr>
          <w:p>
            <w:pPr>
              <w:pStyle w:val="59"/>
              <w:spacing w:line="360" w:lineRule="auto"/>
              <w:rPr>
                <w:sz w:val="28"/>
              </w:rPr>
            </w:pPr>
          </w:p>
        </w:tc>
        <w:tc>
          <w:tcPr>
            <w:tcW w:w="128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42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46"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4"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1048"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857"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933" w:type="dxa"/>
            <w:tcBorders>
              <w:top w:val="single" w:color="000000" w:sz="4" w:space="0"/>
              <w:left w:val="single" w:color="000000" w:sz="4" w:space="0"/>
              <w:bottom w:val="single" w:color="000000" w:sz="4" w:space="0"/>
              <w:right w:val="single" w:color="000000" w:sz="4" w:space="0"/>
            </w:tcBorders>
          </w:tcPr>
          <w:p>
            <w:pPr>
              <w:pStyle w:val="59"/>
              <w:spacing w:line="360" w:lineRule="auto"/>
              <w:rPr>
                <w:sz w:val="28"/>
              </w:rPr>
            </w:pPr>
          </w:p>
        </w:tc>
        <w:tc>
          <w:tcPr>
            <w:tcW w:w="475" w:type="dxa"/>
            <w:tcBorders>
              <w:top w:val="single" w:color="000000" w:sz="4" w:space="0"/>
              <w:left w:val="single" w:color="000000" w:sz="4" w:space="0"/>
              <w:bottom w:val="single" w:color="000000" w:sz="4" w:space="0"/>
            </w:tcBorders>
          </w:tcPr>
          <w:p>
            <w:pPr>
              <w:pStyle w:val="59"/>
              <w:spacing w:line="360" w:lineRule="auto"/>
              <w:rPr>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7" w:hRule="atLeast"/>
        </w:trPr>
        <w:tc>
          <w:tcPr>
            <w:tcW w:w="626" w:type="dxa"/>
            <w:tcBorders>
              <w:top w:val="single" w:color="000000" w:sz="4" w:space="0"/>
              <w:right w:val="single" w:color="000000" w:sz="4" w:space="0"/>
            </w:tcBorders>
          </w:tcPr>
          <w:p>
            <w:pPr>
              <w:pStyle w:val="59"/>
              <w:spacing w:line="360" w:lineRule="auto"/>
              <w:rPr>
                <w:sz w:val="28"/>
              </w:rPr>
            </w:pPr>
          </w:p>
        </w:tc>
        <w:tc>
          <w:tcPr>
            <w:tcW w:w="1284" w:type="dxa"/>
            <w:tcBorders>
              <w:top w:val="single" w:color="000000" w:sz="4" w:space="0"/>
              <w:left w:val="single" w:color="000000" w:sz="4" w:space="0"/>
              <w:right w:val="single" w:color="000000" w:sz="4" w:space="0"/>
            </w:tcBorders>
          </w:tcPr>
          <w:p>
            <w:pPr>
              <w:pStyle w:val="59"/>
              <w:spacing w:line="360" w:lineRule="auto"/>
              <w:rPr>
                <w:sz w:val="28"/>
              </w:rPr>
            </w:pPr>
          </w:p>
        </w:tc>
        <w:tc>
          <w:tcPr>
            <w:tcW w:w="1423" w:type="dxa"/>
            <w:tcBorders>
              <w:top w:val="single" w:color="000000" w:sz="4" w:space="0"/>
              <w:left w:val="single" w:color="000000" w:sz="4" w:space="0"/>
              <w:right w:val="single" w:color="000000" w:sz="4" w:space="0"/>
            </w:tcBorders>
          </w:tcPr>
          <w:p>
            <w:pPr>
              <w:pStyle w:val="59"/>
              <w:spacing w:line="360" w:lineRule="auto"/>
              <w:rPr>
                <w:sz w:val="28"/>
              </w:rPr>
            </w:pPr>
          </w:p>
        </w:tc>
        <w:tc>
          <w:tcPr>
            <w:tcW w:w="946" w:type="dxa"/>
            <w:tcBorders>
              <w:top w:val="single" w:color="000000" w:sz="4" w:space="0"/>
              <w:left w:val="single" w:color="000000" w:sz="4" w:space="0"/>
              <w:right w:val="single" w:color="000000" w:sz="4" w:space="0"/>
            </w:tcBorders>
          </w:tcPr>
          <w:p>
            <w:pPr>
              <w:pStyle w:val="59"/>
              <w:spacing w:line="360" w:lineRule="auto"/>
              <w:rPr>
                <w:sz w:val="28"/>
              </w:rPr>
            </w:pPr>
          </w:p>
        </w:tc>
        <w:tc>
          <w:tcPr>
            <w:tcW w:w="854" w:type="dxa"/>
            <w:tcBorders>
              <w:top w:val="single" w:color="000000" w:sz="4" w:space="0"/>
              <w:left w:val="single" w:color="000000" w:sz="4" w:space="0"/>
              <w:right w:val="single" w:color="000000" w:sz="4" w:space="0"/>
            </w:tcBorders>
          </w:tcPr>
          <w:p>
            <w:pPr>
              <w:pStyle w:val="59"/>
              <w:spacing w:line="360" w:lineRule="auto"/>
              <w:rPr>
                <w:sz w:val="28"/>
              </w:rPr>
            </w:pPr>
          </w:p>
        </w:tc>
        <w:tc>
          <w:tcPr>
            <w:tcW w:w="1048" w:type="dxa"/>
            <w:tcBorders>
              <w:top w:val="single" w:color="000000" w:sz="4" w:space="0"/>
              <w:left w:val="single" w:color="000000" w:sz="4" w:space="0"/>
              <w:right w:val="single" w:color="000000" w:sz="4" w:space="0"/>
            </w:tcBorders>
          </w:tcPr>
          <w:p>
            <w:pPr>
              <w:pStyle w:val="59"/>
              <w:spacing w:line="360" w:lineRule="auto"/>
              <w:rPr>
                <w:sz w:val="28"/>
              </w:rPr>
            </w:pPr>
          </w:p>
        </w:tc>
        <w:tc>
          <w:tcPr>
            <w:tcW w:w="857" w:type="dxa"/>
            <w:tcBorders>
              <w:top w:val="single" w:color="000000" w:sz="4" w:space="0"/>
              <w:left w:val="single" w:color="000000" w:sz="4" w:space="0"/>
              <w:right w:val="single" w:color="000000" w:sz="4" w:space="0"/>
            </w:tcBorders>
          </w:tcPr>
          <w:p>
            <w:pPr>
              <w:pStyle w:val="59"/>
              <w:spacing w:line="360" w:lineRule="auto"/>
              <w:rPr>
                <w:sz w:val="28"/>
              </w:rPr>
            </w:pPr>
          </w:p>
        </w:tc>
        <w:tc>
          <w:tcPr>
            <w:tcW w:w="933" w:type="dxa"/>
            <w:tcBorders>
              <w:top w:val="single" w:color="000000" w:sz="4" w:space="0"/>
              <w:left w:val="single" w:color="000000" w:sz="4" w:space="0"/>
              <w:right w:val="single" w:color="000000" w:sz="4" w:space="0"/>
            </w:tcBorders>
          </w:tcPr>
          <w:p>
            <w:pPr>
              <w:pStyle w:val="59"/>
              <w:spacing w:line="360" w:lineRule="auto"/>
              <w:rPr>
                <w:sz w:val="28"/>
              </w:rPr>
            </w:pPr>
          </w:p>
        </w:tc>
        <w:tc>
          <w:tcPr>
            <w:tcW w:w="475" w:type="dxa"/>
            <w:tcBorders>
              <w:top w:val="single" w:color="000000" w:sz="4" w:space="0"/>
              <w:left w:val="single" w:color="000000" w:sz="4" w:space="0"/>
            </w:tcBorders>
          </w:tcPr>
          <w:p>
            <w:pPr>
              <w:pStyle w:val="59"/>
              <w:spacing w:line="360" w:lineRule="auto"/>
              <w:rPr>
                <w:sz w:val="28"/>
              </w:rPr>
            </w:pPr>
          </w:p>
        </w:tc>
      </w:tr>
    </w:tbl>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spacing w:before="212" w:line="360" w:lineRule="auto"/>
        <w:rPr>
          <w:sz w:val="24"/>
          <w:szCs w:val="24"/>
        </w:rPr>
      </w:pPr>
      <w:bookmarkStart w:id="797" w:name="_bookmark13"/>
      <w:bookmarkEnd w:id="797"/>
      <w:r>
        <w:rPr>
          <w:rFonts w:hint="eastAsia"/>
          <w:sz w:val="24"/>
          <w:szCs w:val="24"/>
        </w:rPr>
        <w:t>附件</w:t>
      </w:r>
      <w:r>
        <w:rPr>
          <w:sz w:val="24"/>
          <w:szCs w:val="24"/>
        </w:rPr>
        <w:t xml:space="preserve"> 6:</w:t>
      </w:r>
    </w:p>
    <w:p>
      <w:pPr>
        <w:spacing w:line="360" w:lineRule="auto"/>
        <w:jc w:val="center"/>
        <w:rPr>
          <w:b/>
          <w:bCs/>
          <w:sz w:val="24"/>
          <w:szCs w:val="24"/>
        </w:rPr>
      </w:pPr>
      <w:r>
        <w:rPr>
          <w:rFonts w:hint="eastAsia"/>
          <w:b/>
          <w:bCs/>
          <w:sz w:val="24"/>
          <w:szCs w:val="24"/>
        </w:rPr>
        <w:t>绿化养护责任书</w:t>
      </w:r>
    </w:p>
    <w:p>
      <w:pPr>
        <w:spacing w:line="360" w:lineRule="auto"/>
        <w:ind w:firstLine="480" w:firstLineChars="200"/>
        <w:rPr>
          <w:spacing w:val="-2"/>
          <w:sz w:val="24"/>
          <w:szCs w:val="24"/>
        </w:rPr>
      </w:pPr>
      <w:r>
        <w:rPr>
          <w:rFonts w:hint="eastAsia"/>
          <w:sz w:val="24"/>
          <w:szCs w:val="24"/>
        </w:rPr>
        <w:t>发包人和承包人根据《园林绿化养护标准》（</w:t>
      </w:r>
      <w:r>
        <w:rPr>
          <w:sz w:val="24"/>
          <w:szCs w:val="24"/>
        </w:rPr>
        <w:t>CJJ/T287</w:t>
      </w:r>
      <w:r>
        <w:rPr>
          <w:rFonts w:hint="eastAsia"/>
          <w:sz w:val="24"/>
          <w:szCs w:val="24"/>
        </w:rPr>
        <w:t>）或</w:t>
      </w:r>
      <w:r>
        <w:rPr>
          <w:sz w:val="24"/>
          <w:szCs w:val="24"/>
          <w:u w:val="single"/>
        </w:rPr>
        <w:tab/>
      </w:r>
      <w:r>
        <w:rPr>
          <w:rFonts w:hint="eastAsia"/>
          <w:sz w:val="24"/>
          <w:szCs w:val="24"/>
        </w:rPr>
        <w:t>（地方标准</w:t>
      </w:r>
      <w:r>
        <w:rPr>
          <w:rFonts w:hint="eastAsia"/>
          <w:spacing w:val="-44"/>
          <w:sz w:val="24"/>
          <w:szCs w:val="24"/>
        </w:rPr>
        <w:t>）</w:t>
      </w:r>
      <w:r>
        <w:rPr>
          <w:rFonts w:hint="eastAsia"/>
          <w:spacing w:val="-7"/>
          <w:sz w:val="24"/>
          <w:szCs w:val="24"/>
        </w:rPr>
        <w:t>等相关规定，经协商一致就</w:t>
      </w:r>
      <w:r>
        <w:rPr>
          <w:sz w:val="24"/>
          <w:szCs w:val="24"/>
          <w:u w:val="single"/>
        </w:rPr>
        <w:tab/>
      </w:r>
      <w:r>
        <w:rPr>
          <w:sz w:val="24"/>
          <w:szCs w:val="24"/>
          <w:u w:val="single"/>
        </w:rPr>
        <w:tab/>
      </w:r>
      <w:r>
        <w:rPr>
          <w:sz w:val="24"/>
          <w:szCs w:val="24"/>
          <w:u w:val="single"/>
        </w:rPr>
        <w:t xml:space="preserve">         </w:t>
      </w:r>
      <w:r>
        <w:rPr>
          <w:rFonts w:hint="eastAsia"/>
          <w:sz w:val="24"/>
          <w:szCs w:val="24"/>
        </w:rPr>
        <w:t>（项目名称）</w:t>
      </w:r>
      <w:r>
        <w:rPr>
          <w:rFonts w:hint="eastAsia"/>
          <w:spacing w:val="-2"/>
          <w:sz w:val="24"/>
          <w:szCs w:val="24"/>
        </w:rPr>
        <w:t>签订绿化养护责任书。</w:t>
      </w:r>
    </w:p>
    <w:p>
      <w:pPr>
        <w:tabs>
          <w:tab w:val="left" w:pos="3418"/>
        </w:tabs>
        <w:spacing w:line="360" w:lineRule="auto"/>
        <w:ind w:firstLine="482" w:firstLineChars="200"/>
        <w:rPr>
          <w:b/>
          <w:sz w:val="24"/>
          <w:szCs w:val="24"/>
        </w:rPr>
      </w:pPr>
      <w:r>
        <w:rPr>
          <w:rFonts w:hint="eastAsia"/>
          <w:b/>
          <w:sz w:val="24"/>
          <w:szCs w:val="24"/>
        </w:rPr>
        <w:t>一、责任范围和内容</w:t>
      </w:r>
    </w:p>
    <w:p>
      <w:pPr>
        <w:spacing w:line="360" w:lineRule="auto"/>
        <w:ind w:firstLine="480" w:firstLineChars="200"/>
        <w:rPr>
          <w:sz w:val="24"/>
          <w:szCs w:val="24"/>
        </w:rPr>
      </w:pPr>
      <w:r>
        <w:rPr>
          <w:rFonts w:hint="eastAsia"/>
          <w:sz w:val="24"/>
          <w:szCs w:val="24"/>
        </w:rPr>
        <w:t>承包人在绿化养护期内，按照有关法律规定和合同约定，承担施工范围内的绿化养护责任。</w:t>
      </w:r>
    </w:p>
    <w:p>
      <w:pPr>
        <w:tabs>
          <w:tab w:val="left" w:pos="8800"/>
        </w:tabs>
        <w:spacing w:line="360" w:lineRule="auto"/>
        <w:ind w:firstLine="480" w:firstLineChars="200"/>
        <w:rPr>
          <w:sz w:val="24"/>
          <w:szCs w:val="24"/>
        </w:rPr>
      </w:pPr>
      <w:r>
        <w:rPr>
          <w:rFonts w:hint="eastAsia"/>
          <w:sz w:val="24"/>
          <w:szCs w:val="24"/>
        </w:rPr>
        <w:t>内容包括对养护范围内植物采取的整形修剪</w:t>
      </w:r>
      <w:r>
        <w:rPr>
          <w:rFonts w:hint="eastAsia"/>
          <w:spacing w:val="-44"/>
          <w:sz w:val="24"/>
          <w:szCs w:val="24"/>
        </w:rPr>
        <w:t>、</w:t>
      </w:r>
      <w:r>
        <w:rPr>
          <w:rFonts w:hint="eastAsia"/>
          <w:sz w:val="24"/>
          <w:szCs w:val="24"/>
        </w:rPr>
        <w:t>松土除草</w:t>
      </w:r>
      <w:r>
        <w:rPr>
          <w:rFonts w:hint="eastAsia"/>
          <w:spacing w:val="-44"/>
          <w:sz w:val="24"/>
          <w:szCs w:val="24"/>
        </w:rPr>
        <w:t>、</w:t>
      </w:r>
      <w:r>
        <w:rPr>
          <w:rFonts w:hint="eastAsia"/>
          <w:sz w:val="24"/>
          <w:szCs w:val="24"/>
        </w:rPr>
        <w:t>灌溉与排水</w:t>
      </w:r>
      <w:r>
        <w:rPr>
          <w:rFonts w:hint="eastAsia"/>
          <w:spacing w:val="-17"/>
          <w:sz w:val="24"/>
          <w:szCs w:val="24"/>
        </w:rPr>
        <w:t>、</w:t>
      </w:r>
      <w:r>
        <w:rPr>
          <w:rFonts w:hint="eastAsia"/>
          <w:sz w:val="24"/>
          <w:szCs w:val="24"/>
        </w:rPr>
        <w:t>施肥</w:t>
      </w:r>
      <w:r>
        <w:rPr>
          <w:rFonts w:hint="eastAsia"/>
          <w:spacing w:val="-20"/>
          <w:sz w:val="24"/>
          <w:szCs w:val="24"/>
        </w:rPr>
        <w:t>、</w:t>
      </w:r>
      <w:r>
        <w:rPr>
          <w:rFonts w:hint="eastAsia"/>
          <w:sz w:val="24"/>
          <w:szCs w:val="24"/>
        </w:rPr>
        <w:t>有害生物防治</w:t>
      </w:r>
      <w:r>
        <w:rPr>
          <w:rFonts w:hint="eastAsia"/>
          <w:spacing w:val="-17"/>
          <w:sz w:val="24"/>
          <w:szCs w:val="24"/>
        </w:rPr>
        <w:t>、</w:t>
      </w:r>
      <w:r>
        <w:rPr>
          <w:rFonts w:hint="eastAsia"/>
          <w:sz w:val="24"/>
          <w:szCs w:val="24"/>
        </w:rPr>
        <w:t>改植与补植</w:t>
      </w:r>
      <w:r>
        <w:rPr>
          <w:rFonts w:hint="eastAsia"/>
          <w:spacing w:val="-17"/>
          <w:sz w:val="24"/>
          <w:szCs w:val="24"/>
        </w:rPr>
        <w:t>、</w:t>
      </w:r>
      <w:r>
        <w:rPr>
          <w:rFonts w:hint="eastAsia"/>
          <w:sz w:val="24"/>
          <w:szCs w:val="24"/>
        </w:rPr>
        <w:t>绿地防</w:t>
      </w:r>
      <w:r>
        <w:rPr>
          <w:rFonts w:hint="eastAsia"/>
          <w:spacing w:val="-17"/>
          <w:sz w:val="24"/>
          <w:szCs w:val="24"/>
        </w:rPr>
        <w:t>护</w:t>
      </w:r>
      <w:r>
        <w:rPr>
          <w:rFonts w:hint="eastAsia"/>
          <w:sz w:val="24"/>
          <w:szCs w:val="24"/>
        </w:rPr>
        <w:t>（如防台风、防寒）等技术措施；其他内容双方约定如下</w:t>
      </w:r>
      <w:r>
        <w:rPr>
          <w:rFonts w:hint="eastAsia"/>
          <w:spacing w:val="3"/>
          <w:sz w:val="24"/>
          <w:szCs w:val="24"/>
        </w:rPr>
        <w:t>：</w:t>
      </w:r>
      <w:r>
        <w:rPr>
          <w:sz w:val="24"/>
          <w:szCs w:val="24"/>
          <w:u w:val="single"/>
        </w:rPr>
        <w:tab/>
      </w:r>
    </w:p>
    <w:p>
      <w:pPr>
        <w:spacing w:line="360" w:lineRule="auto"/>
        <w:ind w:firstLine="482" w:firstLineChars="200"/>
        <w:rPr>
          <w:b/>
          <w:sz w:val="24"/>
          <w:szCs w:val="24"/>
        </w:rPr>
      </w:pPr>
      <w:r>
        <w:rPr>
          <w:rFonts w:hint="eastAsia"/>
          <w:b/>
          <w:sz w:val="24"/>
          <w:szCs w:val="24"/>
        </w:rPr>
        <w:t>二、养护标准</w:t>
      </w:r>
    </w:p>
    <w:p>
      <w:pPr>
        <w:spacing w:line="360" w:lineRule="auto"/>
        <w:ind w:firstLine="480" w:firstLineChars="200"/>
        <w:rPr>
          <w:b/>
          <w:sz w:val="24"/>
          <w:szCs w:val="24"/>
        </w:rPr>
      </w:pPr>
      <w:r>
        <w:rPr>
          <w:rFonts w:hint="eastAsia"/>
          <w:sz w:val="24"/>
          <w:szCs w:val="24"/>
        </w:rPr>
        <w:t>绿化养护质量按照《园林绿化养护标准》（</w:t>
      </w:r>
      <w:r>
        <w:rPr>
          <w:sz w:val="24"/>
          <w:szCs w:val="24"/>
        </w:rPr>
        <w:t>CJJ/T287</w:t>
      </w:r>
      <w:r>
        <w:rPr>
          <w:rFonts w:hint="eastAsia"/>
          <w:sz w:val="24"/>
          <w:szCs w:val="24"/>
        </w:rPr>
        <w:t>）或</w:t>
      </w:r>
      <w:r>
        <w:rPr>
          <w:sz w:val="24"/>
          <w:szCs w:val="24"/>
          <w:u w:val="single"/>
        </w:rPr>
        <w:tab/>
      </w:r>
      <w:r>
        <w:rPr>
          <w:sz w:val="24"/>
          <w:szCs w:val="24"/>
          <w:u w:val="single"/>
        </w:rPr>
        <w:tab/>
      </w:r>
      <w:r>
        <w:rPr>
          <w:rFonts w:hint="eastAsia"/>
          <w:sz w:val="24"/>
          <w:szCs w:val="24"/>
        </w:rPr>
        <w:t>（地方标准）</w:t>
      </w:r>
      <w:r>
        <w:rPr>
          <w:rFonts w:hint="eastAsia"/>
          <w:spacing w:val="3"/>
          <w:sz w:val="24"/>
          <w:szCs w:val="24"/>
        </w:rPr>
        <w:t>中</w:t>
      </w:r>
      <w:r>
        <w:rPr>
          <w:spacing w:val="3"/>
          <w:sz w:val="24"/>
          <w:szCs w:val="24"/>
          <w:u w:val="single"/>
        </w:rPr>
        <w:tab/>
      </w:r>
      <w:r>
        <w:rPr>
          <w:rFonts w:hint="eastAsia"/>
          <w:sz w:val="24"/>
          <w:szCs w:val="24"/>
        </w:rPr>
        <w:t>级标准</w:t>
      </w:r>
      <w:r>
        <w:rPr>
          <w:rFonts w:hint="eastAsia"/>
          <w:spacing w:val="-16"/>
          <w:sz w:val="24"/>
          <w:szCs w:val="24"/>
        </w:rPr>
        <w:t>。</w:t>
      </w:r>
    </w:p>
    <w:p>
      <w:pPr>
        <w:pStyle w:val="58"/>
        <w:tabs>
          <w:tab w:val="left" w:pos="687"/>
          <w:tab w:val="left" w:pos="3382"/>
          <w:tab w:val="left" w:pos="6082"/>
        </w:tabs>
        <w:spacing w:line="360" w:lineRule="auto"/>
        <w:ind w:left="0" w:firstLine="482" w:firstLineChars="200"/>
        <w:rPr>
          <w:b/>
          <w:sz w:val="24"/>
          <w:szCs w:val="24"/>
        </w:rPr>
      </w:pPr>
      <w:r>
        <w:rPr>
          <w:rFonts w:hint="eastAsia"/>
          <w:b/>
          <w:sz w:val="24"/>
          <w:szCs w:val="24"/>
        </w:rPr>
        <w:t>三、考核标准</w:t>
      </w:r>
    </w:p>
    <w:p>
      <w:pPr>
        <w:tabs>
          <w:tab w:val="left" w:pos="5754"/>
        </w:tabs>
        <w:spacing w:line="360" w:lineRule="auto"/>
        <w:ind w:firstLine="496" w:firstLineChars="200"/>
        <w:rPr>
          <w:sz w:val="24"/>
          <w:szCs w:val="24"/>
        </w:rPr>
      </w:pPr>
      <w:r>
        <w:rPr>
          <w:rFonts w:hint="eastAsia"/>
          <w:spacing w:val="4"/>
          <w:sz w:val="24"/>
          <w:szCs w:val="24"/>
        </w:rPr>
        <w:t>由发包人</w:t>
      </w:r>
      <w:r>
        <w:rPr>
          <w:rFonts w:hint="eastAsia"/>
          <w:spacing w:val="7"/>
          <w:sz w:val="24"/>
          <w:szCs w:val="24"/>
        </w:rPr>
        <w:t>按</w:t>
      </w:r>
      <w:r>
        <w:rPr>
          <w:spacing w:val="7"/>
          <w:sz w:val="24"/>
          <w:szCs w:val="24"/>
          <w:u w:val="single"/>
        </w:rPr>
        <w:tab/>
      </w:r>
      <w:r>
        <w:rPr>
          <w:rFonts w:hint="eastAsia"/>
          <w:spacing w:val="4"/>
          <w:sz w:val="24"/>
          <w:szCs w:val="24"/>
        </w:rPr>
        <w:t>（国家标</w:t>
      </w:r>
      <w:r>
        <w:rPr>
          <w:rFonts w:hint="eastAsia"/>
          <w:spacing w:val="7"/>
          <w:sz w:val="24"/>
          <w:szCs w:val="24"/>
        </w:rPr>
        <w:t>准</w:t>
      </w:r>
      <w:r>
        <w:rPr>
          <w:rFonts w:hint="eastAsia"/>
          <w:sz w:val="24"/>
          <w:szCs w:val="24"/>
        </w:rPr>
        <w:t>、</w:t>
      </w:r>
      <w:r>
        <w:rPr>
          <w:rFonts w:hint="eastAsia"/>
          <w:spacing w:val="4"/>
          <w:sz w:val="24"/>
          <w:szCs w:val="24"/>
        </w:rPr>
        <w:t>行业标</w:t>
      </w:r>
      <w:r>
        <w:rPr>
          <w:rFonts w:hint="eastAsia"/>
          <w:sz w:val="24"/>
          <w:szCs w:val="24"/>
        </w:rPr>
        <w:t>准</w:t>
      </w:r>
      <w:r>
        <w:rPr>
          <w:rFonts w:hint="eastAsia"/>
          <w:spacing w:val="-4"/>
          <w:sz w:val="24"/>
          <w:szCs w:val="24"/>
        </w:rPr>
        <w:t>、</w:t>
      </w:r>
      <w:r>
        <w:rPr>
          <w:rFonts w:hint="eastAsia"/>
          <w:sz w:val="24"/>
          <w:szCs w:val="24"/>
        </w:rPr>
        <w:t>地方标准</w:t>
      </w:r>
      <w:r>
        <w:rPr>
          <w:rFonts w:hint="eastAsia"/>
          <w:spacing w:val="-29"/>
          <w:sz w:val="24"/>
          <w:szCs w:val="24"/>
        </w:rPr>
        <w:t>）</w:t>
      </w:r>
      <w:r>
        <w:rPr>
          <w:rFonts w:hint="eastAsia"/>
          <w:sz w:val="24"/>
          <w:szCs w:val="24"/>
        </w:rPr>
        <w:t>中</w:t>
      </w:r>
      <w:r>
        <w:rPr>
          <w:sz w:val="24"/>
          <w:szCs w:val="24"/>
          <w:u w:val="single"/>
        </w:rPr>
        <w:tab/>
      </w:r>
      <w:r>
        <w:rPr>
          <w:rFonts w:hint="eastAsia"/>
          <w:sz w:val="24"/>
          <w:szCs w:val="24"/>
        </w:rPr>
        <w:t>级标准进行考核</w:t>
      </w:r>
      <w:r>
        <w:rPr>
          <w:rFonts w:hint="eastAsia"/>
          <w:spacing w:val="-27"/>
          <w:sz w:val="24"/>
          <w:szCs w:val="24"/>
        </w:rPr>
        <w:t>，</w:t>
      </w:r>
      <w:r>
        <w:rPr>
          <w:rFonts w:hint="eastAsia"/>
          <w:sz w:val="24"/>
          <w:szCs w:val="24"/>
        </w:rPr>
        <w:t>相关费用从质量保证</w:t>
      </w:r>
      <w:r>
        <w:rPr>
          <w:rFonts w:hint="eastAsia"/>
          <w:spacing w:val="-17"/>
          <w:sz w:val="24"/>
          <w:szCs w:val="24"/>
        </w:rPr>
        <w:t>金</w:t>
      </w:r>
      <w:r>
        <w:rPr>
          <w:rFonts w:hint="eastAsia"/>
          <w:sz w:val="24"/>
          <w:szCs w:val="24"/>
        </w:rPr>
        <w:t>中扣除。</w:t>
      </w:r>
    </w:p>
    <w:p>
      <w:pPr>
        <w:spacing w:line="360" w:lineRule="auto"/>
        <w:ind w:firstLine="482" w:firstLineChars="200"/>
        <w:rPr>
          <w:b/>
          <w:sz w:val="24"/>
          <w:szCs w:val="24"/>
        </w:rPr>
      </w:pPr>
      <w:r>
        <w:rPr>
          <w:rFonts w:hint="eastAsia"/>
          <w:b/>
          <w:sz w:val="24"/>
          <w:szCs w:val="24"/>
        </w:rPr>
        <w:t>四、绿化养护期</w:t>
      </w:r>
    </w:p>
    <w:p>
      <w:pPr>
        <w:tabs>
          <w:tab w:val="left" w:pos="3116"/>
        </w:tabs>
        <w:spacing w:line="360" w:lineRule="auto"/>
        <w:ind w:firstLine="480" w:firstLineChars="200"/>
        <w:rPr>
          <w:spacing w:val="-17"/>
          <w:sz w:val="24"/>
          <w:szCs w:val="24"/>
        </w:rPr>
      </w:pPr>
      <w:r>
        <w:rPr>
          <w:rFonts w:hint="eastAsia"/>
          <w:sz w:val="24"/>
          <w:szCs w:val="24"/>
        </w:rPr>
        <w:t>绿化养护</w:t>
      </w:r>
      <w:r>
        <w:rPr>
          <w:rFonts w:hint="eastAsia"/>
          <w:spacing w:val="3"/>
          <w:sz w:val="24"/>
          <w:szCs w:val="24"/>
        </w:rPr>
        <w:t>期</w:t>
      </w:r>
      <w:r>
        <w:rPr>
          <w:spacing w:val="3"/>
          <w:sz w:val="24"/>
          <w:szCs w:val="24"/>
          <w:u w:val="single"/>
        </w:rPr>
        <w:tab/>
      </w:r>
      <w:r>
        <w:rPr>
          <w:rFonts w:hint="eastAsia"/>
          <w:sz w:val="24"/>
          <w:szCs w:val="24"/>
        </w:rPr>
        <w:t>个月，从工程竣工验收合格之日起计算</w:t>
      </w:r>
      <w:r>
        <w:rPr>
          <w:rFonts w:hint="eastAsia"/>
          <w:spacing w:val="-17"/>
          <w:sz w:val="24"/>
          <w:szCs w:val="24"/>
        </w:rPr>
        <w:t>。</w:t>
      </w:r>
    </w:p>
    <w:p>
      <w:pPr>
        <w:tabs>
          <w:tab w:val="left" w:pos="3116"/>
        </w:tabs>
        <w:spacing w:line="360" w:lineRule="auto"/>
        <w:ind w:firstLine="482" w:firstLineChars="200"/>
        <w:rPr>
          <w:b/>
          <w:sz w:val="24"/>
          <w:szCs w:val="24"/>
        </w:rPr>
      </w:pPr>
      <w:r>
        <w:rPr>
          <w:rFonts w:hint="eastAsia"/>
          <w:b/>
          <w:sz w:val="24"/>
          <w:szCs w:val="24"/>
        </w:rPr>
        <w:t>五、养护责任</w:t>
      </w:r>
    </w:p>
    <w:p>
      <w:pPr>
        <w:pStyle w:val="58"/>
        <w:tabs>
          <w:tab w:val="left" w:pos="1576"/>
        </w:tabs>
        <w:spacing w:line="360" w:lineRule="auto"/>
        <w:ind w:left="0" w:firstLine="0"/>
        <w:rPr>
          <w:sz w:val="24"/>
          <w:szCs w:val="24"/>
        </w:rPr>
      </w:pPr>
      <w:r>
        <w:rPr>
          <w:spacing w:val="-3"/>
          <w:sz w:val="24"/>
          <w:szCs w:val="24"/>
          <w:lang w:val="en-US"/>
        </w:rPr>
        <w:t>1.</w:t>
      </w:r>
      <w:r>
        <w:rPr>
          <w:rFonts w:hint="eastAsia"/>
          <w:spacing w:val="-3"/>
          <w:sz w:val="24"/>
          <w:szCs w:val="24"/>
        </w:rPr>
        <w:t>为确保养护质量，承包人应安排专业队伍和人员进行养</w:t>
      </w:r>
    </w:p>
    <w:p>
      <w:pPr>
        <w:spacing w:line="360" w:lineRule="auto"/>
        <w:ind w:firstLine="480" w:firstLineChars="200"/>
        <w:rPr>
          <w:sz w:val="24"/>
          <w:szCs w:val="24"/>
        </w:rPr>
      </w:pPr>
      <w:r>
        <w:rPr>
          <w:rFonts w:hint="eastAsia"/>
          <w:sz w:val="24"/>
          <w:szCs w:val="24"/>
        </w:rPr>
        <w:t>护管理。</w:t>
      </w:r>
    </w:p>
    <w:p>
      <w:pPr>
        <w:pStyle w:val="58"/>
        <w:tabs>
          <w:tab w:val="left" w:pos="1576"/>
        </w:tabs>
        <w:spacing w:line="360" w:lineRule="auto"/>
        <w:ind w:left="0" w:firstLine="0"/>
        <w:rPr>
          <w:sz w:val="24"/>
          <w:szCs w:val="24"/>
        </w:rPr>
      </w:pPr>
      <w:r>
        <w:rPr>
          <w:spacing w:val="-3"/>
          <w:sz w:val="24"/>
          <w:szCs w:val="24"/>
          <w:lang w:val="en-US"/>
        </w:rPr>
        <w:t>2.</w:t>
      </w:r>
      <w:r>
        <w:rPr>
          <w:rFonts w:hint="eastAsia"/>
          <w:spacing w:val="-3"/>
          <w:sz w:val="24"/>
          <w:szCs w:val="24"/>
        </w:rPr>
        <w:t>承包人在养护过程中应采取安全措施，避免造成对第三</w:t>
      </w:r>
      <w:r>
        <w:rPr>
          <w:rFonts w:hint="eastAsia"/>
          <w:sz w:val="24"/>
          <w:szCs w:val="24"/>
        </w:rPr>
        <w:t>方人身和财产的损害。因承包人操作不当、管理不善而造成人</w:t>
      </w:r>
      <w:r>
        <w:rPr>
          <w:rFonts w:hint="eastAsia"/>
          <w:spacing w:val="-6"/>
          <w:sz w:val="24"/>
          <w:szCs w:val="24"/>
        </w:rPr>
        <w:t>身伤害或财产损失的，由承包人承担。发生紧急事故需处置的，</w:t>
      </w:r>
      <w:r>
        <w:rPr>
          <w:spacing w:val="-6"/>
          <w:sz w:val="24"/>
          <w:szCs w:val="24"/>
        </w:rPr>
        <w:t xml:space="preserve"> </w:t>
      </w:r>
      <w:r>
        <w:rPr>
          <w:rFonts w:hint="eastAsia"/>
          <w:sz w:val="24"/>
          <w:szCs w:val="24"/>
        </w:rPr>
        <w:t>承包人在接到事故通知后，应当立即到达事故现场处置。</w:t>
      </w:r>
    </w:p>
    <w:p>
      <w:pPr>
        <w:pStyle w:val="58"/>
        <w:tabs>
          <w:tab w:val="left" w:pos="1574"/>
        </w:tabs>
        <w:spacing w:line="360" w:lineRule="auto"/>
        <w:ind w:left="0" w:firstLine="0"/>
        <w:rPr>
          <w:sz w:val="24"/>
          <w:szCs w:val="24"/>
        </w:rPr>
      </w:pPr>
      <w:r>
        <w:rPr>
          <w:spacing w:val="-8"/>
          <w:sz w:val="24"/>
          <w:szCs w:val="24"/>
          <w:lang w:val="en-US"/>
        </w:rPr>
        <w:t>3.</w:t>
      </w:r>
      <w:r>
        <w:rPr>
          <w:rFonts w:hint="eastAsia"/>
          <w:spacing w:val="-8"/>
          <w:sz w:val="24"/>
          <w:szCs w:val="24"/>
        </w:rPr>
        <w:t>苗木成活率按合同约定执行，发生苗木等植物材料死亡</w:t>
      </w:r>
      <w:r>
        <w:rPr>
          <w:rFonts w:hint="eastAsia"/>
          <w:spacing w:val="-4"/>
          <w:sz w:val="24"/>
          <w:szCs w:val="24"/>
        </w:rPr>
        <w:t>，须按原设计品种和规格及时更换，更换费用由承包人承担。</w:t>
      </w:r>
    </w:p>
    <w:p>
      <w:pPr>
        <w:pStyle w:val="58"/>
        <w:tabs>
          <w:tab w:val="left" w:pos="1576"/>
        </w:tabs>
        <w:spacing w:line="360" w:lineRule="auto"/>
        <w:ind w:left="0" w:firstLine="0"/>
        <w:rPr>
          <w:sz w:val="24"/>
          <w:szCs w:val="24"/>
        </w:rPr>
      </w:pPr>
      <w:r>
        <w:rPr>
          <w:sz w:val="24"/>
          <w:szCs w:val="24"/>
          <w:lang w:val="en-US"/>
        </w:rPr>
        <w:t>4.</w:t>
      </w:r>
      <w:r>
        <w:rPr>
          <w:rFonts w:hint="eastAsia"/>
          <w:sz w:val="24"/>
          <w:szCs w:val="24"/>
        </w:rPr>
        <w:t>绿化养护期满后，由发包人组织验收。</w:t>
      </w:r>
    </w:p>
    <w:p>
      <w:pPr>
        <w:pStyle w:val="58"/>
        <w:tabs>
          <w:tab w:val="left" w:pos="1576"/>
          <w:tab w:val="left" w:pos="8800"/>
        </w:tabs>
        <w:spacing w:line="360" w:lineRule="auto"/>
        <w:ind w:left="0" w:firstLine="0"/>
        <w:rPr>
          <w:sz w:val="24"/>
          <w:szCs w:val="24"/>
        </w:rPr>
      </w:pPr>
      <w:r>
        <w:rPr>
          <w:sz w:val="24"/>
          <w:szCs w:val="24"/>
          <w:lang w:val="en-US"/>
        </w:rPr>
        <w:t>5.</w:t>
      </w:r>
      <w:r>
        <w:rPr>
          <w:rFonts w:hint="eastAsia"/>
          <w:sz w:val="24"/>
          <w:szCs w:val="24"/>
        </w:rPr>
        <w:t>其他责任约定</w:t>
      </w:r>
      <w:r>
        <w:rPr>
          <w:rFonts w:hint="eastAsia"/>
          <w:spacing w:val="3"/>
          <w:sz w:val="24"/>
          <w:szCs w:val="24"/>
        </w:rPr>
        <w:t>：</w:t>
      </w:r>
      <w:r>
        <w:rPr>
          <w:sz w:val="24"/>
          <w:szCs w:val="24"/>
          <w:u w:val="single"/>
        </w:rPr>
        <w:tab/>
      </w:r>
    </w:p>
    <w:p>
      <w:pPr>
        <w:pStyle w:val="18"/>
        <w:spacing w:line="360" w:lineRule="auto"/>
        <w:ind w:firstLine="482" w:firstLineChars="200"/>
        <w:rPr>
          <w:b/>
        </w:rPr>
      </w:pPr>
      <w:r>
        <w:rPr>
          <w:rFonts w:hint="eastAsia"/>
          <w:b/>
        </w:rPr>
        <w:t>六、养护费用</w:t>
      </w:r>
    </w:p>
    <w:p>
      <w:pPr>
        <w:spacing w:line="360" w:lineRule="auto"/>
        <w:ind w:firstLine="480" w:firstLineChars="200"/>
        <w:rPr>
          <w:sz w:val="24"/>
          <w:szCs w:val="24"/>
        </w:rPr>
      </w:pPr>
      <w:r>
        <w:rPr>
          <w:rFonts w:hint="eastAsia"/>
          <w:sz w:val="24"/>
          <w:szCs w:val="24"/>
        </w:rPr>
        <w:t>养护费用由承包人承担。</w:t>
      </w:r>
    </w:p>
    <w:p>
      <w:pPr>
        <w:tabs>
          <w:tab w:val="left" w:pos="8800"/>
        </w:tabs>
        <w:spacing w:line="360" w:lineRule="auto"/>
        <w:ind w:firstLine="482" w:firstLineChars="200"/>
        <w:rPr>
          <w:sz w:val="24"/>
          <w:szCs w:val="24"/>
        </w:rPr>
      </w:pPr>
      <w:r>
        <w:rPr>
          <w:rFonts w:hint="eastAsia"/>
          <w:b/>
          <w:sz w:val="24"/>
          <w:szCs w:val="24"/>
        </w:rPr>
        <w:t>七、其他约定</w:t>
      </w:r>
      <w:r>
        <w:rPr>
          <w:rFonts w:hint="eastAsia"/>
          <w:sz w:val="24"/>
          <w:szCs w:val="24"/>
        </w:rPr>
        <w:t>：</w:t>
      </w:r>
      <w:r>
        <w:rPr>
          <w:sz w:val="24"/>
          <w:szCs w:val="24"/>
          <w:u w:val="single"/>
        </w:rPr>
        <w:tab/>
      </w:r>
    </w:p>
    <w:p>
      <w:pPr>
        <w:pStyle w:val="18"/>
        <w:spacing w:line="360" w:lineRule="auto"/>
        <w:ind w:firstLine="480" w:firstLineChars="200"/>
      </w:pPr>
    </w:p>
    <w:p>
      <w:pPr>
        <w:pStyle w:val="18"/>
        <w:spacing w:line="360" w:lineRule="auto"/>
        <w:ind w:firstLine="480" w:firstLineChars="200"/>
      </w:pPr>
    </w:p>
    <w:p>
      <w:pPr>
        <w:pStyle w:val="18"/>
        <w:spacing w:line="360" w:lineRule="auto"/>
        <w:ind w:firstLine="480" w:firstLineChars="200"/>
      </w:pPr>
      <w:r>
        <w:rPr>
          <w:rFonts w:hint="eastAsia"/>
        </w:rPr>
        <w:t>绿化养护责任书由发包人、承包人在工程竣工验收前共同签署，作为施工合同附件，其有效期限至绿化养护期满。</w:t>
      </w:r>
    </w:p>
    <w:p>
      <w:pPr>
        <w:pStyle w:val="18"/>
        <w:spacing w:line="360" w:lineRule="auto"/>
      </w:pPr>
    </w:p>
    <w:p>
      <w:pPr>
        <w:pStyle w:val="18"/>
        <w:spacing w:line="360" w:lineRule="auto"/>
      </w:pPr>
    </w:p>
    <w:p>
      <w:pPr>
        <w:pStyle w:val="18"/>
        <w:spacing w:line="360" w:lineRule="auto"/>
      </w:pPr>
    </w:p>
    <w:p>
      <w:pPr>
        <w:pStyle w:val="18"/>
        <w:spacing w:before="6" w:line="360" w:lineRule="auto"/>
      </w:pPr>
    </w:p>
    <w:p>
      <w:pPr>
        <w:spacing w:line="360" w:lineRule="auto"/>
        <w:rPr>
          <w:sz w:val="24"/>
          <w:szCs w:val="24"/>
        </w:rPr>
        <w:sectPr>
          <w:footerReference r:id="rId22" w:type="default"/>
          <w:pgSz w:w="11910" w:h="16840"/>
          <w:pgMar w:top="1060" w:right="1080" w:bottom="0" w:left="1380" w:header="0" w:footer="0" w:gutter="0"/>
          <w:cols w:space="720" w:num="1"/>
        </w:sectPr>
      </w:pPr>
    </w:p>
    <w:p>
      <w:pPr>
        <w:pStyle w:val="5"/>
        <w:spacing w:line="360" w:lineRule="auto"/>
        <w:ind w:left="0"/>
        <w:rPr>
          <w:rFonts w:ascii="宋体" w:cs="宋体"/>
          <w:sz w:val="24"/>
          <w:szCs w:val="24"/>
        </w:rPr>
      </w:pPr>
      <w:r>
        <w:rPr>
          <w:rFonts w:hint="eastAsia" w:ascii="宋体" w:hAnsi="宋体" w:cs="宋体"/>
          <w:spacing w:val="-36"/>
          <w:sz w:val="24"/>
          <w:szCs w:val="24"/>
        </w:rPr>
        <w:t>发包人：</w:t>
      </w:r>
      <w:r>
        <w:rPr>
          <w:rFonts w:hint="eastAsia" w:ascii="宋体" w:hAnsi="宋体" w:cs="宋体"/>
          <w:sz w:val="24"/>
          <w:szCs w:val="24"/>
        </w:rPr>
        <w:t>（</w:t>
      </w:r>
      <w:r>
        <w:rPr>
          <w:rFonts w:hint="eastAsia" w:ascii="宋体" w:hAnsi="宋体" w:cs="宋体"/>
          <w:spacing w:val="-2"/>
          <w:sz w:val="24"/>
          <w:szCs w:val="24"/>
        </w:rPr>
        <w:t>公章</w:t>
      </w:r>
      <w:r>
        <w:rPr>
          <w:rFonts w:hint="eastAsia" w:ascii="宋体" w:hAnsi="宋体" w:cs="宋体"/>
          <w:sz w:val="24"/>
          <w:szCs w:val="24"/>
        </w:rPr>
        <w:t>）</w:t>
      </w:r>
    </w:p>
    <w:p>
      <w:pPr>
        <w:pStyle w:val="5"/>
        <w:spacing w:line="360" w:lineRule="auto"/>
        <w:ind w:left="0"/>
        <w:rPr>
          <w:rFonts w:ascii="宋体" w:cs="宋体"/>
          <w:sz w:val="24"/>
          <w:szCs w:val="24"/>
        </w:rPr>
      </w:pPr>
      <w:r>
        <w:rPr>
          <w:rFonts w:hint="eastAsia" w:ascii="宋体" w:hAnsi="宋体" w:cs="宋体"/>
          <w:sz w:val="24"/>
          <w:szCs w:val="24"/>
        </w:rPr>
        <w:t>法定代表人或其委托代理人：</w:t>
      </w:r>
    </w:p>
    <w:p>
      <w:pPr>
        <w:pStyle w:val="5"/>
        <w:spacing w:line="360" w:lineRule="auto"/>
        <w:ind w:left="0" w:firstLine="3080" w:firstLineChars="1100"/>
        <w:rPr>
          <w:rFonts w:ascii="宋体" w:cs="宋体"/>
          <w:sz w:val="24"/>
          <w:szCs w:val="24"/>
          <w:u w:val="single"/>
        </w:rPr>
      </w:pPr>
      <w:r>
        <w:pict>
          <v:shape id="文本框 103" o:spid="_x0000_s1041" o:spt="202" type="#_x0000_t202" style="position:absolute;left:0pt;margin-left:291.6pt;margin-top:117.45pt;height:14.35pt;width:13.05pt;mso-position-horizontal-relative:page;z-index:-251643904;mso-width-relative:page;mso-height-relative:page;" filled="f" stroked="f" coordsize="21600,21600">
            <v:path/>
            <v:fill on="f" focussize="0,0"/>
            <v:stroke on="f" joinstyle="miter"/>
            <v:imagedata o:title=""/>
            <o:lock v:ext="edit"/>
            <v:textbox inset="0mm,0mm,0mm,0mm">
              <w:txbxContent>
                <w:p/>
              </w:txbxContent>
            </v:textbox>
          </v:shape>
        </w:pict>
      </w:r>
      <w:r>
        <w:rPr>
          <w:rFonts w:hint="eastAsia" w:ascii="宋体" w:hAnsi="宋体" w:cs="宋体"/>
          <w:spacing w:val="-1"/>
          <w:sz w:val="24"/>
          <w:szCs w:val="24"/>
        </w:rPr>
        <w:t>（</w:t>
      </w:r>
      <w:r>
        <w:rPr>
          <w:rFonts w:hint="eastAsia" w:ascii="宋体" w:hAnsi="宋体" w:cs="宋体"/>
          <w:sz w:val="24"/>
          <w:szCs w:val="24"/>
        </w:rPr>
        <w:t>签字）</w:t>
      </w:r>
    </w:p>
    <w:p>
      <w:pPr>
        <w:pStyle w:val="5"/>
        <w:spacing w:line="360" w:lineRule="auto"/>
        <w:ind w:left="0"/>
        <w:rPr>
          <w:rFonts w:ascii="宋体" w:cs="宋体"/>
          <w:sz w:val="24"/>
          <w:szCs w:val="24"/>
          <w:u w:val="single"/>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cs="宋体"/>
          <w:sz w:val="24"/>
          <w:szCs w:val="24"/>
          <w:u w:val="single"/>
        </w:rPr>
        <w:tab/>
      </w:r>
      <w:r>
        <w:rPr>
          <w:rFonts w:ascii="宋体" w:cs="宋体"/>
          <w:sz w:val="24"/>
          <w:szCs w:val="24"/>
          <w:u w:val="single"/>
        </w:rPr>
        <w:tab/>
      </w:r>
      <w:r>
        <w:rPr>
          <w:rFonts w:ascii="宋体" w:hAnsi="宋体" w:cs="宋体"/>
          <w:sz w:val="24"/>
          <w:szCs w:val="24"/>
          <w:u w:val="single"/>
        </w:rPr>
        <w:t xml:space="preserve">          </w:t>
      </w:r>
    </w:p>
    <w:p>
      <w:pPr>
        <w:pStyle w:val="5"/>
        <w:spacing w:line="360" w:lineRule="auto"/>
        <w:ind w:left="0"/>
        <w:rPr>
          <w:rFonts w:ascii="宋体" w:cs="宋体"/>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cs="宋体"/>
          <w:sz w:val="24"/>
          <w:szCs w:val="24"/>
          <w:u w:val="single"/>
        </w:rPr>
        <w:tab/>
      </w:r>
      <w:r>
        <w:rPr>
          <w:rFonts w:ascii="宋体" w:cs="宋体"/>
          <w:sz w:val="24"/>
          <w:szCs w:val="24"/>
          <w:u w:val="single"/>
        </w:rPr>
        <w:tab/>
      </w:r>
      <w:r>
        <w:rPr>
          <w:rFonts w:ascii="宋体" w:hAnsi="宋体" w:cs="宋体"/>
          <w:sz w:val="24"/>
          <w:szCs w:val="24"/>
          <w:u w:val="single"/>
        </w:rPr>
        <w:t xml:space="preserve">          </w:t>
      </w:r>
    </w:p>
    <w:p>
      <w:pPr>
        <w:pStyle w:val="5"/>
        <w:spacing w:line="360" w:lineRule="auto"/>
        <w:ind w:left="0"/>
        <w:rPr>
          <w:rFonts w:ascii="宋体" w:cs="宋体"/>
          <w:sz w:val="24"/>
          <w:szCs w:val="24"/>
        </w:rPr>
      </w:pPr>
      <w:r>
        <w:rPr>
          <w:rFonts w:hint="eastAsia" w:ascii="宋体" w:hAnsi="宋体" w:cs="宋体"/>
          <w:sz w:val="24"/>
          <w:szCs w:val="24"/>
        </w:rPr>
        <w:t>日期：</w:t>
      </w:r>
      <w:r>
        <w:rPr>
          <w:rFonts w:ascii="宋体" w:cs="宋体"/>
          <w:sz w:val="24"/>
          <w:szCs w:val="24"/>
          <w:u w:val="single"/>
        </w:rPr>
        <w:tab/>
      </w:r>
      <w:r>
        <w:rPr>
          <w:rFonts w:hint="eastAsia" w:ascii="宋体" w:hAnsi="宋体" w:cs="宋体"/>
          <w:sz w:val="24"/>
          <w:szCs w:val="24"/>
        </w:rPr>
        <w:t>年</w:t>
      </w:r>
      <w:r>
        <w:rPr>
          <w:rFonts w:ascii="宋体" w:cs="宋体"/>
          <w:sz w:val="24"/>
          <w:szCs w:val="24"/>
          <w:u w:val="single"/>
        </w:rPr>
        <w:tab/>
      </w:r>
      <w:r>
        <w:rPr>
          <w:rFonts w:hint="eastAsia" w:ascii="宋体" w:hAnsi="宋体" w:cs="宋体"/>
          <w:sz w:val="24"/>
          <w:szCs w:val="24"/>
        </w:rPr>
        <w:t>月</w:t>
      </w:r>
      <w:r>
        <w:rPr>
          <w:rFonts w:ascii="宋体" w:cs="宋体"/>
          <w:sz w:val="24"/>
          <w:szCs w:val="24"/>
          <w:u w:val="single"/>
        </w:rPr>
        <w:tab/>
      </w:r>
      <w:r>
        <w:rPr>
          <w:rFonts w:hint="eastAsia" w:ascii="宋体" w:hAnsi="宋体" w:cs="宋体"/>
          <w:sz w:val="24"/>
          <w:szCs w:val="24"/>
        </w:rPr>
        <w:t>日</w:t>
      </w:r>
    </w:p>
    <w:p>
      <w:pPr>
        <w:pStyle w:val="5"/>
        <w:spacing w:line="360" w:lineRule="auto"/>
        <w:ind w:left="0"/>
        <w:rPr>
          <w:rFonts w:ascii="宋体" w:cs="宋体"/>
          <w:sz w:val="24"/>
          <w:szCs w:val="24"/>
        </w:rPr>
      </w:pPr>
      <w:r>
        <w:rPr>
          <w:rFonts w:ascii="宋体" w:cs="宋体"/>
          <w:sz w:val="24"/>
          <w:szCs w:val="24"/>
        </w:rPr>
        <w:br w:type="column"/>
      </w:r>
      <w:r>
        <w:rPr>
          <w:rFonts w:hint="eastAsia" w:ascii="宋体" w:hAnsi="宋体" w:cs="宋体"/>
          <w:spacing w:val="-36"/>
          <w:sz w:val="24"/>
          <w:szCs w:val="24"/>
        </w:rPr>
        <w:t>承包人：</w:t>
      </w:r>
      <w:r>
        <w:rPr>
          <w:rFonts w:hint="eastAsia" w:ascii="宋体" w:hAnsi="宋体" w:cs="宋体"/>
          <w:sz w:val="24"/>
          <w:szCs w:val="24"/>
        </w:rPr>
        <w:t>（</w:t>
      </w:r>
      <w:r>
        <w:rPr>
          <w:rFonts w:hint="eastAsia" w:ascii="宋体" w:hAnsi="宋体" w:cs="宋体"/>
          <w:spacing w:val="-2"/>
          <w:sz w:val="24"/>
          <w:szCs w:val="24"/>
        </w:rPr>
        <w:t>公章</w:t>
      </w:r>
      <w:r>
        <w:rPr>
          <w:rFonts w:hint="eastAsia" w:ascii="宋体" w:hAnsi="宋体" w:cs="宋体"/>
          <w:sz w:val="24"/>
          <w:szCs w:val="24"/>
        </w:rPr>
        <w:t>）</w:t>
      </w:r>
    </w:p>
    <w:p>
      <w:pPr>
        <w:pStyle w:val="5"/>
        <w:spacing w:line="360" w:lineRule="auto"/>
        <w:ind w:left="0"/>
        <w:rPr>
          <w:rFonts w:ascii="宋体" w:cs="宋体"/>
          <w:sz w:val="24"/>
          <w:szCs w:val="24"/>
        </w:rPr>
      </w:pPr>
      <w:r>
        <w:rPr>
          <w:rFonts w:hint="eastAsia" w:ascii="宋体" w:hAnsi="宋体" w:cs="宋体"/>
          <w:sz w:val="24"/>
          <w:szCs w:val="24"/>
        </w:rPr>
        <w:t>法定代表人或其委托代理人：</w:t>
      </w:r>
    </w:p>
    <w:p>
      <w:pPr>
        <w:pStyle w:val="5"/>
        <w:spacing w:line="360" w:lineRule="auto"/>
        <w:ind w:left="0" w:firstLine="2640" w:firstLineChars="1100"/>
        <w:rPr>
          <w:rFonts w:ascii="宋体" w:cs="宋体"/>
          <w:sz w:val="24"/>
          <w:szCs w:val="24"/>
        </w:rPr>
      </w:pPr>
      <w:r>
        <w:rPr>
          <w:rFonts w:hint="eastAsia" w:ascii="宋体" w:hAnsi="宋体" w:cs="宋体"/>
          <w:sz w:val="24"/>
          <w:szCs w:val="24"/>
        </w:rPr>
        <w:t>（签字）</w:t>
      </w:r>
    </w:p>
    <w:p>
      <w:pPr>
        <w:pStyle w:val="5"/>
        <w:tabs>
          <w:tab w:val="left" w:pos="2602"/>
          <w:tab w:val="left" w:pos="4371"/>
        </w:tabs>
        <w:spacing w:line="360" w:lineRule="auto"/>
        <w:ind w:left="0" w:firstLine="352" w:firstLineChars="147"/>
        <w:rPr>
          <w:rFonts w:ascii="宋体" w:cs="宋体"/>
          <w:sz w:val="24"/>
          <w:szCs w:val="24"/>
          <w:u w:val="single"/>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cs="宋体"/>
          <w:sz w:val="24"/>
          <w:szCs w:val="24"/>
          <w:u w:val="single"/>
        </w:rPr>
        <w:tab/>
      </w:r>
      <w:r>
        <w:rPr>
          <w:rFonts w:ascii="宋体" w:cs="宋体"/>
          <w:sz w:val="24"/>
          <w:szCs w:val="24"/>
          <w:u w:val="single"/>
        </w:rPr>
        <w:tab/>
      </w:r>
    </w:p>
    <w:p>
      <w:pPr>
        <w:pStyle w:val="5"/>
        <w:tabs>
          <w:tab w:val="left" w:pos="2602"/>
          <w:tab w:val="left" w:pos="4371"/>
        </w:tabs>
        <w:spacing w:line="360" w:lineRule="auto"/>
        <w:ind w:left="0" w:firstLine="352" w:firstLineChars="147"/>
        <w:rPr>
          <w:rFonts w:ascii="宋体" w:cs="宋体"/>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cs="宋体"/>
          <w:sz w:val="24"/>
          <w:szCs w:val="24"/>
          <w:u w:val="single"/>
        </w:rPr>
        <w:tab/>
      </w:r>
      <w:r>
        <w:rPr>
          <w:rFonts w:ascii="宋体" w:cs="宋体"/>
          <w:sz w:val="24"/>
          <w:szCs w:val="24"/>
          <w:u w:val="single"/>
        </w:rPr>
        <w:tab/>
      </w:r>
    </w:p>
    <w:p>
      <w:pPr>
        <w:pStyle w:val="5"/>
        <w:tabs>
          <w:tab w:val="left" w:pos="2602"/>
          <w:tab w:val="left" w:pos="4371"/>
        </w:tabs>
        <w:spacing w:line="360" w:lineRule="auto"/>
        <w:ind w:left="0" w:firstLine="352" w:firstLineChars="147"/>
        <w:rPr>
          <w:rFonts w:ascii="宋体" w:cs="宋体"/>
          <w:sz w:val="24"/>
          <w:szCs w:val="24"/>
        </w:rPr>
      </w:pPr>
      <w:r>
        <w:rPr>
          <w:rFonts w:hint="eastAsia" w:ascii="宋体" w:hAnsi="宋体" w:cs="宋体"/>
          <w:sz w:val="24"/>
          <w:szCs w:val="24"/>
        </w:rPr>
        <w:t>日期：</w:t>
      </w:r>
      <w:r>
        <w:rPr>
          <w:rFonts w:ascii="宋体" w:hAnsi="宋体" w:cs="宋体"/>
          <w:sz w:val="24"/>
          <w:szCs w:val="24"/>
          <w:u w:val="single"/>
        </w:rPr>
        <w:t xml:space="preserve">      </w:t>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pPr>
        <w:spacing w:line="360" w:lineRule="auto"/>
        <w:jc w:val="both"/>
        <w:rPr>
          <w:sz w:val="24"/>
          <w:szCs w:val="24"/>
        </w:rPr>
        <w:sectPr>
          <w:type w:val="continuous"/>
          <w:pgSz w:w="11910" w:h="16840"/>
          <w:pgMar w:top="1600" w:right="1080" w:bottom="900" w:left="1380" w:header="720" w:footer="720" w:gutter="0"/>
          <w:cols w:equalWidth="0" w:num="2">
            <w:col w:w="4471" w:space="40"/>
            <w:col w:w="4939"/>
          </w:cols>
        </w:sectPr>
      </w:pPr>
    </w:p>
    <w:p>
      <w:pPr>
        <w:pStyle w:val="18"/>
        <w:spacing w:line="360" w:lineRule="auto"/>
        <w:ind w:left="381"/>
        <w:rPr>
          <w:sz w:val="2"/>
        </w:rPr>
      </w:pPr>
    </w:p>
    <w:p>
      <w:pPr>
        <w:spacing w:before="58" w:line="360" w:lineRule="auto"/>
        <w:rPr>
          <w:sz w:val="24"/>
          <w:szCs w:val="24"/>
        </w:rPr>
      </w:pPr>
      <w:r>
        <w:rPr>
          <w:rFonts w:hint="eastAsia"/>
          <w:sz w:val="24"/>
          <w:szCs w:val="24"/>
        </w:rPr>
        <w:t>附件</w:t>
      </w:r>
      <w:r>
        <w:rPr>
          <w:sz w:val="24"/>
          <w:szCs w:val="24"/>
        </w:rPr>
        <w:t xml:space="preserve"> 7</w:t>
      </w:r>
      <w:r>
        <w:rPr>
          <w:rFonts w:hint="eastAsia"/>
          <w:sz w:val="24"/>
          <w:szCs w:val="24"/>
        </w:rPr>
        <w:t>：</w:t>
      </w:r>
    </w:p>
    <w:p>
      <w:pPr>
        <w:spacing w:before="199" w:line="360" w:lineRule="auto"/>
        <w:ind w:left="328" w:right="624"/>
        <w:jc w:val="center"/>
        <w:rPr>
          <w:b/>
          <w:bCs/>
          <w:sz w:val="24"/>
          <w:szCs w:val="24"/>
        </w:rPr>
      </w:pPr>
      <w:r>
        <w:rPr>
          <w:rFonts w:hint="eastAsia"/>
          <w:b/>
          <w:bCs/>
          <w:sz w:val="24"/>
          <w:szCs w:val="24"/>
        </w:rPr>
        <w:t>工程质量保修书</w:t>
      </w:r>
    </w:p>
    <w:p>
      <w:pPr>
        <w:tabs>
          <w:tab w:val="left" w:pos="2518"/>
          <w:tab w:val="left" w:pos="8740"/>
        </w:tabs>
        <w:spacing w:line="360" w:lineRule="auto"/>
        <w:jc w:val="both"/>
        <w:rPr>
          <w:sz w:val="24"/>
          <w:szCs w:val="24"/>
        </w:rPr>
      </w:pPr>
    </w:p>
    <w:p>
      <w:pPr>
        <w:tabs>
          <w:tab w:val="left" w:pos="2518"/>
          <w:tab w:val="left" w:pos="8740"/>
        </w:tabs>
        <w:spacing w:line="360" w:lineRule="auto"/>
        <w:ind w:firstLine="480" w:firstLineChars="200"/>
        <w:jc w:val="both"/>
        <w:rPr>
          <w:sz w:val="24"/>
          <w:szCs w:val="24"/>
        </w:rPr>
      </w:pPr>
      <w:r>
        <w:rPr>
          <w:rFonts w:hint="eastAsia"/>
          <w:sz w:val="24"/>
          <w:szCs w:val="24"/>
        </w:rPr>
        <w:t>发包人和承包人根据《中华人民共和国建筑法</w:t>
      </w:r>
      <w:r>
        <w:rPr>
          <w:rFonts w:hint="eastAsia"/>
          <w:spacing w:val="-147"/>
          <w:sz w:val="24"/>
          <w:szCs w:val="24"/>
        </w:rPr>
        <w:t>》</w:t>
      </w:r>
      <w:r>
        <w:rPr>
          <w:rFonts w:hint="eastAsia"/>
          <w:sz w:val="24"/>
          <w:szCs w:val="24"/>
        </w:rPr>
        <w:t>《建设工程质量管理条例</w:t>
      </w:r>
      <w:r>
        <w:rPr>
          <w:rFonts w:hint="eastAsia"/>
          <w:spacing w:val="-22"/>
          <w:sz w:val="24"/>
          <w:szCs w:val="24"/>
        </w:rPr>
        <w:t>》和</w:t>
      </w:r>
      <w:r>
        <w:rPr>
          <w:rFonts w:hint="eastAsia"/>
          <w:sz w:val="24"/>
          <w:szCs w:val="24"/>
        </w:rPr>
        <w:t>《园林绿化工程施工及验收规范</w:t>
      </w:r>
      <w:r>
        <w:rPr>
          <w:rFonts w:hint="eastAsia"/>
          <w:spacing w:val="-171"/>
          <w:sz w:val="24"/>
          <w:szCs w:val="24"/>
        </w:rPr>
        <w:t>》</w:t>
      </w:r>
      <w:r>
        <w:rPr>
          <w:rFonts w:hint="eastAsia"/>
          <w:spacing w:val="-4"/>
          <w:sz w:val="24"/>
          <w:szCs w:val="24"/>
        </w:rPr>
        <w:t>（</w:t>
      </w:r>
      <w:r>
        <w:rPr>
          <w:spacing w:val="-4"/>
          <w:sz w:val="24"/>
          <w:szCs w:val="24"/>
        </w:rPr>
        <w:t>CJJ82</w:t>
      </w:r>
      <w:r>
        <w:rPr>
          <w:rFonts w:hint="eastAsia"/>
          <w:spacing w:val="-4"/>
          <w:sz w:val="24"/>
          <w:szCs w:val="24"/>
        </w:rPr>
        <w:t>）</w:t>
      </w:r>
      <w:r>
        <w:rPr>
          <w:rFonts w:hint="eastAsia"/>
          <w:spacing w:val="-22"/>
          <w:sz w:val="24"/>
          <w:szCs w:val="24"/>
        </w:rPr>
        <w:t>以</w:t>
      </w:r>
      <w:r>
        <w:rPr>
          <w:rFonts w:hint="eastAsia"/>
          <w:spacing w:val="2"/>
          <w:sz w:val="24"/>
          <w:szCs w:val="24"/>
        </w:rPr>
        <w:t>及</w:t>
      </w:r>
      <w:r>
        <w:rPr>
          <w:sz w:val="24"/>
          <w:szCs w:val="24"/>
          <w:u w:val="single"/>
        </w:rPr>
        <w:tab/>
      </w:r>
      <w:r>
        <w:rPr>
          <w:rFonts w:hint="eastAsia"/>
          <w:sz w:val="24"/>
          <w:szCs w:val="24"/>
        </w:rPr>
        <w:t>（地方标</w:t>
      </w:r>
      <w:r>
        <w:rPr>
          <w:rFonts w:hint="eastAsia"/>
          <w:spacing w:val="2"/>
          <w:sz w:val="24"/>
          <w:szCs w:val="24"/>
        </w:rPr>
        <w:t>准</w:t>
      </w:r>
      <w:r>
        <w:rPr>
          <w:rFonts w:hint="eastAsia"/>
          <w:spacing w:val="-152"/>
          <w:sz w:val="24"/>
          <w:szCs w:val="24"/>
        </w:rPr>
        <w:t>）</w:t>
      </w:r>
      <w:r>
        <w:rPr>
          <w:rFonts w:hint="eastAsia"/>
          <w:sz w:val="24"/>
          <w:szCs w:val="24"/>
        </w:rPr>
        <w:t>，经协商一致</w:t>
      </w:r>
      <w:r>
        <w:rPr>
          <w:rFonts w:hint="eastAsia"/>
          <w:spacing w:val="2"/>
          <w:sz w:val="24"/>
          <w:szCs w:val="24"/>
        </w:rPr>
        <w:t>就</w:t>
      </w:r>
      <w:r>
        <w:rPr>
          <w:spacing w:val="2"/>
          <w:sz w:val="24"/>
          <w:szCs w:val="24"/>
          <w:u w:val="single"/>
          <w:lang w:val="en-US"/>
        </w:rPr>
        <w:t xml:space="preserve">               </w:t>
      </w:r>
      <w:r>
        <w:rPr>
          <w:rFonts w:hint="eastAsia"/>
          <w:sz w:val="24"/>
          <w:szCs w:val="24"/>
        </w:rPr>
        <w:t>（工程名称）签订工程质量保修书。</w:t>
      </w:r>
    </w:p>
    <w:p>
      <w:pPr>
        <w:spacing w:line="360" w:lineRule="auto"/>
        <w:rPr>
          <w:b/>
          <w:sz w:val="24"/>
          <w:szCs w:val="24"/>
        </w:rPr>
      </w:pPr>
      <w:r>
        <w:rPr>
          <w:rFonts w:hint="eastAsia"/>
          <w:b/>
          <w:sz w:val="24"/>
          <w:szCs w:val="24"/>
        </w:rPr>
        <w:t>一、工程质量保修范围和内容</w:t>
      </w:r>
    </w:p>
    <w:p>
      <w:pPr>
        <w:spacing w:line="360" w:lineRule="auto"/>
        <w:rPr>
          <w:sz w:val="24"/>
          <w:szCs w:val="24"/>
        </w:rPr>
      </w:pPr>
      <w:r>
        <w:rPr>
          <w:rFonts w:hint="eastAsia"/>
          <w:sz w:val="24"/>
          <w:szCs w:val="24"/>
        </w:rPr>
        <w:t>承包人在质量保修期内，按照有关法律规定和合同约定，承担工程质量保修责任。</w:t>
      </w:r>
    </w:p>
    <w:p>
      <w:pPr>
        <w:tabs>
          <w:tab w:val="left" w:pos="8519"/>
        </w:tabs>
        <w:spacing w:line="360" w:lineRule="auto"/>
        <w:ind w:firstLine="599"/>
        <w:jc w:val="both"/>
        <w:rPr>
          <w:sz w:val="24"/>
          <w:szCs w:val="24"/>
        </w:rPr>
      </w:pPr>
      <w:r>
        <w:rPr>
          <w:rFonts w:hint="eastAsia"/>
          <w:sz w:val="24"/>
          <w:szCs w:val="24"/>
        </w:rPr>
        <w:t>质量保修范围包括地基基础工程</w:t>
      </w:r>
      <w:r>
        <w:rPr>
          <w:rFonts w:hint="eastAsia"/>
          <w:spacing w:val="-44"/>
          <w:sz w:val="24"/>
          <w:szCs w:val="24"/>
        </w:rPr>
        <w:t>、</w:t>
      </w:r>
      <w:r>
        <w:rPr>
          <w:rFonts w:hint="eastAsia"/>
          <w:sz w:val="24"/>
          <w:szCs w:val="24"/>
        </w:rPr>
        <w:t>主体结构工程</w:t>
      </w:r>
      <w:r>
        <w:rPr>
          <w:rFonts w:hint="eastAsia"/>
          <w:spacing w:val="-44"/>
          <w:sz w:val="24"/>
          <w:szCs w:val="24"/>
        </w:rPr>
        <w:t>，</w:t>
      </w:r>
      <w:r>
        <w:rPr>
          <w:rFonts w:hint="eastAsia"/>
          <w:sz w:val="24"/>
          <w:szCs w:val="24"/>
        </w:rPr>
        <w:t>屋面防水工程</w:t>
      </w:r>
      <w:r>
        <w:rPr>
          <w:rFonts w:hint="eastAsia"/>
          <w:spacing w:val="-29"/>
          <w:sz w:val="24"/>
          <w:szCs w:val="24"/>
        </w:rPr>
        <w:t>、</w:t>
      </w:r>
      <w:r>
        <w:rPr>
          <w:rFonts w:hint="eastAsia"/>
          <w:sz w:val="24"/>
          <w:szCs w:val="24"/>
        </w:rPr>
        <w:t>有防水要求的卫生间</w:t>
      </w:r>
      <w:r>
        <w:rPr>
          <w:rFonts w:hint="eastAsia"/>
          <w:spacing w:val="-29"/>
          <w:sz w:val="24"/>
          <w:szCs w:val="24"/>
        </w:rPr>
        <w:t>、</w:t>
      </w:r>
      <w:r>
        <w:rPr>
          <w:rFonts w:hint="eastAsia"/>
          <w:sz w:val="24"/>
          <w:szCs w:val="24"/>
        </w:rPr>
        <w:t>房间和外墙面的防渗漏</w:t>
      </w:r>
      <w:r>
        <w:rPr>
          <w:rFonts w:hint="eastAsia"/>
          <w:spacing w:val="-29"/>
          <w:sz w:val="24"/>
          <w:szCs w:val="24"/>
        </w:rPr>
        <w:t>，</w:t>
      </w:r>
      <w:r>
        <w:rPr>
          <w:rFonts w:hint="eastAsia"/>
          <w:sz w:val="24"/>
          <w:szCs w:val="24"/>
        </w:rPr>
        <w:t>供热与供冷系统</w:t>
      </w:r>
      <w:r>
        <w:rPr>
          <w:rFonts w:hint="eastAsia"/>
          <w:spacing w:val="-17"/>
          <w:sz w:val="24"/>
          <w:szCs w:val="24"/>
        </w:rPr>
        <w:t>，</w:t>
      </w:r>
      <w:r>
        <w:rPr>
          <w:rFonts w:hint="eastAsia"/>
          <w:sz w:val="24"/>
          <w:szCs w:val="24"/>
        </w:rPr>
        <w:t>电气管线</w:t>
      </w:r>
      <w:r>
        <w:rPr>
          <w:rFonts w:hint="eastAsia"/>
          <w:spacing w:val="-17"/>
          <w:sz w:val="24"/>
          <w:szCs w:val="24"/>
        </w:rPr>
        <w:t>、</w:t>
      </w:r>
      <w:r>
        <w:rPr>
          <w:rFonts w:hint="eastAsia"/>
          <w:sz w:val="24"/>
          <w:szCs w:val="24"/>
        </w:rPr>
        <w:t>给排水管道</w:t>
      </w:r>
      <w:r>
        <w:rPr>
          <w:rFonts w:hint="eastAsia"/>
          <w:spacing w:val="-17"/>
          <w:sz w:val="24"/>
          <w:szCs w:val="24"/>
        </w:rPr>
        <w:t>、</w:t>
      </w:r>
      <w:r>
        <w:rPr>
          <w:rFonts w:hint="eastAsia"/>
          <w:spacing w:val="-3"/>
          <w:sz w:val="24"/>
          <w:szCs w:val="24"/>
        </w:rPr>
        <w:t>设</w:t>
      </w:r>
      <w:r>
        <w:rPr>
          <w:rFonts w:hint="eastAsia"/>
          <w:sz w:val="24"/>
          <w:szCs w:val="24"/>
        </w:rPr>
        <w:t>备安装</w:t>
      </w:r>
      <w:r>
        <w:rPr>
          <w:rFonts w:hint="eastAsia"/>
          <w:spacing w:val="-17"/>
          <w:sz w:val="24"/>
          <w:szCs w:val="24"/>
        </w:rPr>
        <w:t>、</w:t>
      </w:r>
      <w:r>
        <w:rPr>
          <w:rFonts w:hint="eastAsia"/>
          <w:sz w:val="24"/>
          <w:szCs w:val="24"/>
        </w:rPr>
        <w:t>装修工程</w:t>
      </w:r>
      <w:r>
        <w:rPr>
          <w:rFonts w:hint="eastAsia"/>
          <w:spacing w:val="-17"/>
          <w:sz w:val="24"/>
          <w:szCs w:val="24"/>
        </w:rPr>
        <w:t>，</w:t>
      </w:r>
      <w:r>
        <w:rPr>
          <w:rFonts w:hint="eastAsia"/>
          <w:sz w:val="24"/>
          <w:szCs w:val="24"/>
        </w:rPr>
        <w:t>绿化工程</w:t>
      </w:r>
      <w:r>
        <w:rPr>
          <w:rFonts w:hint="eastAsia"/>
          <w:spacing w:val="-15"/>
          <w:sz w:val="24"/>
          <w:szCs w:val="24"/>
        </w:rPr>
        <w:t>、</w:t>
      </w:r>
      <w:r>
        <w:rPr>
          <w:rFonts w:hint="eastAsia"/>
          <w:sz w:val="24"/>
          <w:szCs w:val="24"/>
        </w:rPr>
        <w:t>园林附属工</w:t>
      </w:r>
      <w:r>
        <w:rPr>
          <w:rFonts w:hint="eastAsia"/>
          <w:spacing w:val="-15"/>
          <w:sz w:val="24"/>
          <w:szCs w:val="24"/>
        </w:rPr>
        <w:t>程</w:t>
      </w:r>
      <w:r>
        <w:rPr>
          <w:rFonts w:hint="eastAsia"/>
          <w:sz w:val="24"/>
          <w:szCs w:val="24"/>
        </w:rPr>
        <w:t>（园路与广场铺装</w:t>
      </w:r>
      <w:r>
        <w:rPr>
          <w:rFonts w:hint="eastAsia"/>
          <w:spacing w:val="-15"/>
          <w:sz w:val="24"/>
          <w:szCs w:val="24"/>
        </w:rPr>
        <w:t>、</w:t>
      </w:r>
      <w:r>
        <w:rPr>
          <w:rFonts w:hint="eastAsia"/>
          <w:sz w:val="24"/>
          <w:szCs w:val="24"/>
        </w:rPr>
        <w:t>假山</w:t>
      </w:r>
      <w:r>
        <w:rPr>
          <w:rFonts w:hint="eastAsia"/>
          <w:spacing w:val="-15"/>
          <w:sz w:val="24"/>
          <w:szCs w:val="24"/>
        </w:rPr>
        <w:t>、</w:t>
      </w:r>
      <w:r>
        <w:rPr>
          <w:rFonts w:hint="eastAsia"/>
          <w:sz w:val="24"/>
          <w:szCs w:val="24"/>
        </w:rPr>
        <w:t>叠石</w:t>
      </w:r>
      <w:r>
        <w:rPr>
          <w:rFonts w:hint="eastAsia"/>
          <w:spacing w:val="-15"/>
          <w:sz w:val="24"/>
          <w:szCs w:val="24"/>
        </w:rPr>
        <w:t>、</w:t>
      </w:r>
      <w:r>
        <w:rPr>
          <w:rFonts w:hint="eastAsia"/>
          <w:sz w:val="24"/>
          <w:szCs w:val="24"/>
        </w:rPr>
        <w:t>置石</w:t>
      </w:r>
      <w:r>
        <w:rPr>
          <w:rFonts w:hint="eastAsia"/>
          <w:spacing w:val="-15"/>
          <w:sz w:val="24"/>
          <w:szCs w:val="24"/>
        </w:rPr>
        <w:t>、</w:t>
      </w:r>
      <w:r>
        <w:rPr>
          <w:rFonts w:hint="eastAsia"/>
          <w:sz w:val="24"/>
          <w:szCs w:val="24"/>
        </w:rPr>
        <w:t>园林</w:t>
      </w:r>
      <w:r>
        <w:rPr>
          <w:rFonts w:hint="eastAsia"/>
          <w:spacing w:val="2"/>
          <w:sz w:val="24"/>
          <w:szCs w:val="24"/>
        </w:rPr>
        <w:t>理水、园林设施安装</w:t>
      </w:r>
      <w:r>
        <w:rPr>
          <w:rFonts w:hint="eastAsia"/>
          <w:spacing w:val="-149"/>
          <w:sz w:val="24"/>
          <w:szCs w:val="24"/>
        </w:rPr>
        <w:t>）</w:t>
      </w:r>
      <w:r>
        <w:rPr>
          <w:rFonts w:hint="eastAsia"/>
          <w:spacing w:val="2"/>
          <w:sz w:val="24"/>
          <w:szCs w:val="24"/>
        </w:rPr>
        <w:t>，以及双方约定的其他项目。具体保修的</w:t>
      </w:r>
      <w:r>
        <w:rPr>
          <w:rFonts w:hint="eastAsia"/>
          <w:sz w:val="24"/>
          <w:szCs w:val="24"/>
        </w:rPr>
        <w:t>内容，双方约定如下：</w:t>
      </w:r>
      <w:r>
        <w:rPr>
          <w:sz w:val="24"/>
          <w:szCs w:val="24"/>
          <w:u w:val="single"/>
        </w:rPr>
        <w:tab/>
      </w:r>
      <w:r>
        <w:rPr>
          <w:rFonts w:hint="eastAsia"/>
          <w:spacing w:val="-17"/>
          <w:sz w:val="24"/>
          <w:szCs w:val="24"/>
        </w:rPr>
        <w:t>。</w:t>
      </w:r>
    </w:p>
    <w:p>
      <w:pPr>
        <w:spacing w:line="360" w:lineRule="auto"/>
        <w:rPr>
          <w:b/>
          <w:sz w:val="24"/>
          <w:szCs w:val="24"/>
        </w:rPr>
      </w:pPr>
      <w:r>
        <w:rPr>
          <w:rFonts w:hint="eastAsia"/>
          <w:b/>
          <w:sz w:val="24"/>
          <w:szCs w:val="24"/>
        </w:rPr>
        <w:t>二、质量保修期</w:t>
      </w:r>
    </w:p>
    <w:p>
      <w:pPr>
        <w:spacing w:line="360" w:lineRule="auto"/>
        <w:rPr>
          <w:sz w:val="24"/>
          <w:szCs w:val="24"/>
        </w:rPr>
      </w:pPr>
      <w:r>
        <w:rPr>
          <w:rFonts w:hint="eastAsia"/>
          <w:sz w:val="24"/>
          <w:szCs w:val="24"/>
        </w:rPr>
        <w:t>工程的质量保修期如下：</w:t>
      </w:r>
    </w:p>
    <w:p>
      <w:pPr>
        <w:pStyle w:val="58"/>
        <w:tabs>
          <w:tab w:val="left" w:pos="1472"/>
        </w:tabs>
        <w:spacing w:line="360" w:lineRule="auto"/>
        <w:ind w:left="0" w:firstLine="480" w:firstLineChars="200"/>
        <w:rPr>
          <w:sz w:val="24"/>
          <w:szCs w:val="24"/>
        </w:rPr>
      </w:pPr>
      <w:r>
        <w:rPr>
          <w:sz w:val="24"/>
          <w:szCs w:val="24"/>
          <w:lang w:val="en-US"/>
        </w:rPr>
        <w:t>1.</w:t>
      </w:r>
      <w:r>
        <w:rPr>
          <w:rFonts w:hint="eastAsia"/>
          <w:sz w:val="24"/>
          <w:szCs w:val="24"/>
        </w:rPr>
        <w:t>地基基础工程和主体结构工程为设计文件规定的工程合理使用年限；</w:t>
      </w:r>
    </w:p>
    <w:p>
      <w:pPr>
        <w:pStyle w:val="58"/>
        <w:tabs>
          <w:tab w:val="left" w:pos="1472"/>
          <w:tab w:val="left" w:pos="2069"/>
          <w:tab w:val="left" w:pos="5070"/>
        </w:tabs>
        <w:spacing w:line="360" w:lineRule="auto"/>
        <w:ind w:left="0" w:firstLine="480" w:firstLineChars="200"/>
        <w:rPr>
          <w:sz w:val="24"/>
          <w:szCs w:val="24"/>
        </w:rPr>
      </w:pPr>
      <w:r>
        <w:rPr>
          <w:sz w:val="24"/>
          <w:szCs w:val="24"/>
          <w:lang w:val="en-US"/>
        </w:rPr>
        <w:t>2.</w:t>
      </w:r>
      <w:r>
        <w:rPr>
          <w:rFonts w:hint="eastAsia"/>
          <w:sz w:val="24"/>
          <w:szCs w:val="24"/>
        </w:rPr>
        <w:t>屋面防水工程、有防水</w:t>
      </w:r>
      <w:r>
        <w:rPr>
          <w:rFonts w:hint="eastAsia"/>
          <w:spacing w:val="4"/>
          <w:sz w:val="24"/>
          <w:szCs w:val="24"/>
        </w:rPr>
        <w:t>要</w:t>
      </w:r>
      <w:r>
        <w:rPr>
          <w:rFonts w:hint="eastAsia"/>
          <w:sz w:val="24"/>
          <w:szCs w:val="24"/>
        </w:rPr>
        <w:t>求的卫生间、房</w:t>
      </w:r>
      <w:r>
        <w:rPr>
          <w:rFonts w:hint="eastAsia"/>
          <w:spacing w:val="4"/>
          <w:sz w:val="24"/>
          <w:szCs w:val="24"/>
        </w:rPr>
        <w:t>间</w:t>
      </w:r>
      <w:r>
        <w:rPr>
          <w:rFonts w:hint="eastAsia"/>
          <w:sz w:val="24"/>
          <w:szCs w:val="24"/>
        </w:rPr>
        <w:t>和外墙面的防渗为</w:t>
      </w:r>
      <w:r>
        <w:rPr>
          <w:sz w:val="24"/>
          <w:szCs w:val="24"/>
          <w:u w:val="single"/>
        </w:rPr>
        <w:tab/>
      </w:r>
      <w:r>
        <w:rPr>
          <w:rFonts w:hint="eastAsia"/>
          <w:sz w:val="24"/>
          <w:szCs w:val="24"/>
        </w:rPr>
        <w:t>年；</w:t>
      </w:r>
    </w:p>
    <w:p>
      <w:pPr>
        <w:pStyle w:val="58"/>
        <w:tabs>
          <w:tab w:val="left" w:pos="1472"/>
          <w:tab w:val="left" w:pos="2069"/>
          <w:tab w:val="left" w:pos="5070"/>
        </w:tabs>
        <w:spacing w:line="360" w:lineRule="auto"/>
        <w:ind w:left="0" w:firstLine="480" w:firstLineChars="200"/>
        <w:rPr>
          <w:sz w:val="24"/>
          <w:szCs w:val="24"/>
        </w:rPr>
      </w:pPr>
      <w:r>
        <w:rPr>
          <w:sz w:val="24"/>
          <w:szCs w:val="24"/>
          <w:lang w:val="en-US"/>
        </w:rPr>
        <w:t>3.</w:t>
      </w:r>
      <w:r>
        <w:rPr>
          <w:rFonts w:hint="eastAsia"/>
          <w:sz w:val="24"/>
          <w:szCs w:val="24"/>
        </w:rPr>
        <w:t>其他防水工</w:t>
      </w:r>
      <w:r>
        <w:rPr>
          <w:rFonts w:hint="eastAsia"/>
          <w:spacing w:val="3"/>
          <w:sz w:val="24"/>
          <w:szCs w:val="24"/>
        </w:rPr>
        <w:t>程</w:t>
      </w:r>
      <w:r>
        <w:rPr>
          <w:spacing w:val="3"/>
          <w:sz w:val="24"/>
          <w:szCs w:val="24"/>
          <w:u w:val="single"/>
        </w:rPr>
        <w:tab/>
      </w:r>
      <w:r>
        <w:rPr>
          <w:rFonts w:hint="eastAsia"/>
          <w:sz w:val="24"/>
          <w:szCs w:val="24"/>
        </w:rPr>
        <w:t>年。</w:t>
      </w:r>
    </w:p>
    <w:p>
      <w:pPr>
        <w:pStyle w:val="58"/>
        <w:tabs>
          <w:tab w:val="left" w:pos="1470"/>
          <w:tab w:val="left" w:pos="3569"/>
        </w:tabs>
        <w:spacing w:line="360" w:lineRule="auto"/>
        <w:ind w:left="0" w:firstLine="480" w:firstLineChars="200"/>
        <w:rPr>
          <w:sz w:val="24"/>
          <w:szCs w:val="24"/>
        </w:rPr>
      </w:pPr>
      <w:r>
        <w:rPr>
          <w:sz w:val="24"/>
          <w:szCs w:val="24"/>
          <w:lang w:val="en-US"/>
        </w:rPr>
        <w:t>4.</w:t>
      </w:r>
      <w:r>
        <w:rPr>
          <w:rFonts w:hint="eastAsia"/>
          <w:sz w:val="24"/>
          <w:szCs w:val="24"/>
        </w:rPr>
        <w:t>装修工程为</w:t>
      </w:r>
      <w:r>
        <w:rPr>
          <w:sz w:val="24"/>
          <w:szCs w:val="24"/>
          <w:u w:val="single"/>
        </w:rPr>
        <w:tab/>
      </w:r>
      <w:r>
        <w:rPr>
          <w:rFonts w:hint="eastAsia"/>
          <w:sz w:val="24"/>
          <w:szCs w:val="24"/>
        </w:rPr>
        <w:t>年；</w:t>
      </w:r>
    </w:p>
    <w:p>
      <w:pPr>
        <w:pStyle w:val="58"/>
        <w:tabs>
          <w:tab w:val="left" w:pos="1470"/>
          <w:tab w:val="left" w:pos="4469"/>
          <w:tab w:val="left" w:pos="7470"/>
        </w:tabs>
        <w:spacing w:line="360" w:lineRule="auto"/>
        <w:ind w:left="559" w:leftChars="254" w:firstLine="0"/>
        <w:rPr>
          <w:sz w:val="24"/>
          <w:szCs w:val="24"/>
        </w:rPr>
      </w:pPr>
      <w:r>
        <w:rPr>
          <w:sz w:val="24"/>
          <w:szCs w:val="24"/>
          <w:lang w:val="en-US"/>
        </w:rPr>
        <w:t>5.</w:t>
      </w:r>
      <w:r>
        <w:rPr>
          <w:rFonts w:hint="eastAsia"/>
          <w:sz w:val="24"/>
          <w:szCs w:val="24"/>
        </w:rPr>
        <w:t>电气管线、给排水管道、设备安装工程</w:t>
      </w:r>
      <w:r>
        <w:rPr>
          <w:rFonts w:hint="eastAsia"/>
          <w:spacing w:val="3"/>
          <w:sz w:val="24"/>
          <w:szCs w:val="24"/>
        </w:rPr>
        <w:t>为</w:t>
      </w:r>
      <w:r>
        <w:rPr>
          <w:spacing w:val="3"/>
          <w:sz w:val="24"/>
          <w:szCs w:val="24"/>
          <w:u w:val="single"/>
        </w:rPr>
        <w:tab/>
      </w:r>
      <w:r>
        <w:rPr>
          <w:rFonts w:hint="eastAsia"/>
          <w:sz w:val="24"/>
          <w:szCs w:val="24"/>
        </w:rPr>
        <w:t>年</w:t>
      </w:r>
      <w:r>
        <w:rPr>
          <w:rFonts w:hint="eastAsia"/>
          <w:spacing w:val="-17"/>
          <w:sz w:val="24"/>
          <w:szCs w:val="24"/>
        </w:rPr>
        <w:t>；</w:t>
      </w:r>
      <w:r>
        <w:rPr>
          <w:spacing w:val="-17"/>
          <w:sz w:val="24"/>
          <w:szCs w:val="24"/>
        </w:rPr>
        <w:t xml:space="preserve"> </w:t>
      </w:r>
      <w:r>
        <w:rPr>
          <w:sz w:val="24"/>
          <w:szCs w:val="24"/>
        </w:rPr>
        <w:t>5</w:t>
      </w:r>
      <w:r>
        <w:rPr>
          <w:rFonts w:hint="eastAsia"/>
          <w:sz w:val="24"/>
          <w:szCs w:val="24"/>
        </w:rPr>
        <w:t>．供热与</w:t>
      </w:r>
      <w:r>
        <w:rPr>
          <w:sz w:val="24"/>
          <w:szCs w:val="24"/>
          <w:lang w:val="en-US"/>
        </w:rPr>
        <w:t>6.</w:t>
      </w:r>
      <w:r>
        <w:rPr>
          <w:rFonts w:hint="eastAsia"/>
          <w:sz w:val="24"/>
          <w:szCs w:val="24"/>
        </w:rPr>
        <w:t>供冷系统</w:t>
      </w:r>
      <w:r>
        <w:rPr>
          <w:rFonts w:hint="eastAsia"/>
          <w:spacing w:val="3"/>
          <w:sz w:val="24"/>
          <w:szCs w:val="24"/>
        </w:rPr>
        <w:t>为</w:t>
      </w:r>
      <w:r>
        <w:rPr>
          <w:spacing w:val="3"/>
          <w:sz w:val="24"/>
          <w:szCs w:val="24"/>
          <w:u w:val="single"/>
        </w:rPr>
        <w:tab/>
      </w:r>
      <w:r>
        <w:rPr>
          <w:rFonts w:hint="eastAsia"/>
          <w:sz w:val="24"/>
          <w:szCs w:val="24"/>
        </w:rPr>
        <w:t>个采暖期、供冷期；</w:t>
      </w:r>
    </w:p>
    <w:p>
      <w:pPr>
        <w:pStyle w:val="58"/>
        <w:tabs>
          <w:tab w:val="left" w:pos="1470"/>
          <w:tab w:val="left" w:pos="4469"/>
        </w:tabs>
        <w:spacing w:line="360" w:lineRule="auto"/>
        <w:ind w:left="0" w:firstLine="480" w:firstLineChars="200"/>
        <w:rPr>
          <w:sz w:val="24"/>
          <w:szCs w:val="24"/>
        </w:rPr>
      </w:pPr>
      <w:r>
        <w:rPr>
          <w:sz w:val="24"/>
          <w:szCs w:val="24"/>
          <w:lang w:val="en-US"/>
        </w:rPr>
        <w:t>7.</w:t>
      </w:r>
      <w:r>
        <w:rPr>
          <w:rFonts w:hint="eastAsia"/>
          <w:sz w:val="24"/>
          <w:szCs w:val="24"/>
        </w:rPr>
        <w:t>绿化工程为</w:t>
      </w:r>
      <w:r>
        <w:rPr>
          <w:sz w:val="24"/>
          <w:szCs w:val="24"/>
          <w:u w:val="single"/>
        </w:rPr>
        <w:tab/>
      </w:r>
      <w:r>
        <w:rPr>
          <w:rFonts w:hint="eastAsia"/>
          <w:sz w:val="24"/>
          <w:szCs w:val="24"/>
        </w:rPr>
        <w:t>个月；</w:t>
      </w:r>
    </w:p>
    <w:p>
      <w:pPr>
        <w:pStyle w:val="58"/>
        <w:tabs>
          <w:tab w:val="left" w:pos="1470"/>
          <w:tab w:val="left" w:pos="4469"/>
        </w:tabs>
        <w:spacing w:line="360" w:lineRule="auto"/>
        <w:ind w:left="0" w:firstLine="480" w:firstLineChars="200"/>
        <w:rPr>
          <w:sz w:val="24"/>
          <w:szCs w:val="24"/>
        </w:rPr>
      </w:pPr>
      <w:r>
        <w:rPr>
          <w:sz w:val="24"/>
          <w:szCs w:val="24"/>
          <w:lang w:val="en-US"/>
        </w:rPr>
        <w:t>8.</w:t>
      </w:r>
      <w:r>
        <w:rPr>
          <w:rFonts w:hint="eastAsia"/>
          <w:sz w:val="24"/>
          <w:szCs w:val="24"/>
        </w:rPr>
        <w:t>园林附属工程</w:t>
      </w:r>
      <w:r>
        <w:rPr>
          <w:rFonts w:hint="eastAsia"/>
          <w:spacing w:val="3"/>
          <w:sz w:val="24"/>
          <w:szCs w:val="24"/>
        </w:rPr>
        <w:t>为</w:t>
      </w:r>
      <w:r>
        <w:rPr>
          <w:spacing w:val="3"/>
          <w:sz w:val="24"/>
          <w:szCs w:val="24"/>
          <w:u w:val="single"/>
        </w:rPr>
        <w:tab/>
      </w:r>
      <w:r>
        <w:rPr>
          <w:rFonts w:hint="eastAsia"/>
          <w:sz w:val="24"/>
          <w:szCs w:val="24"/>
        </w:rPr>
        <w:t>个月；</w:t>
      </w:r>
    </w:p>
    <w:p>
      <w:pPr>
        <w:pStyle w:val="58"/>
        <w:tabs>
          <w:tab w:val="left" w:pos="1470"/>
          <w:tab w:val="left" w:pos="8584"/>
        </w:tabs>
        <w:spacing w:line="360" w:lineRule="auto"/>
        <w:ind w:left="0" w:firstLine="480" w:firstLineChars="200"/>
        <w:rPr>
          <w:spacing w:val="-18"/>
          <w:sz w:val="24"/>
          <w:szCs w:val="24"/>
        </w:rPr>
      </w:pPr>
      <w:r>
        <w:rPr>
          <w:sz w:val="24"/>
          <w:szCs w:val="24"/>
          <w:lang w:val="en-US"/>
        </w:rPr>
        <w:t>9.</w:t>
      </w:r>
      <w:r>
        <w:rPr>
          <w:rFonts w:hint="eastAsia"/>
          <w:sz w:val="24"/>
          <w:szCs w:val="24"/>
        </w:rPr>
        <w:t>其他项目保修期限约定如下</w:t>
      </w:r>
      <w:r>
        <w:rPr>
          <w:rFonts w:hint="eastAsia"/>
          <w:sz w:val="24"/>
          <w:szCs w:val="24"/>
          <w:u w:val="single"/>
        </w:rPr>
        <w:t>：</w:t>
      </w:r>
      <w:r>
        <w:rPr>
          <w:sz w:val="24"/>
          <w:szCs w:val="24"/>
          <w:u w:val="single"/>
        </w:rPr>
        <w:tab/>
      </w:r>
      <w:r>
        <w:rPr>
          <w:rFonts w:hint="eastAsia"/>
          <w:spacing w:val="-18"/>
          <w:sz w:val="24"/>
          <w:szCs w:val="24"/>
        </w:rPr>
        <w:t>。</w:t>
      </w:r>
    </w:p>
    <w:p>
      <w:pPr>
        <w:pStyle w:val="58"/>
        <w:tabs>
          <w:tab w:val="left" w:pos="1470"/>
          <w:tab w:val="left" w:pos="8584"/>
        </w:tabs>
        <w:spacing w:line="360" w:lineRule="auto"/>
        <w:ind w:left="0" w:firstLine="408" w:firstLineChars="200"/>
        <w:rPr>
          <w:sz w:val="24"/>
          <w:szCs w:val="24"/>
        </w:rPr>
      </w:pPr>
      <w:r>
        <w:rPr>
          <w:spacing w:val="-18"/>
          <w:sz w:val="24"/>
          <w:szCs w:val="24"/>
          <w:lang w:val="en-US"/>
        </w:rPr>
        <w:t>10.</w:t>
      </w:r>
      <w:r>
        <w:rPr>
          <w:rFonts w:hint="eastAsia"/>
          <w:sz w:val="24"/>
          <w:szCs w:val="24"/>
        </w:rPr>
        <w:t>质量保修期自工程竣工验收合格之日起计算。</w:t>
      </w:r>
    </w:p>
    <w:p>
      <w:pPr>
        <w:spacing w:line="360" w:lineRule="auto"/>
        <w:rPr>
          <w:b/>
          <w:sz w:val="24"/>
          <w:szCs w:val="24"/>
        </w:rPr>
      </w:pPr>
      <w:r>
        <w:rPr>
          <w:rFonts w:hint="eastAsia"/>
          <w:b/>
          <w:sz w:val="24"/>
          <w:szCs w:val="24"/>
        </w:rPr>
        <w:t>三、缺陷责任期</w:t>
      </w:r>
    </w:p>
    <w:p>
      <w:pPr>
        <w:spacing w:line="360" w:lineRule="auto"/>
        <w:ind w:firstLine="599"/>
        <w:jc w:val="both"/>
        <w:rPr>
          <w:sz w:val="24"/>
          <w:szCs w:val="24"/>
        </w:rPr>
      </w:pPr>
      <w:r>
        <w:rPr>
          <w:rFonts w:hint="eastAsia"/>
          <w:sz w:val="24"/>
          <w:szCs w:val="24"/>
        </w:rPr>
        <w:t>工程缺陷责任期为</w:t>
      </w:r>
      <w:r>
        <w:rPr>
          <w:rFonts w:hint="eastAsia"/>
          <w:spacing w:val="-11"/>
          <w:sz w:val="24"/>
          <w:szCs w:val="24"/>
        </w:rPr>
        <w:t>个月，缺陷责任期自工程竣工验收合</w:t>
      </w:r>
      <w:r>
        <w:rPr>
          <w:rFonts w:hint="eastAsia"/>
          <w:spacing w:val="-10"/>
          <w:sz w:val="24"/>
          <w:szCs w:val="24"/>
        </w:rPr>
        <w:t>格之日起计算。单位工程先于全部工程进行验收，单位工程缺陷</w:t>
      </w:r>
      <w:r>
        <w:rPr>
          <w:rFonts w:hint="eastAsia"/>
          <w:sz w:val="24"/>
          <w:szCs w:val="24"/>
        </w:rPr>
        <w:t>责任期自单位工程验收合格之日起算。</w:t>
      </w:r>
    </w:p>
    <w:p>
      <w:pPr>
        <w:spacing w:line="360" w:lineRule="auto"/>
        <w:ind w:firstLine="599"/>
        <w:rPr>
          <w:sz w:val="24"/>
          <w:szCs w:val="24"/>
        </w:rPr>
      </w:pPr>
      <w:r>
        <w:rPr>
          <w:rFonts w:hint="eastAsia"/>
          <w:sz w:val="24"/>
          <w:szCs w:val="24"/>
        </w:rPr>
        <w:t>缺陷责任期终止后，发包人应退还剩余的质量保证金。</w:t>
      </w:r>
    </w:p>
    <w:p>
      <w:pPr>
        <w:spacing w:line="360" w:lineRule="auto"/>
        <w:ind w:firstLine="599"/>
        <w:rPr>
          <w:b/>
          <w:sz w:val="24"/>
          <w:szCs w:val="24"/>
        </w:rPr>
      </w:pPr>
      <w:r>
        <w:rPr>
          <w:rFonts w:hint="eastAsia"/>
          <w:b/>
          <w:sz w:val="24"/>
          <w:szCs w:val="24"/>
        </w:rPr>
        <w:t>四、质量保修责任</w:t>
      </w:r>
    </w:p>
    <w:p>
      <w:pPr>
        <w:pStyle w:val="58"/>
        <w:tabs>
          <w:tab w:val="left" w:pos="1822"/>
        </w:tabs>
        <w:spacing w:line="360" w:lineRule="auto"/>
        <w:ind w:left="0" w:firstLine="480" w:firstLineChars="200"/>
        <w:jc w:val="both"/>
        <w:rPr>
          <w:sz w:val="24"/>
          <w:szCs w:val="24"/>
        </w:rPr>
      </w:pPr>
      <w:r>
        <w:rPr>
          <w:sz w:val="24"/>
          <w:szCs w:val="24"/>
          <w:lang w:val="en-US"/>
        </w:rPr>
        <w:t>1.</w:t>
      </w:r>
      <w:r>
        <w:rPr>
          <w:rFonts w:hint="eastAsia"/>
          <w:sz w:val="24"/>
          <w:szCs w:val="24"/>
        </w:rPr>
        <w:t>属于保修范围、内容的项目，承包人应当在接到保修</w:t>
      </w:r>
      <w:r>
        <w:rPr>
          <w:rFonts w:hint="eastAsia"/>
          <w:spacing w:val="-5"/>
          <w:sz w:val="24"/>
          <w:szCs w:val="24"/>
        </w:rPr>
        <w:t>通知之日起</w:t>
      </w:r>
      <w:r>
        <w:rPr>
          <w:spacing w:val="-5"/>
          <w:sz w:val="24"/>
          <w:szCs w:val="24"/>
        </w:rPr>
        <w:t xml:space="preserve"> </w:t>
      </w:r>
      <w:r>
        <w:rPr>
          <w:sz w:val="24"/>
          <w:szCs w:val="24"/>
        </w:rPr>
        <w:t>7</w:t>
      </w:r>
      <w:r>
        <w:rPr>
          <w:spacing w:val="-7"/>
          <w:sz w:val="24"/>
          <w:szCs w:val="24"/>
        </w:rPr>
        <w:t xml:space="preserve"> </w:t>
      </w:r>
      <w:r>
        <w:rPr>
          <w:rFonts w:hint="eastAsia"/>
          <w:spacing w:val="-7"/>
          <w:sz w:val="24"/>
          <w:szCs w:val="24"/>
        </w:rPr>
        <w:t>天内派人保修。承包人不在约定期限内派人保</w:t>
      </w:r>
      <w:r>
        <w:rPr>
          <w:rFonts w:hint="eastAsia"/>
          <w:sz w:val="24"/>
          <w:szCs w:val="24"/>
        </w:rPr>
        <w:t>修的，发包人可以委托他人修理，费用由承包人承担，从质量保证金中扣除。</w:t>
      </w:r>
    </w:p>
    <w:p>
      <w:pPr>
        <w:pStyle w:val="58"/>
        <w:tabs>
          <w:tab w:val="left" w:pos="1822"/>
        </w:tabs>
        <w:spacing w:line="360" w:lineRule="auto"/>
        <w:ind w:left="0" w:firstLine="476" w:firstLineChars="200"/>
        <w:jc w:val="both"/>
        <w:rPr>
          <w:sz w:val="24"/>
          <w:szCs w:val="24"/>
        </w:rPr>
      </w:pPr>
      <w:r>
        <w:rPr>
          <w:spacing w:val="-1"/>
          <w:sz w:val="24"/>
          <w:szCs w:val="24"/>
          <w:lang w:val="en-US"/>
        </w:rPr>
        <w:t>2.</w:t>
      </w:r>
      <w:r>
        <w:rPr>
          <w:rFonts w:hint="eastAsia"/>
          <w:spacing w:val="-1"/>
          <w:sz w:val="24"/>
          <w:szCs w:val="24"/>
        </w:rPr>
        <w:t>发生紧急事故需抢修的，承包人在接到事故通知后，</w:t>
      </w:r>
      <w:r>
        <w:rPr>
          <w:spacing w:val="-1"/>
          <w:sz w:val="24"/>
          <w:szCs w:val="24"/>
        </w:rPr>
        <w:t xml:space="preserve"> </w:t>
      </w:r>
      <w:r>
        <w:rPr>
          <w:rFonts w:hint="eastAsia"/>
          <w:sz w:val="24"/>
          <w:szCs w:val="24"/>
        </w:rPr>
        <w:t>应当立即到达事故现场抢修。</w:t>
      </w:r>
    </w:p>
    <w:p>
      <w:pPr>
        <w:pStyle w:val="58"/>
        <w:tabs>
          <w:tab w:val="left" w:pos="1822"/>
        </w:tabs>
        <w:spacing w:line="360" w:lineRule="auto"/>
        <w:ind w:left="0" w:firstLine="476" w:firstLineChars="200"/>
        <w:jc w:val="both"/>
        <w:rPr>
          <w:sz w:val="24"/>
          <w:szCs w:val="24"/>
        </w:rPr>
      </w:pPr>
      <w:r>
        <w:rPr>
          <w:spacing w:val="-1"/>
          <w:sz w:val="24"/>
          <w:szCs w:val="24"/>
          <w:lang w:val="en-US"/>
        </w:rPr>
        <w:t>3.</w:t>
      </w:r>
      <w:r>
        <w:rPr>
          <w:rFonts w:hint="eastAsia"/>
          <w:spacing w:val="-1"/>
          <w:sz w:val="24"/>
          <w:szCs w:val="24"/>
        </w:rPr>
        <w:t>对于涉及结构安全的质量问题，应当按照《建设工程</w:t>
      </w:r>
      <w:r>
        <w:rPr>
          <w:rFonts w:hint="eastAsia"/>
          <w:sz w:val="24"/>
          <w:szCs w:val="24"/>
        </w:rPr>
        <w:t>质量管理条例》的规定，立即向当地住房和城乡建设行政主管部门及有关部门报告，采取安全防范措施，并由原设计人或者具有相应资质等级的设计人提出保修方案，承包人实施保修。</w:t>
      </w:r>
    </w:p>
    <w:p>
      <w:pPr>
        <w:pStyle w:val="58"/>
        <w:tabs>
          <w:tab w:val="left" w:pos="1822"/>
        </w:tabs>
        <w:spacing w:line="360" w:lineRule="auto"/>
        <w:ind w:left="0" w:firstLine="476" w:firstLineChars="200"/>
        <w:jc w:val="both"/>
        <w:rPr>
          <w:sz w:val="24"/>
          <w:szCs w:val="24"/>
        </w:rPr>
      </w:pPr>
      <w:r>
        <w:rPr>
          <w:spacing w:val="-1"/>
          <w:sz w:val="24"/>
          <w:szCs w:val="24"/>
          <w:lang w:val="en-US"/>
        </w:rPr>
        <w:t>4.</w:t>
      </w:r>
      <w:r>
        <w:rPr>
          <w:rFonts w:hint="eastAsia"/>
          <w:spacing w:val="-1"/>
          <w:sz w:val="24"/>
          <w:szCs w:val="24"/>
        </w:rPr>
        <w:t>在工程质量保修期内，未能在合理期限对工程质量问</w:t>
      </w:r>
      <w:r>
        <w:rPr>
          <w:rFonts w:hint="eastAsia"/>
          <w:sz w:val="24"/>
          <w:szCs w:val="24"/>
        </w:rPr>
        <w:t>题进行修复，或拒绝按要求进行修复的，承包人应向发包人支付修复工程支出的实际金额。</w:t>
      </w:r>
    </w:p>
    <w:p>
      <w:pPr>
        <w:pStyle w:val="58"/>
        <w:tabs>
          <w:tab w:val="left" w:pos="1822"/>
        </w:tabs>
        <w:spacing w:line="360" w:lineRule="auto"/>
        <w:ind w:left="0" w:firstLine="480" w:firstLineChars="200"/>
        <w:jc w:val="both"/>
        <w:rPr>
          <w:sz w:val="24"/>
          <w:szCs w:val="24"/>
        </w:rPr>
      </w:pPr>
      <w:r>
        <w:rPr>
          <w:sz w:val="24"/>
          <w:szCs w:val="24"/>
          <w:lang w:val="en-US"/>
        </w:rPr>
        <w:t>5.</w:t>
      </w:r>
      <w:r>
        <w:rPr>
          <w:rFonts w:hint="eastAsia"/>
          <w:sz w:val="24"/>
          <w:szCs w:val="24"/>
        </w:rPr>
        <w:t>质量保修完成后，由发包人组织验收。</w:t>
      </w:r>
    </w:p>
    <w:p>
      <w:pPr>
        <w:tabs>
          <w:tab w:val="left" w:pos="8581"/>
        </w:tabs>
        <w:spacing w:line="360" w:lineRule="auto"/>
        <w:jc w:val="both"/>
        <w:rPr>
          <w:sz w:val="24"/>
          <w:szCs w:val="24"/>
        </w:rPr>
      </w:pPr>
      <w:r>
        <w:rPr>
          <w:rFonts w:hint="eastAsia"/>
          <w:b/>
          <w:sz w:val="24"/>
          <w:szCs w:val="24"/>
        </w:rPr>
        <w:t>五</w:t>
      </w:r>
      <w:r>
        <w:rPr>
          <w:rFonts w:hint="eastAsia"/>
          <w:b/>
          <w:spacing w:val="-128"/>
          <w:sz w:val="24"/>
          <w:szCs w:val="24"/>
        </w:rPr>
        <w:t>、</w:t>
      </w:r>
      <w:r>
        <w:rPr>
          <w:rFonts w:hint="eastAsia"/>
          <w:b/>
          <w:sz w:val="24"/>
          <w:szCs w:val="24"/>
        </w:rPr>
        <w:t>双方约定的其他工程质量保修</w:t>
      </w:r>
      <w:r>
        <w:rPr>
          <w:rFonts w:hint="eastAsia"/>
          <w:b/>
          <w:spacing w:val="3"/>
          <w:sz w:val="24"/>
          <w:szCs w:val="24"/>
        </w:rPr>
        <w:t>项</w:t>
      </w:r>
      <w:r>
        <w:rPr>
          <w:rFonts w:hint="eastAsia"/>
          <w:sz w:val="24"/>
          <w:szCs w:val="24"/>
        </w:rPr>
        <w:t>：</w:t>
      </w:r>
      <w:r>
        <w:rPr>
          <w:sz w:val="24"/>
          <w:szCs w:val="24"/>
        </w:rPr>
        <w:tab/>
      </w:r>
    </w:p>
    <w:p>
      <w:pPr>
        <w:tabs>
          <w:tab w:val="left" w:pos="8581"/>
        </w:tabs>
        <w:spacing w:line="360" w:lineRule="auto"/>
        <w:ind w:firstLine="480" w:firstLineChars="200"/>
        <w:jc w:val="both"/>
        <w:rPr>
          <w:sz w:val="24"/>
          <w:szCs w:val="24"/>
        </w:rPr>
      </w:pPr>
      <w:r>
        <w:rPr>
          <w:rFonts w:hint="eastAsia"/>
          <w:sz w:val="24"/>
          <w:szCs w:val="24"/>
        </w:rPr>
        <w:t>工程质量保修书由发包人</w:t>
      </w:r>
      <w:r>
        <w:rPr>
          <w:rFonts w:hint="eastAsia"/>
          <w:spacing w:val="-89"/>
          <w:sz w:val="24"/>
          <w:szCs w:val="24"/>
        </w:rPr>
        <w:t>、</w:t>
      </w:r>
      <w:r>
        <w:rPr>
          <w:rFonts w:hint="eastAsia"/>
          <w:sz w:val="24"/>
          <w:szCs w:val="24"/>
        </w:rPr>
        <w:t>承包人在工程竣工验收前共同签署，作为施工合同附件，其有效期限至保修期满。</w:t>
      </w:r>
    </w:p>
    <w:p>
      <w:pPr>
        <w:pStyle w:val="18"/>
        <w:spacing w:before="2" w:line="360" w:lineRule="auto"/>
      </w:pPr>
    </w:p>
    <w:p>
      <w:pPr>
        <w:spacing w:line="360" w:lineRule="auto"/>
        <w:rPr>
          <w:sz w:val="24"/>
          <w:szCs w:val="24"/>
        </w:rPr>
        <w:sectPr>
          <w:footerReference r:id="rId23" w:type="default"/>
          <w:pgSz w:w="11910" w:h="16840"/>
          <w:pgMar w:top="1060" w:right="1080" w:bottom="280" w:left="1380" w:header="0" w:footer="0" w:gutter="0"/>
          <w:cols w:space="720" w:num="1"/>
        </w:sectPr>
      </w:pPr>
    </w:p>
    <w:p>
      <w:pPr>
        <w:pStyle w:val="5"/>
        <w:spacing w:before="62" w:line="360" w:lineRule="auto"/>
        <w:ind w:left="684"/>
        <w:rPr>
          <w:rFonts w:ascii="宋体" w:cs="宋体"/>
          <w:spacing w:val="-36"/>
          <w:sz w:val="24"/>
          <w:szCs w:val="24"/>
        </w:rPr>
      </w:pPr>
    </w:p>
    <w:p>
      <w:pPr>
        <w:pStyle w:val="5"/>
        <w:spacing w:before="62" w:line="360" w:lineRule="auto"/>
        <w:ind w:left="684"/>
        <w:rPr>
          <w:rFonts w:ascii="宋体" w:cs="宋体"/>
          <w:spacing w:val="-36"/>
          <w:sz w:val="24"/>
          <w:szCs w:val="24"/>
        </w:rPr>
      </w:pPr>
    </w:p>
    <w:p>
      <w:pPr>
        <w:pStyle w:val="5"/>
        <w:spacing w:line="360" w:lineRule="auto"/>
        <w:ind w:left="0"/>
        <w:rPr>
          <w:rFonts w:ascii="宋体" w:cs="宋体"/>
          <w:sz w:val="24"/>
          <w:szCs w:val="24"/>
        </w:rPr>
      </w:pPr>
      <w:r>
        <w:rPr>
          <w:rFonts w:hint="eastAsia" w:ascii="宋体" w:hAnsi="宋体" w:cs="宋体"/>
          <w:spacing w:val="-36"/>
          <w:sz w:val="24"/>
          <w:szCs w:val="24"/>
        </w:rPr>
        <w:t>发包人：</w:t>
      </w:r>
      <w:r>
        <w:rPr>
          <w:rFonts w:hint="eastAsia" w:ascii="宋体" w:hAnsi="宋体" w:cs="宋体"/>
          <w:sz w:val="24"/>
          <w:szCs w:val="24"/>
        </w:rPr>
        <w:t>（</w:t>
      </w:r>
      <w:r>
        <w:rPr>
          <w:rFonts w:hint="eastAsia" w:ascii="宋体" w:hAnsi="宋体" w:cs="宋体"/>
          <w:spacing w:val="-2"/>
          <w:sz w:val="24"/>
          <w:szCs w:val="24"/>
        </w:rPr>
        <w:t>公章</w:t>
      </w:r>
      <w:r>
        <w:rPr>
          <w:rFonts w:hint="eastAsia" w:ascii="宋体" w:hAnsi="宋体" w:cs="宋体"/>
          <w:sz w:val="24"/>
          <w:szCs w:val="24"/>
        </w:rPr>
        <w:t>）</w:t>
      </w:r>
    </w:p>
    <w:p>
      <w:pPr>
        <w:pStyle w:val="5"/>
        <w:spacing w:line="360" w:lineRule="auto"/>
        <w:ind w:left="0"/>
        <w:rPr>
          <w:rFonts w:ascii="宋体" w:cs="宋体"/>
          <w:sz w:val="24"/>
          <w:szCs w:val="24"/>
        </w:rPr>
      </w:pPr>
      <w:r>
        <w:rPr>
          <w:rFonts w:hint="eastAsia" w:ascii="宋体" w:hAnsi="宋体" w:cs="宋体"/>
          <w:sz w:val="24"/>
          <w:szCs w:val="24"/>
        </w:rPr>
        <w:t>法定代表人或其委托代理人：</w:t>
      </w:r>
      <w:r>
        <w:rPr>
          <w:rFonts w:hint="eastAsia" w:ascii="宋体" w:hAnsi="宋体" w:cs="宋体"/>
          <w:spacing w:val="-1"/>
          <w:sz w:val="24"/>
          <w:szCs w:val="24"/>
        </w:rPr>
        <w:t>（</w:t>
      </w:r>
      <w:r>
        <w:rPr>
          <w:rFonts w:hint="eastAsia" w:ascii="宋体" w:hAnsi="宋体" w:cs="宋体"/>
          <w:sz w:val="24"/>
          <w:szCs w:val="24"/>
        </w:rPr>
        <w:t>签字）</w:t>
      </w:r>
    </w:p>
    <w:p>
      <w:pPr>
        <w:pStyle w:val="5"/>
        <w:spacing w:before="62" w:line="360" w:lineRule="auto"/>
        <w:rPr>
          <w:rFonts w:ascii="宋体" w:cs="宋体"/>
          <w:spacing w:val="-36"/>
          <w:sz w:val="24"/>
          <w:szCs w:val="24"/>
        </w:rPr>
      </w:pPr>
      <w:r>
        <w:rPr>
          <w:rFonts w:hint="eastAsia" w:ascii="宋体" w:hAnsi="宋体" w:cs="宋体"/>
          <w:sz w:val="24"/>
          <w:szCs w:val="24"/>
        </w:rPr>
        <w:t>社会统</w:t>
      </w:r>
      <w:r>
        <w:rPr>
          <w:rFonts w:hint="eastAsia" w:ascii="宋体" w:hAnsi="宋体" w:cs="宋体"/>
          <w:spacing w:val="-3"/>
          <w:sz w:val="24"/>
          <w:szCs w:val="24"/>
        </w:rPr>
        <w:t>一</w:t>
      </w:r>
      <w:r>
        <w:rPr>
          <w:rFonts w:hint="eastAsia" w:ascii="宋体" w:hAnsi="宋体" w:cs="宋体"/>
          <w:sz w:val="24"/>
          <w:szCs w:val="24"/>
        </w:rPr>
        <w:t>信用</w:t>
      </w:r>
      <w:r>
        <w:rPr>
          <w:rFonts w:hint="eastAsia" w:ascii="宋体" w:hAnsi="宋体" w:cs="宋体"/>
          <w:spacing w:val="-3"/>
          <w:sz w:val="24"/>
          <w:szCs w:val="24"/>
        </w:rPr>
        <w:t>代码</w:t>
      </w:r>
      <w:r>
        <w:rPr>
          <w:rFonts w:hint="eastAsia" w:ascii="宋体" w:hAnsi="宋体" w:cs="宋体"/>
          <w:sz w:val="24"/>
          <w:szCs w:val="24"/>
        </w:rPr>
        <w:t>证号：</w:t>
      </w:r>
      <w:r>
        <w:rPr>
          <w:rFonts w:ascii="宋体" w:cs="宋体"/>
          <w:sz w:val="24"/>
          <w:szCs w:val="24"/>
          <w:u w:val="single"/>
        </w:rPr>
        <w:tab/>
      </w:r>
      <w:r>
        <w:rPr>
          <w:rFonts w:ascii="宋体" w:cs="宋体"/>
          <w:sz w:val="24"/>
          <w:szCs w:val="24"/>
          <w:u w:val="single"/>
        </w:rPr>
        <w:t xml:space="preserve">          </w:t>
      </w:r>
    </w:p>
    <w:p>
      <w:pPr>
        <w:pStyle w:val="5"/>
        <w:spacing w:before="62" w:line="360" w:lineRule="auto"/>
        <w:ind w:left="684"/>
        <w:rPr>
          <w:rFonts w:ascii="宋体" w:cs="宋体"/>
          <w:spacing w:val="-36"/>
          <w:sz w:val="24"/>
          <w:szCs w:val="24"/>
        </w:rPr>
      </w:pPr>
    </w:p>
    <w:p>
      <w:pPr>
        <w:pStyle w:val="5"/>
        <w:spacing w:before="62" w:line="360" w:lineRule="auto"/>
        <w:ind w:left="684"/>
        <w:rPr>
          <w:rFonts w:ascii="宋体" w:cs="宋体"/>
          <w:spacing w:val="-36"/>
          <w:sz w:val="24"/>
          <w:szCs w:val="24"/>
        </w:rPr>
      </w:pPr>
    </w:p>
    <w:p>
      <w:pPr>
        <w:pStyle w:val="5"/>
        <w:spacing w:before="62" w:line="360" w:lineRule="auto"/>
        <w:ind w:left="684"/>
        <w:rPr>
          <w:rFonts w:ascii="宋体" w:cs="宋体"/>
          <w:spacing w:val="-36"/>
          <w:sz w:val="24"/>
          <w:szCs w:val="24"/>
        </w:rPr>
      </w:pPr>
    </w:p>
    <w:p>
      <w:pPr>
        <w:pStyle w:val="5"/>
        <w:spacing w:before="62" w:line="360" w:lineRule="auto"/>
        <w:ind w:left="684"/>
        <w:rPr>
          <w:rFonts w:ascii="宋体" w:cs="宋体"/>
          <w:spacing w:val="-36"/>
          <w:sz w:val="24"/>
          <w:szCs w:val="24"/>
        </w:rPr>
      </w:pPr>
    </w:p>
    <w:p>
      <w:pPr>
        <w:pStyle w:val="5"/>
        <w:spacing w:before="62" w:line="360" w:lineRule="auto"/>
        <w:ind w:left="684"/>
        <w:rPr>
          <w:rFonts w:ascii="宋体" w:cs="宋体"/>
          <w:spacing w:val="-36"/>
          <w:sz w:val="24"/>
          <w:szCs w:val="24"/>
        </w:rPr>
      </w:pPr>
    </w:p>
    <w:p>
      <w:pPr>
        <w:pStyle w:val="5"/>
        <w:spacing w:before="62" w:line="360" w:lineRule="auto"/>
        <w:ind w:left="684"/>
        <w:rPr>
          <w:rFonts w:ascii="宋体" w:cs="宋体"/>
          <w:spacing w:val="-36"/>
          <w:sz w:val="24"/>
          <w:szCs w:val="24"/>
        </w:rPr>
      </w:pPr>
    </w:p>
    <w:p>
      <w:pPr>
        <w:pStyle w:val="5"/>
        <w:spacing w:before="62" w:line="360" w:lineRule="auto"/>
        <w:ind w:left="684"/>
        <w:rPr>
          <w:rFonts w:ascii="宋体" w:cs="宋体"/>
          <w:spacing w:val="-36"/>
          <w:sz w:val="24"/>
          <w:szCs w:val="24"/>
        </w:rPr>
      </w:pPr>
    </w:p>
    <w:p>
      <w:pPr>
        <w:pStyle w:val="5"/>
        <w:spacing w:before="62" w:line="360" w:lineRule="auto"/>
        <w:ind w:left="684"/>
        <w:rPr>
          <w:rFonts w:ascii="宋体" w:cs="宋体"/>
          <w:spacing w:val="-36"/>
          <w:sz w:val="24"/>
          <w:szCs w:val="24"/>
        </w:rPr>
      </w:pPr>
    </w:p>
    <w:p>
      <w:pPr>
        <w:pStyle w:val="5"/>
        <w:spacing w:before="62" w:line="360" w:lineRule="auto"/>
        <w:ind w:left="684"/>
        <w:rPr>
          <w:rFonts w:ascii="宋体" w:cs="宋体"/>
          <w:spacing w:val="-36"/>
          <w:sz w:val="24"/>
          <w:szCs w:val="24"/>
        </w:rPr>
      </w:pPr>
    </w:p>
    <w:p>
      <w:pPr>
        <w:pStyle w:val="5"/>
        <w:spacing w:before="62" w:line="360" w:lineRule="auto"/>
        <w:ind w:left="684"/>
        <w:rPr>
          <w:rFonts w:ascii="宋体" w:cs="宋体"/>
          <w:spacing w:val="-36"/>
          <w:sz w:val="24"/>
          <w:szCs w:val="24"/>
        </w:rPr>
      </w:pPr>
    </w:p>
    <w:p>
      <w:pPr>
        <w:pStyle w:val="5"/>
        <w:spacing w:before="62" w:line="360" w:lineRule="auto"/>
        <w:ind w:left="684"/>
        <w:rPr>
          <w:rFonts w:ascii="宋体" w:cs="宋体"/>
          <w:spacing w:val="-36"/>
          <w:sz w:val="24"/>
          <w:szCs w:val="24"/>
        </w:rPr>
      </w:pPr>
    </w:p>
    <w:p>
      <w:pPr>
        <w:pStyle w:val="5"/>
        <w:spacing w:before="62" w:line="360" w:lineRule="auto"/>
        <w:ind w:left="684"/>
        <w:rPr>
          <w:rFonts w:ascii="宋体" w:cs="宋体"/>
          <w:spacing w:val="-36"/>
          <w:sz w:val="24"/>
          <w:szCs w:val="24"/>
        </w:rPr>
      </w:pPr>
    </w:p>
    <w:p>
      <w:pPr>
        <w:pStyle w:val="5"/>
        <w:spacing w:before="62" w:line="360" w:lineRule="auto"/>
        <w:ind w:left="684"/>
        <w:rPr>
          <w:rFonts w:ascii="宋体" w:cs="宋体"/>
          <w:spacing w:val="-36"/>
          <w:sz w:val="24"/>
          <w:szCs w:val="24"/>
        </w:rPr>
      </w:pPr>
    </w:p>
    <w:p>
      <w:pPr>
        <w:pStyle w:val="5"/>
        <w:spacing w:before="62" w:line="360" w:lineRule="auto"/>
        <w:ind w:left="684"/>
        <w:rPr>
          <w:rFonts w:ascii="宋体" w:cs="宋体"/>
          <w:spacing w:val="-36"/>
          <w:sz w:val="24"/>
          <w:szCs w:val="24"/>
        </w:rPr>
      </w:pPr>
    </w:p>
    <w:p>
      <w:pPr>
        <w:pStyle w:val="5"/>
        <w:spacing w:before="62" w:line="360" w:lineRule="auto"/>
        <w:ind w:left="684"/>
        <w:rPr>
          <w:rFonts w:ascii="宋体" w:cs="宋体"/>
          <w:spacing w:val="-36"/>
          <w:sz w:val="24"/>
          <w:szCs w:val="24"/>
        </w:rPr>
      </w:pPr>
    </w:p>
    <w:p>
      <w:pPr>
        <w:pStyle w:val="5"/>
        <w:spacing w:before="62" w:line="360" w:lineRule="auto"/>
        <w:ind w:left="684"/>
        <w:rPr>
          <w:rFonts w:ascii="宋体" w:cs="宋体"/>
          <w:spacing w:val="-36"/>
          <w:sz w:val="24"/>
          <w:szCs w:val="24"/>
        </w:rPr>
      </w:pPr>
    </w:p>
    <w:p>
      <w:pPr>
        <w:pStyle w:val="5"/>
        <w:spacing w:line="360" w:lineRule="auto"/>
        <w:ind w:left="0" w:firstLine="420" w:firstLineChars="250"/>
        <w:rPr>
          <w:rFonts w:ascii="宋体" w:cs="宋体"/>
          <w:sz w:val="24"/>
          <w:szCs w:val="24"/>
        </w:rPr>
      </w:pPr>
      <w:r>
        <w:rPr>
          <w:rFonts w:hint="eastAsia" w:ascii="宋体" w:hAnsi="宋体" w:cs="宋体"/>
          <w:spacing w:val="-36"/>
          <w:sz w:val="24"/>
          <w:szCs w:val="24"/>
        </w:rPr>
        <w:t>承包人：</w:t>
      </w:r>
      <w:r>
        <w:rPr>
          <w:rFonts w:hint="eastAsia" w:ascii="宋体" w:hAnsi="宋体" w:cs="宋体"/>
          <w:sz w:val="24"/>
          <w:szCs w:val="24"/>
        </w:rPr>
        <w:t>（</w:t>
      </w:r>
      <w:r>
        <w:rPr>
          <w:rFonts w:hint="eastAsia" w:ascii="宋体" w:hAnsi="宋体" w:cs="宋体"/>
          <w:spacing w:val="-2"/>
          <w:sz w:val="24"/>
          <w:szCs w:val="24"/>
        </w:rPr>
        <w:t>公章</w:t>
      </w:r>
      <w:r>
        <w:rPr>
          <w:rFonts w:hint="eastAsia" w:ascii="宋体" w:hAnsi="宋体" w:cs="宋体"/>
          <w:sz w:val="24"/>
          <w:szCs w:val="24"/>
        </w:rPr>
        <w:t>）</w:t>
      </w:r>
    </w:p>
    <w:p>
      <w:pPr>
        <w:pStyle w:val="5"/>
        <w:spacing w:line="360" w:lineRule="auto"/>
        <w:ind w:left="0" w:firstLine="480" w:firstLineChars="200"/>
        <w:rPr>
          <w:rFonts w:ascii="宋体" w:cs="宋体"/>
          <w:sz w:val="24"/>
          <w:szCs w:val="24"/>
          <w:u w:val="single"/>
        </w:rPr>
      </w:pPr>
      <w:r>
        <w:rPr>
          <w:rFonts w:hint="eastAsia" w:ascii="宋体" w:hAnsi="宋体" w:cs="宋体"/>
          <w:sz w:val="24"/>
          <w:szCs w:val="24"/>
        </w:rPr>
        <w:t>法定代表人或其委托代理人：（签字）</w:t>
      </w:r>
    </w:p>
    <w:p>
      <w:pPr>
        <w:pStyle w:val="5"/>
        <w:spacing w:before="62" w:line="360" w:lineRule="auto"/>
        <w:ind w:left="103" w:leftChars="47" w:firstLine="360" w:firstLineChars="150"/>
        <w:rPr>
          <w:rFonts w:ascii="宋体" w:cs="宋体"/>
          <w:spacing w:val="-36"/>
          <w:sz w:val="24"/>
          <w:szCs w:val="24"/>
        </w:rPr>
      </w:pPr>
      <w:r>
        <w:rPr>
          <w:rFonts w:hint="eastAsia" w:ascii="宋体" w:hAnsi="宋体" w:cs="宋体"/>
          <w:sz w:val="24"/>
          <w:szCs w:val="24"/>
        </w:rPr>
        <w:t>社会统</w:t>
      </w:r>
      <w:r>
        <w:rPr>
          <w:rFonts w:hint="eastAsia" w:ascii="宋体" w:hAnsi="宋体" w:cs="宋体"/>
          <w:spacing w:val="-3"/>
          <w:sz w:val="24"/>
          <w:szCs w:val="24"/>
        </w:rPr>
        <w:t>一</w:t>
      </w:r>
      <w:r>
        <w:rPr>
          <w:rFonts w:hint="eastAsia" w:ascii="宋体" w:hAnsi="宋体" w:cs="宋体"/>
          <w:sz w:val="24"/>
          <w:szCs w:val="24"/>
        </w:rPr>
        <w:t>信用</w:t>
      </w:r>
      <w:r>
        <w:rPr>
          <w:rFonts w:hint="eastAsia" w:ascii="宋体" w:hAnsi="宋体" w:cs="宋体"/>
          <w:spacing w:val="-3"/>
          <w:sz w:val="24"/>
          <w:szCs w:val="24"/>
        </w:rPr>
        <w:t>代码</w:t>
      </w:r>
      <w:r>
        <w:rPr>
          <w:rFonts w:hint="eastAsia" w:ascii="宋体" w:hAnsi="宋体" w:cs="宋体"/>
          <w:sz w:val="24"/>
          <w:szCs w:val="24"/>
        </w:rPr>
        <w:t>证号：</w:t>
      </w:r>
      <w:r>
        <w:rPr>
          <w:rFonts w:ascii="宋体" w:cs="宋体"/>
          <w:sz w:val="24"/>
          <w:szCs w:val="24"/>
          <w:u w:val="single"/>
        </w:rPr>
        <w:tab/>
      </w:r>
      <w:r>
        <w:rPr>
          <w:rFonts w:ascii="宋体" w:cs="宋体"/>
          <w:sz w:val="24"/>
          <w:szCs w:val="24"/>
          <w:u w:val="single"/>
        </w:rPr>
        <w:t xml:space="preserve">    </w:t>
      </w:r>
    </w:p>
    <w:p>
      <w:pPr>
        <w:pStyle w:val="5"/>
        <w:spacing w:before="62" w:line="360" w:lineRule="auto"/>
        <w:ind w:left="684"/>
        <w:rPr>
          <w:rFonts w:ascii="宋体" w:cs="宋体"/>
          <w:spacing w:val="-36"/>
          <w:sz w:val="24"/>
          <w:szCs w:val="24"/>
        </w:rPr>
      </w:pPr>
    </w:p>
    <w:p>
      <w:pPr>
        <w:pStyle w:val="5"/>
        <w:tabs>
          <w:tab w:val="left" w:pos="4381"/>
        </w:tabs>
        <w:spacing w:line="360" w:lineRule="auto"/>
        <w:ind w:left="0"/>
        <w:rPr>
          <w:rFonts w:ascii="宋体" w:cs="宋体"/>
          <w:sz w:val="24"/>
          <w:szCs w:val="24"/>
        </w:rPr>
      </w:pPr>
    </w:p>
    <w:p>
      <w:pPr>
        <w:pStyle w:val="5"/>
        <w:tabs>
          <w:tab w:val="left" w:pos="4381"/>
        </w:tabs>
        <w:spacing w:line="360" w:lineRule="auto"/>
        <w:ind w:left="0" w:firstLine="480" w:firstLineChars="200"/>
        <w:rPr>
          <w:rFonts w:ascii="宋体" w:cs="宋体"/>
          <w:sz w:val="24"/>
          <w:szCs w:val="24"/>
          <w:u w:val="single"/>
        </w:rPr>
      </w:pPr>
      <w:r>
        <w:rPr>
          <w:rFonts w:ascii="宋体" w:cs="宋体"/>
          <w:sz w:val="24"/>
          <w:szCs w:val="24"/>
        </w:rPr>
        <w:br w:type="column"/>
      </w: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cs="宋体"/>
          <w:sz w:val="24"/>
          <w:szCs w:val="24"/>
          <w:u w:val="single"/>
        </w:rPr>
        <w:tab/>
      </w:r>
    </w:p>
    <w:p>
      <w:pPr>
        <w:pStyle w:val="5"/>
        <w:tabs>
          <w:tab w:val="left" w:pos="2636"/>
          <w:tab w:val="left" w:pos="4381"/>
        </w:tabs>
        <w:spacing w:line="360" w:lineRule="auto"/>
        <w:ind w:left="0" w:firstLine="480" w:firstLineChars="200"/>
        <w:rPr>
          <w:rFonts w:ascii="宋体" w:cs="宋体"/>
          <w:sz w:val="24"/>
          <w:szCs w:val="24"/>
          <w:u w:val="single"/>
        </w:rPr>
      </w:pPr>
      <w:r>
        <w:rPr>
          <w:rFonts w:hint="eastAsia" w:ascii="宋体" w:hAnsi="宋体" w:cs="宋体"/>
          <w:sz w:val="24"/>
          <w:szCs w:val="24"/>
        </w:rPr>
        <w:t>邮政编</w:t>
      </w:r>
      <w:r>
        <w:rPr>
          <w:rFonts w:hint="eastAsia" w:ascii="宋体" w:hAnsi="宋体" w:cs="宋体"/>
          <w:spacing w:val="-3"/>
          <w:sz w:val="24"/>
          <w:szCs w:val="24"/>
        </w:rPr>
        <w:t>码</w:t>
      </w:r>
      <w:r>
        <w:rPr>
          <w:rFonts w:hint="eastAsia" w:ascii="宋体" w:hAnsi="宋体" w:cs="宋体"/>
          <w:sz w:val="24"/>
          <w:szCs w:val="24"/>
        </w:rPr>
        <w:t>：</w:t>
      </w:r>
      <w:r>
        <w:rPr>
          <w:rFonts w:ascii="宋体" w:cs="宋体"/>
          <w:sz w:val="24"/>
          <w:szCs w:val="24"/>
          <w:u w:val="single"/>
        </w:rPr>
        <w:tab/>
      </w:r>
      <w:r>
        <w:rPr>
          <w:rFonts w:ascii="宋体" w:cs="宋体"/>
          <w:sz w:val="24"/>
          <w:szCs w:val="24"/>
          <w:u w:val="single"/>
        </w:rPr>
        <w:tab/>
      </w:r>
    </w:p>
    <w:p>
      <w:pPr>
        <w:pStyle w:val="5"/>
        <w:tabs>
          <w:tab w:val="left" w:pos="2636"/>
          <w:tab w:val="left" w:pos="4381"/>
        </w:tabs>
        <w:spacing w:line="360" w:lineRule="auto"/>
        <w:ind w:left="0" w:firstLine="480" w:firstLineChars="200"/>
        <w:rPr>
          <w:rFonts w:ascii="宋体" w:cs="宋体"/>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cs="宋体"/>
          <w:sz w:val="24"/>
          <w:szCs w:val="24"/>
          <w:u w:val="single"/>
        </w:rPr>
        <w:tab/>
      </w:r>
      <w:r>
        <w:rPr>
          <w:rFonts w:ascii="宋体" w:cs="宋体"/>
          <w:sz w:val="24"/>
          <w:szCs w:val="24"/>
          <w:u w:val="single"/>
        </w:rPr>
        <w:tab/>
      </w:r>
    </w:p>
    <w:p>
      <w:pPr>
        <w:pStyle w:val="5"/>
        <w:tabs>
          <w:tab w:val="left" w:pos="2636"/>
          <w:tab w:val="left" w:pos="4381"/>
        </w:tabs>
        <w:spacing w:line="360" w:lineRule="auto"/>
        <w:ind w:left="0" w:firstLine="480" w:firstLineChars="200"/>
        <w:rPr>
          <w:rFonts w:ascii="宋体" w:cs="宋体"/>
          <w:sz w:val="24"/>
          <w:szCs w:val="24"/>
          <w:u w:val="single"/>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r>
        <w:rPr>
          <w:rFonts w:ascii="宋体" w:cs="宋体"/>
          <w:sz w:val="24"/>
          <w:szCs w:val="24"/>
          <w:u w:val="single"/>
        </w:rPr>
        <w:tab/>
      </w:r>
      <w:r>
        <w:rPr>
          <w:rFonts w:ascii="宋体" w:cs="宋体"/>
          <w:sz w:val="24"/>
          <w:szCs w:val="24"/>
          <w:u w:val="single"/>
        </w:rPr>
        <w:tab/>
      </w:r>
    </w:p>
    <w:p>
      <w:pPr>
        <w:pStyle w:val="5"/>
        <w:tabs>
          <w:tab w:val="left" w:pos="2636"/>
          <w:tab w:val="left" w:pos="4381"/>
        </w:tabs>
        <w:spacing w:line="360" w:lineRule="auto"/>
        <w:ind w:left="0" w:firstLine="480" w:firstLineChars="200"/>
        <w:rPr>
          <w:rFonts w:ascii="宋体" w:cs="宋体"/>
          <w:sz w:val="24"/>
          <w:szCs w:val="24"/>
          <w:u w:val="single"/>
        </w:rPr>
      </w:pPr>
      <w:r>
        <w:rPr>
          <w:rFonts w:hint="eastAsia" w:ascii="宋体" w:hAnsi="宋体" w:cs="宋体"/>
          <w:sz w:val="24"/>
          <w:szCs w:val="24"/>
        </w:rPr>
        <w:t>开户银</w:t>
      </w:r>
      <w:r>
        <w:rPr>
          <w:rFonts w:hint="eastAsia" w:ascii="宋体" w:hAnsi="宋体" w:cs="宋体"/>
          <w:spacing w:val="-3"/>
          <w:sz w:val="24"/>
          <w:szCs w:val="24"/>
        </w:rPr>
        <w:t>行</w:t>
      </w:r>
      <w:r>
        <w:rPr>
          <w:rFonts w:hint="eastAsia" w:ascii="宋体" w:hAnsi="宋体" w:cs="宋体"/>
          <w:sz w:val="24"/>
          <w:szCs w:val="24"/>
        </w:rPr>
        <w:t>：</w:t>
      </w:r>
      <w:r>
        <w:rPr>
          <w:rFonts w:ascii="宋体" w:cs="宋体"/>
          <w:sz w:val="24"/>
          <w:szCs w:val="24"/>
          <w:u w:val="single"/>
        </w:rPr>
        <w:tab/>
      </w:r>
      <w:r>
        <w:rPr>
          <w:rFonts w:ascii="宋体" w:cs="宋体"/>
          <w:sz w:val="24"/>
          <w:szCs w:val="24"/>
          <w:u w:val="single"/>
        </w:rPr>
        <w:tab/>
      </w:r>
    </w:p>
    <w:p>
      <w:pPr>
        <w:pStyle w:val="5"/>
        <w:tabs>
          <w:tab w:val="left" w:pos="2636"/>
          <w:tab w:val="left" w:pos="4381"/>
        </w:tabs>
        <w:spacing w:line="360" w:lineRule="auto"/>
        <w:ind w:left="0" w:firstLine="480" w:firstLineChars="200"/>
        <w:rPr>
          <w:rFonts w:ascii="宋体" w:cs="宋体"/>
          <w:sz w:val="24"/>
          <w:szCs w:val="24"/>
          <w:u w:val="single"/>
        </w:rPr>
      </w:pPr>
      <w:r>
        <w:rPr>
          <w:rFonts w:hint="eastAsia" w:ascii="宋体" w:hAnsi="宋体" w:cs="宋体"/>
          <w:sz w:val="24"/>
          <w:szCs w:val="24"/>
        </w:rPr>
        <w:t>账</w:t>
      </w:r>
      <w:r>
        <w:rPr>
          <w:rFonts w:ascii="宋体" w:hAnsi="宋体" w:cs="宋体"/>
          <w:sz w:val="24"/>
          <w:szCs w:val="24"/>
        </w:rPr>
        <w:t xml:space="preserve">  </w:t>
      </w:r>
      <w:r>
        <w:rPr>
          <w:rFonts w:hint="eastAsia" w:ascii="宋体" w:hAnsi="宋体" w:cs="宋体"/>
          <w:sz w:val="24"/>
          <w:szCs w:val="24"/>
        </w:rPr>
        <w:t>号：</w:t>
      </w:r>
      <w:r>
        <w:rPr>
          <w:rFonts w:ascii="宋体" w:cs="宋体"/>
          <w:sz w:val="24"/>
          <w:szCs w:val="24"/>
          <w:u w:val="single"/>
        </w:rPr>
        <w:tab/>
      </w:r>
      <w:r>
        <w:rPr>
          <w:rFonts w:ascii="宋体" w:cs="宋体"/>
          <w:sz w:val="24"/>
          <w:szCs w:val="24"/>
          <w:u w:val="single"/>
        </w:rPr>
        <w:tab/>
      </w:r>
    </w:p>
    <w:p>
      <w:pPr>
        <w:pStyle w:val="5"/>
        <w:tabs>
          <w:tab w:val="left" w:pos="2636"/>
          <w:tab w:val="left" w:pos="4381"/>
        </w:tabs>
        <w:spacing w:line="360" w:lineRule="auto"/>
        <w:ind w:left="0" w:firstLine="480" w:firstLineChars="200"/>
        <w:rPr>
          <w:rFonts w:ascii="宋体" w:cs="宋体"/>
          <w:sz w:val="24"/>
          <w:szCs w:val="24"/>
        </w:rPr>
      </w:pPr>
      <w:r>
        <w:rPr>
          <w:rFonts w:hint="eastAsia" w:ascii="宋体" w:hAnsi="宋体" w:cs="宋体"/>
          <w:sz w:val="24"/>
          <w:szCs w:val="24"/>
        </w:rPr>
        <w:t>日期</w:t>
      </w:r>
      <w:r>
        <w:rPr>
          <w:rFonts w:hint="eastAsia" w:ascii="宋体" w:hAnsi="宋体" w:cs="宋体"/>
          <w:spacing w:val="-10"/>
          <w:sz w:val="24"/>
          <w:szCs w:val="24"/>
        </w:rPr>
        <w:t>：</w:t>
      </w:r>
      <w:r>
        <w:rPr>
          <w:rFonts w:ascii="宋体" w:cs="宋体"/>
          <w:spacing w:val="-10"/>
          <w:sz w:val="24"/>
          <w:szCs w:val="24"/>
          <w:u w:val="single"/>
        </w:rPr>
        <w:tab/>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rPr>
        <w:t xml:space="preserve"> </w:t>
      </w:r>
      <w:r>
        <w:rPr>
          <w:rFonts w:ascii="宋体" w:hAnsi="宋体" w:cs="宋体"/>
          <w:sz w:val="24"/>
          <w:szCs w:val="24"/>
          <w:u w:val="single"/>
        </w:rPr>
        <w:t xml:space="preserve">   </w:t>
      </w:r>
      <w:r>
        <w:rPr>
          <w:rFonts w:hint="eastAsia" w:ascii="宋体" w:hAnsi="宋体" w:cs="宋体"/>
          <w:sz w:val="24"/>
          <w:szCs w:val="24"/>
        </w:rPr>
        <w:t>日</w:t>
      </w:r>
    </w:p>
    <w:p>
      <w:pPr>
        <w:pStyle w:val="5"/>
        <w:tabs>
          <w:tab w:val="left" w:pos="2612"/>
          <w:tab w:val="left" w:pos="4359"/>
        </w:tabs>
        <w:spacing w:line="360" w:lineRule="auto"/>
        <w:ind w:left="0" w:firstLine="480" w:firstLineChars="200"/>
        <w:rPr>
          <w:rFonts w:ascii="宋体" w:cs="宋体"/>
          <w:sz w:val="24"/>
          <w:szCs w:val="24"/>
          <w:u w:val="single"/>
        </w:rPr>
      </w:pPr>
      <w:r>
        <w:rPr>
          <w:rFonts w:ascii="宋体" w:cs="宋体"/>
          <w:sz w:val="24"/>
          <w:szCs w:val="24"/>
        </w:rPr>
        <w:br w:type="column"/>
      </w: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cs="宋体"/>
          <w:sz w:val="24"/>
          <w:szCs w:val="24"/>
          <w:u w:val="single"/>
        </w:rPr>
        <w:tab/>
      </w:r>
      <w:r>
        <w:rPr>
          <w:rFonts w:ascii="宋体" w:cs="宋体"/>
          <w:sz w:val="24"/>
          <w:szCs w:val="24"/>
          <w:u w:val="single"/>
        </w:rPr>
        <w:tab/>
      </w:r>
    </w:p>
    <w:p>
      <w:pPr>
        <w:pStyle w:val="5"/>
        <w:tabs>
          <w:tab w:val="left" w:pos="2612"/>
          <w:tab w:val="left" w:pos="4359"/>
        </w:tabs>
        <w:spacing w:line="360" w:lineRule="auto"/>
        <w:ind w:left="0" w:firstLine="480" w:firstLineChars="200"/>
        <w:rPr>
          <w:rFonts w:ascii="宋体" w:cs="宋体"/>
          <w:sz w:val="24"/>
          <w:szCs w:val="24"/>
          <w:u w:val="single"/>
        </w:rPr>
      </w:pPr>
      <w:r>
        <w:rPr>
          <w:rFonts w:hint="eastAsia" w:ascii="宋体" w:hAnsi="宋体" w:cs="宋体"/>
          <w:sz w:val="24"/>
          <w:szCs w:val="24"/>
        </w:rPr>
        <w:t>邮政编</w:t>
      </w:r>
      <w:r>
        <w:rPr>
          <w:rFonts w:hint="eastAsia" w:ascii="宋体" w:hAnsi="宋体" w:cs="宋体"/>
          <w:spacing w:val="-3"/>
          <w:sz w:val="24"/>
          <w:szCs w:val="24"/>
        </w:rPr>
        <w:t>码</w:t>
      </w:r>
      <w:r>
        <w:rPr>
          <w:rFonts w:hint="eastAsia" w:ascii="宋体" w:hAnsi="宋体" w:cs="宋体"/>
          <w:sz w:val="24"/>
          <w:szCs w:val="24"/>
        </w:rPr>
        <w:t>：</w:t>
      </w:r>
      <w:r>
        <w:rPr>
          <w:rFonts w:ascii="宋体" w:cs="宋体"/>
          <w:sz w:val="24"/>
          <w:szCs w:val="24"/>
          <w:u w:val="single"/>
        </w:rPr>
        <w:tab/>
      </w:r>
      <w:r>
        <w:rPr>
          <w:rFonts w:ascii="宋体" w:cs="宋体"/>
          <w:sz w:val="24"/>
          <w:szCs w:val="24"/>
          <w:u w:val="single"/>
        </w:rPr>
        <w:tab/>
      </w:r>
    </w:p>
    <w:p>
      <w:pPr>
        <w:pStyle w:val="5"/>
        <w:tabs>
          <w:tab w:val="left" w:pos="2612"/>
          <w:tab w:val="left" w:pos="4359"/>
        </w:tabs>
        <w:spacing w:line="360" w:lineRule="auto"/>
        <w:ind w:left="0" w:firstLine="480" w:firstLineChars="200"/>
        <w:rPr>
          <w:rFonts w:ascii="宋体" w:cs="宋体"/>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cs="宋体"/>
          <w:sz w:val="24"/>
          <w:szCs w:val="24"/>
          <w:u w:val="single"/>
        </w:rPr>
        <w:tab/>
      </w:r>
      <w:r>
        <w:rPr>
          <w:rFonts w:ascii="宋体" w:cs="宋体"/>
          <w:sz w:val="24"/>
          <w:szCs w:val="24"/>
          <w:u w:val="single"/>
        </w:rPr>
        <w:tab/>
      </w:r>
    </w:p>
    <w:p>
      <w:pPr>
        <w:pStyle w:val="5"/>
        <w:tabs>
          <w:tab w:val="left" w:pos="2612"/>
          <w:tab w:val="left" w:pos="4359"/>
        </w:tabs>
        <w:spacing w:line="360" w:lineRule="auto"/>
        <w:ind w:left="0" w:firstLine="480" w:firstLineChars="200"/>
        <w:rPr>
          <w:rFonts w:ascii="宋体" w:cs="宋体"/>
          <w:sz w:val="24"/>
          <w:szCs w:val="24"/>
          <w:u w:val="single"/>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r>
        <w:rPr>
          <w:rFonts w:ascii="宋体" w:cs="宋体"/>
          <w:sz w:val="24"/>
          <w:szCs w:val="24"/>
          <w:u w:val="single"/>
        </w:rPr>
        <w:tab/>
      </w:r>
      <w:r>
        <w:rPr>
          <w:rFonts w:ascii="宋体" w:cs="宋体"/>
          <w:sz w:val="24"/>
          <w:szCs w:val="24"/>
          <w:u w:val="single"/>
        </w:rPr>
        <w:tab/>
      </w:r>
    </w:p>
    <w:p>
      <w:pPr>
        <w:pStyle w:val="5"/>
        <w:tabs>
          <w:tab w:val="left" w:pos="2612"/>
          <w:tab w:val="left" w:pos="4359"/>
        </w:tabs>
        <w:spacing w:line="360" w:lineRule="auto"/>
        <w:ind w:left="0" w:firstLine="480" w:firstLineChars="200"/>
        <w:rPr>
          <w:rFonts w:ascii="宋体" w:cs="宋体"/>
          <w:sz w:val="24"/>
          <w:szCs w:val="24"/>
          <w:u w:val="single"/>
        </w:rPr>
      </w:pPr>
      <w:r>
        <w:rPr>
          <w:rFonts w:hint="eastAsia" w:ascii="宋体" w:hAnsi="宋体" w:cs="宋体"/>
          <w:sz w:val="24"/>
          <w:szCs w:val="24"/>
        </w:rPr>
        <w:t>开户银</w:t>
      </w:r>
      <w:r>
        <w:rPr>
          <w:rFonts w:hint="eastAsia" w:ascii="宋体" w:hAnsi="宋体" w:cs="宋体"/>
          <w:spacing w:val="-3"/>
          <w:sz w:val="24"/>
          <w:szCs w:val="24"/>
        </w:rPr>
        <w:t>行</w:t>
      </w:r>
      <w:r>
        <w:rPr>
          <w:rFonts w:hint="eastAsia" w:ascii="宋体" w:hAnsi="宋体" w:cs="宋体"/>
          <w:sz w:val="24"/>
          <w:szCs w:val="24"/>
        </w:rPr>
        <w:t>：</w:t>
      </w:r>
      <w:r>
        <w:rPr>
          <w:rFonts w:ascii="宋体" w:cs="宋体"/>
          <w:sz w:val="24"/>
          <w:szCs w:val="24"/>
          <w:u w:val="single"/>
        </w:rPr>
        <w:tab/>
      </w:r>
      <w:r>
        <w:rPr>
          <w:rFonts w:ascii="宋体" w:cs="宋体"/>
          <w:sz w:val="24"/>
          <w:szCs w:val="24"/>
          <w:u w:val="single"/>
        </w:rPr>
        <w:tab/>
      </w:r>
    </w:p>
    <w:p>
      <w:pPr>
        <w:pStyle w:val="5"/>
        <w:tabs>
          <w:tab w:val="left" w:pos="2612"/>
          <w:tab w:val="left" w:pos="4359"/>
        </w:tabs>
        <w:spacing w:line="360" w:lineRule="auto"/>
        <w:ind w:left="0" w:firstLine="480" w:firstLineChars="200"/>
        <w:rPr>
          <w:rFonts w:ascii="宋体" w:cs="宋体"/>
          <w:sz w:val="24"/>
          <w:szCs w:val="24"/>
          <w:u w:val="single"/>
        </w:rPr>
      </w:pPr>
      <w:r>
        <w:rPr>
          <w:rFonts w:hint="eastAsia" w:ascii="宋体" w:hAnsi="宋体" w:cs="宋体"/>
          <w:sz w:val="24"/>
          <w:szCs w:val="24"/>
        </w:rPr>
        <w:t>账</w:t>
      </w:r>
      <w:r>
        <w:rPr>
          <w:rFonts w:ascii="宋体" w:hAnsi="宋体" w:cs="宋体"/>
          <w:sz w:val="24"/>
          <w:szCs w:val="24"/>
        </w:rPr>
        <w:t xml:space="preserve">  </w:t>
      </w:r>
      <w:r>
        <w:rPr>
          <w:rFonts w:hint="eastAsia" w:ascii="宋体" w:hAnsi="宋体" w:cs="宋体"/>
          <w:sz w:val="24"/>
          <w:szCs w:val="24"/>
        </w:rPr>
        <w:t>号：</w:t>
      </w:r>
      <w:r>
        <w:rPr>
          <w:rFonts w:ascii="宋体" w:cs="宋体"/>
          <w:sz w:val="24"/>
          <w:szCs w:val="24"/>
          <w:u w:val="single"/>
        </w:rPr>
        <w:tab/>
      </w:r>
      <w:r>
        <w:rPr>
          <w:rFonts w:ascii="宋体" w:cs="宋体"/>
          <w:sz w:val="24"/>
          <w:szCs w:val="24"/>
          <w:u w:val="single"/>
        </w:rPr>
        <w:tab/>
      </w:r>
    </w:p>
    <w:p>
      <w:pPr>
        <w:pStyle w:val="5"/>
        <w:tabs>
          <w:tab w:val="left" w:pos="2612"/>
          <w:tab w:val="left" w:pos="4359"/>
        </w:tabs>
        <w:spacing w:line="360" w:lineRule="auto"/>
        <w:ind w:left="0" w:firstLine="480" w:firstLineChars="200"/>
        <w:rPr>
          <w:rFonts w:ascii="宋体" w:cs="宋体"/>
          <w:sz w:val="24"/>
          <w:szCs w:val="24"/>
        </w:rPr>
      </w:pPr>
      <w:r>
        <w:rPr>
          <w:rFonts w:hint="eastAsia" w:ascii="宋体" w:hAnsi="宋体" w:cs="宋体"/>
          <w:sz w:val="24"/>
          <w:szCs w:val="24"/>
        </w:rPr>
        <w:t>日期</w:t>
      </w:r>
      <w:r>
        <w:rPr>
          <w:rFonts w:hint="eastAsia" w:ascii="宋体" w:hAnsi="宋体" w:cs="宋体"/>
          <w:spacing w:val="-32"/>
          <w:sz w:val="24"/>
          <w:szCs w:val="24"/>
        </w:rPr>
        <w:t>：</w:t>
      </w:r>
      <w:r>
        <w:rPr>
          <w:rFonts w:ascii="宋体" w:cs="宋体"/>
          <w:spacing w:val="-32"/>
          <w:sz w:val="24"/>
          <w:szCs w:val="24"/>
          <w:u w:val="single"/>
        </w:rPr>
        <w:tab/>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pPr>
        <w:spacing w:line="360" w:lineRule="auto"/>
        <w:ind w:firstLine="480" w:firstLineChars="200"/>
        <w:jc w:val="both"/>
        <w:rPr>
          <w:sz w:val="24"/>
          <w:szCs w:val="24"/>
        </w:rPr>
        <w:sectPr>
          <w:type w:val="continuous"/>
          <w:pgSz w:w="11910" w:h="16840"/>
          <w:pgMar w:top="1600" w:right="1080" w:bottom="900" w:left="1380" w:header="720" w:footer="720" w:gutter="0"/>
          <w:cols w:equalWidth="0" w:num="2">
            <w:col w:w="4422" w:space="120"/>
            <w:col w:w="4908"/>
          </w:cols>
        </w:sectPr>
      </w:pPr>
    </w:p>
    <w:p>
      <w:pPr>
        <w:pStyle w:val="18"/>
        <w:spacing w:line="360" w:lineRule="auto"/>
        <w:ind w:firstLine="480" w:firstLineChars="200"/>
      </w:pPr>
    </w:p>
    <w:p>
      <w:pPr>
        <w:pStyle w:val="18"/>
        <w:spacing w:line="360" w:lineRule="auto"/>
      </w:pPr>
    </w:p>
    <w:p>
      <w:pPr>
        <w:pStyle w:val="18"/>
        <w:spacing w:line="360" w:lineRule="auto"/>
      </w:pPr>
    </w:p>
    <w:p>
      <w:pPr>
        <w:pStyle w:val="18"/>
        <w:spacing w:line="360" w:lineRule="auto"/>
      </w:pPr>
    </w:p>
    <w:p>
      <w:pPr>
        <w:pStyle w:val="18"/>
        <w:spacing w:line="360" w:lineRule="auto"/>
      </w:pPr>
    </w:p>
    <w:p>
      <w:pPr>
        <w:pStyle w:val="18"/>
        <w:spacing w:line="360" w:lineRule="auto"/>
      </w:pPr>
    </w:p>
    <w:p>
      <w:pPr>
        <w:pStyle w:val="18"/>
        <w:spacing w:line="360" w:lineRule="auto"/>
      </w:pPr>
    </w:p>
    <w:p>
      <w:pPr>
        <w:pStyle w:val="18"/>
        <w:spacing w:line="360" w:lineRule="auto"/>
      </w:pPr>
    </w:p>
    <w:p>
      <w:pPr>
        <w:pStyle w:val="18"/>
        <w:spacing w:before="9" w:line="360" w:lineRule="auto"/>
      </w:pPr>
    </w:p>
    <w:p>
      <w:pPr>
        <w:spacing w:line="360" w:lineRule="auto"/>
        <w:jc w:val="center"/>
        <w:rPr>
          <w:sz w:val="24"/>
          <w:szCs w:val="24"/>
        </w:rPr>
        <w:sectPr>
          <w:type w:val="continuous"/>
          <w:pgSz w:w="11910" w:h="16840"/>
          <w:pgMar w:top="1600" w:right="1080" w:bottom="900" w:left="1380" w:header="720" w:footer="720" w:gutter="0"/>
          <w:cols w:space="720" w:num="1"/>
        </w:sectPr>
      </w:pPr>
    </w:p>
    <w:p>
      <w:pPr>
        <w:pStyle w:val="18"/>
        <w:spacing w:line="360" w:lineRule="auto"/>
        <w:ind w:left="381"/>
        <w:rPr>
          <w:sz w:val="2"/>
        </w:rPr>
      </w:pPr>
    </w:p>
    <w:p>
      <w:pPr>
        <w:spacing w:before="58" w:line="360" w:lineRule="auto"/>
        <w:rPr>
          <w:sz w:val="24"/>
          <w:szCs w:val="24"/>
        </w:rPr>
      </w:pPr>
      <w:r>
        <w:rPr>
          <w:rFonts w:hint="eastAsia"/>
          <w:sz w:val="24"/>
          <w:szCs w:val="24"/>
        </w:rPr>
        <w:t>附件</w:t>
      </w:r>
      <w:r>
        <w:rPr>
          <w:sz w:val="24"/>
          <w:szCs w:val="24"/>
        </w:rPr>
        <w:t xml:space="preserve"> 8</w:t>
      </w:r>
      <w:r>
        <w:rPr>
          <w:rFonts w:hint="eastAsia"/>
          <w:sz w:val="24"/>
          <w:szCs w:val="24"/>
        </w:rPr>
        <w:t>：</w:t>
      </w:r>
    </w:p>
    <w:p>
      <w:pPr>
        <w:spacing w:before="58" w:line="360" w:lineRule="auto"/>
        <w:ind w:left="328" w:right="624"/>
        <w:jc w:val="center"/>
        <w:rPr>
          <w:sz w:val="24"/>
          <w:szCs w:val="24"/>
        </w:rPr>
      </w:pPr>
      <w:r>
        <w:rPr>
          <w:rFonts w:hint="eastAsia"/>
          <w:sz w:val="24"/>
          <w:szCs w:val="24"/>
        </w:rPr>
        <w:t>廉政建设责任书</w:t>
      </w:r>
    </w:p>
    <w:p>
      <w:pPr>
        <w:pStyle w:val="18"/>
        <w:spacing w:before="11" w:line="360" w:lineRule="auto"/>
      </w:pPr>
    </w:p>
    <w:p>
      <w:pPr>
        <w:adjustRightInd w:val="0"/>
        <w:spacing w:line="360" w:lineRule="auto"/>
        <w:ind w:firstLine="480" w:firstLineChars="200"/>
        <w:jc w:val="both"/>
        <w:rPr>
          <w:sz w:val="24"/>
          <w:szCs w:val="24"/>
        </w:rPr>
      </w:pPr>
      <w:r>
        <w:rPr>
          <w:rFonts w:hint="eastAsia"/>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建设责任书。</w:t>
      </w:r>
    </w:p>
    <w:p>
      <w:pPr>
        <w:adjustRightInd w:val="0"/>
        <w:spacing w:line="360" w:lineRule="auto"/>
        <w:ind w:firstLine="482" w:firstLineChars="200"/>
        <w:rPr>
          <w:b/>
          <w:sz w:val="24"/>
          <w:szCs w:val="24"/>
        </w:rPr>
      </w:pPr>
      <w:r>
        <w:rPr>
          <w:rFonts w:hint="eastAsia"/>
          <w:b/>
          <w:sz w:val="24"/>
          <w:szCs w:val="24"/>
        </w:rPr>
        <w:t>一、双方的责任</w:t>
      </w:r>
    </w:p>
    <w:p>
      <w:pPr>
        <w:pStyle w:val="58"/>
        <w:tabs>
          <w:tab w:val="left" w:pos="1544"/>
        </w:tabs>
        <w:adjustRightInd w:val="0"/>
        <w:spacing w:line="360" w:lineRule="auto"/>
        <w:ind w:left="440" w:leftChars="200" w:firstLine="0"/>
        <w:jc w:val="both"/>
        <w:rPr>
          <w:sz w:val="24"/>
          <w:szCs w:val="24"/>
        </w:rPr>
      </w:pPr>
      <w:r>
        <w:rPr>
          <w:spacing w:val="-3"/>
          <w:sz w:val="24"/>
          <w:szCs w:val="24"/>
          <w:lang w:val="en-US"/>
        </w:rPr>
        <w:t>1.1</w:t>
      </w:r>
      <w:r>
        <w:rPr>
          <w:rFonts w:hint="eastAsia"/>
          <w:spacing w:val="-3"/>
          <w:sz w:val="24"/>
          <w:szCs w:val="24"/>
        </w:rPr>
        <w:t>应严格遵守国家关于建设工程的有关法律、法规，相关</w:t>
      </w:r>
      <w:r>
        <w:rPr>
          <w:rFonts w:hint="eastAsia"/>
          <w:sz w:val="24"/>
          <w:szCs w:val="24"/>
        </w:rPr>
        <w:t>政策，以及廉政建设的各项规定。</w:t>
      </w:r>
    </w:p>
    <w:p>
      <w:pPr>
        <w:pStyle w:val="58"/>
        <w:tabs>
          <w:tab w:val="left" w:pos="1544"/>
        </w:tabs>
        <w:adjustRightInd w:val="0"/>
        <w:spacing w:line="360" w:lineRule="auto"/>
        <w:ind w:left="440" w:leftChars="200" w:firstLine="0"/>
        <w:jc w:val="both"/>
        <w:rPr>
          <w:sz w:val="24"/>
          <w:szCs w:val="24"/>
        </w:rPr>
      </w:pPr>
      <w:r>
        <w:rPr>
          <w:sz w:val="24"/>
          <w:szCs w:val="24"/>
          <w:lang w:val="en-US"/>
        </w:rPr>
        <w:t>1.2</w:t>
      </w:r>
      <w:r>
        <w:rPr>
          <w:rFonts w:hint="eastAsia"/>
          <w:sz w:val="24"/>
          <w:szCs w:val="24"/>
        </w:rPr>
        <w:t>严格执行建设工程合同文件，自觉按合同办事。</w:t>
      </w:r>
    </w:p>
    <w:p>
      <w:pPr>
        <w:pStyle w:val="58"/>
        <w:tabs>
          <w:tab w:val="left" w:pos="1544"/>
        </w:tabs>
        <w:adjustRightInd w:val="0"/>
        <w:spacing w:line="360" w:lineRule="auto"/>
        <w:ind w:left="440" w:leftChars="200" w:firstLine="0"/>
        <w:jc w:val="both"/>
        <w:rPr>
          <w:sz w:val="24"/>
          <w:szCs w:val="24"/>
        </w:rPr>
      </w:pPr>
      <w:r>
        <w:rPr>
          <w:spacing w:val="-4"/>
          <w:sz w:val="24"/>
          <w:szCs w:val="24"/>
          <w:lang w:val="en-US"/>
        </w:rPr>
        <w:t>1.3</w:t>
      </w:r>
      <w:r>
        <w:rPr>
          <w:rFonts w:hint="eastAsia"/>
          <w:spacing w:val="-4"/>
          <w:sz w:val="24"/>
          <w:szCs w:val="24"/>
        </w:rPr>
        <w:t>各项活动必须坚持公开、公平、公正、诚信、透明的原</w:t>
      </w:r>
      <w:r>
        <w:rPr>
          <w:rFonts w:hint="eastAsia"/>
          <w:spacing w:val="-7"/>
          <w:sz w:val="24"/>
          <w:szCs w:val="24"/>
        </w:rPr>
        <w:t>则</w:t>
      </w:r>
      <w:r>
        <w:rPr>
          <w:spacing w:val="-7"/>
          <w:sz w:val="24"/>
          <w:szCs w:val="24"/>
        </w:rPr>
        <w:t>(</w:t>
      </w:r>
      <w:r>
        <w:rPr>
          <w:rFonts w:hint="eastAsia"/>
          <w:spacing w:val="-7"/>
          <w:sz w:val="24"/>
          <w:szCs w:val="24"/>
        </w:rPr>
        <w:t>除法律法规另有规定者外</w:t>
      </w:r>
      <w:r>
        <w:rPr>
          <w:spacing w:val="-7"/>
          <w:sz w:val="24"/>
          <w:szCs w:val="24"/>
        </w:rPr>
        <w:t>)</w:t>
      </w:r>
      <w:r>
        <w:rPr>
          <w:rFonts w:hint="eastAsia"/>
          <w:spacing w:val="-7"/>
          <w:sz w:val="24"/>
          <w:szCs w:val="24"/>
        </w:rPr>
        <w:t>，不得为获取不正当的利益，损害</w:t>
      </w:r>
      <w:r>
        <w:rPr>
          <w:rFonts w:hint="eastAsia"/>
          <w:sz w:val="24"/>
          <w:szCs w:val="24"/>
        </w:rPr>
        <w:t>国家、集体和对方利益，不得违反建设工程管理的规章制度。</w:t>
      </w:r>
    </w:p>
    <w:p>
      <w:pPr>
        <w:pStyle w:val="58"/>
        <w:tabs>
          <w:tab w:val="left" w:pos="1544"/>
        </w:tabs>
        <w:adjustRightInd w:val="0"/>
        <w:spacing w:line="360" w:lineRule="auto"/>
        <w:ind w:left="440" w:leftChars="200" w:firstLine="0"/>
        <w:jc w:val="both"/>
        <w:rPr>
          <w:sz w:val="24"/>
          <w:szCs w:val="24"/>
        </w:rPr>
      </w:pPr>
      <w:r>
        <w:rPr>
          <w:spacing w:val="-3"/>
          <w:sz w:val="24"/>
          <w:szCs w:val="24"/>
          <w:lang w:val="en-US"/>
        </w:rPr>
        <w:t>1.4</w:t>
      </w:r>
      <w:r>
        <w:rPr>
          <w:rFonts w:hint="eastAsia"/>
          <w:spacing w:val="-3"/>
          <w:sz w:val="24"/>
          <w:szCs w:val="24"/>
        </w:rPr>
        <w:t>发现对方在业务活动中有违规、违纪、违法行为的，应</w:t>
      </w:r>
      <w:r>
        <w:rPr>
          <w:rFonts w:hint="eastAsia"/>
          <w:spacing w:val="-4"/>
          <w:sz w:val="24"/>
          <w:szCs w:val="24"/>
        </w:rPr>
        <w:t>及时提醒对方，情节严重的，应向其上级主管部门或纪检监察、</w:t>
      </w:r>
      <w:r>
        <w:rPr>
          <w:rFonts w:hint="eastAsia"/>
          <w:sz w:val="24"/>
          <w:szCs w:val="24"/>
        </w:rPr>
        <w:t>司法等有关机关举报。</w:t>
      </w:r>
    </w:p>
    <w:p>
      <w:pPr>
        <w:adjustRightInd w:val="0"/>
        <w:spacing w:line="360" w:lineRule="auto"/>
        <w:ind w:firstLine="482" w:firstLineChars="200"/>
        <w:rPr>
          <w:b/>
          <w:sz w:val="24"/>
          <w:szCs w:val="24"/>
        </w:rPr>
      </w:pPr>
      <w:r>
        <w:rPr>
          <w:rFonts w:hint="eastAsia"/>
          <w:b/>
          <w:sz w:val="24"/>
          <w:szCs w:val="24"/>
        </w:rPr>
        <w:t>二、发包人责任</w:t>
      </w:r>
    </w:p>
    <w:p>
      <w:pPr>
        <w:adjustRightInd w:val="0"/>
        <w:spacing w:line="360" w:lineRule="auto"/>
        <w:ind w:firstLine="456" w:firstLineChars="200"/>
        <w:rPr>
          <w:sz w:val="24"/>
          <w:szCs w:val="24"/>
        </w:rPr>
      </w:pPr>
      <w:r>
        <w:rPr>
          <w:rFonts w:hint="eastAsia"/>
          <w:spacing w:val="-6"/>
          <w:sz w:val="24"/>
          <w:szCs w:val="24"/>
        </w:rPr>
        <w:t>发包人从事该建设工程项目的负责人和工作人员，在工程建</w:t>
      </w:r>
      <w:r>
        <w:rPr>
          <w:rFonts w:hint="eastAsia"/>
          <w:sz w:val="24"/>
          <w:szCs w:val="24"/>
        </w:rPr>
        <w:t>设的事前、事中、事后应遵守以下规定：</w:t>
      </w:r>
    </w:p>
    <w:p>
      <w:pPr>
        <w:pStyle w:val="58"/>
        <w:tabs>
          <w:tab w:val="left" w:pos="1544"/>
        </w:tabs>
        <w:adjustRightInd w:val="0"/>
        <w:spacing w:line="360" w:lineRule="auto"/>
        <w:ind w:left="440" w:leftChars="200" w:firstLine="0"/>
        <w:rPr>
          <w:sz w:val="24"/>
          <w:szCs w:val="24"/>
        </w:rPr>
      </w:pPr>
      <w:r>
        <w:rPr>
          <w:spacing w:val="-3"/>
          <w:sz w:val="24"/>
          <w:szCs w:val="24"/>
          <w:lang w:val="en-US"/>
        </w:rPr>
        <w:t>2.1</w:t>
      </w:r>
      <w:r>
        <w:rPr>
          <w:rFonts w:hint="eastAsia"/>
          <w:spacing w:val="-3"/>
          <w:sz w:val="24"/>
          <w:szCs w:val="24"/>
        </w:rPr>
        <w:t>不得向承包人和相关单位索要或接受回扣、礼金、有价</w:t>
      </w:r>
      <w:r>
        <w:rPr>
          <w:rFonts w:hint="eastAsia"/>
          <w:sz w:val="24"/>
          <w:szCs w:val="24"/>
        </w:rPr>
        <w:t>证券、贵重物品和好处费、感谢费等。</w:t>
      </w:r>
    </w:p>
    <w:p>
      <w:pPr>
        <w:pStyle w:val="58"/>
        <w:tabs>
          <w:tab w:val="left" w:pos="1530"/>
        </w:tabs>
        <w:adjustRightInd w:val="0"/>
        <w:spacing w:line="360" w:lineRule="auto"/>
        <w:ind w:left="440" w:leftChars="200" w:firstLine="0"/>
        <w:rPr>
          <w:sz w:val="24"/>
          <w:szCs w:val="24"/>
        </w:rPr>
      </w:pPr>
      <w:r>
        <w:rPr>
          <w:spacing w:val="-1"/>
          <w:sz w:val="24"/>
          <w:szCs w:val="24"/>
          <w:lang w:val="en-US"/>
        </w:rPr>
        <w:t>2.2</w:t>
      </w:r>
      <w:r>
        <w:rPr>
          <w:rFonts w:hint="eastAsia"/>
          <w:spacing w:val="-1"/>
          <w:sz w:val="24"/>
          <w:szCs w:val="24"/>
        </w:rPr>
        <w:t>不得在承包人和相关单位报销任何应由发包人或个人支</w:t>
      </w:r>
      <w:r>
        <w:rPr>
          <w:rFonts w:hint="eastAsia"/>
          <w:sz w:val="24"/>
          <w:szCs w:val="24"/>
        </w:rPr>
        <w:t>付的费用。</w:t>
      </w:r>
    </w:p>
    <w:p>
      <w:pPr>
        <w:pStyle w:val="58"/>
        <w:tabs>
          <w:tab w:val="left" w:pos="1544"/>
        </w:tabs>
        <w:adjustRightInd w:val="0"/>
        <w:spacing w:line="360" w:lineRule="auto"/>
        <w:ind w:left="440" w:leftChars="200" w:firstLine="0"/>
        <w:rPr>
          <w:sz w:val="24"/>
          <w:szCs w:val="24"/>
        </w:rPr>
      </w:pPr>
      <w:r>
        <w:rPr>
          <w:spacing w:val="-4"/>
          <w:sz w:val="24"/>
          <w:szCs w:val="24"/>
          <w:lang w:val="en-US"/>
        </w:rPr>
        <w:t>2.3</w:t>
      </w:r>
      <w:r>
        <w:rPr>
          <w:rFonts w:hint="eastAsia"/>
          <w:spacing w:val="-4"/>
          <w:sz w:val="24"/>
          <w:szCs w:val="24"/>
        </w:rPr>
        <w:t>不得要求、暗示或接受承包人和相关单位为个人装修住</w:t>
      </w:r>
      <w:r>
        <w:rPr>
          <w:rFonts w:hint="eastAsia"/>
          <w:spacing w:val="-10"/>
          <w:sz w:val="24"/>
          <w:szCs w:val="24"/>
        </w:rPr>
        <w:t>房、婚丧嫁娶、配偶子女的工作安排以及出国</w:t>
      </w:r>
      <w:r>
        <w:rPr>
          <w:spacing w:val="-10"/>
          <w:sz w:val="24"/>
          <w:szCs w:val="24"/>
        </w:rPr>
        <w:t>(</w:t>
      </w:r>
      <w:r>
        <w:rPr>
          <w:rFonts w:hint="eastAsia"/>
          <w:spacing w:val="-10"/>
          <w:sz w:val="24"/>
          <w:szCs w:val="24"/>
        </w:rPr>
        <w:t>境</w:t>
      </w:r>
      <w:r>
        <w:rPr>
          <w:spacing w:val="-10"/>
          <w:sz w:val="24"/>
          <w:szCs w:val="24"/>
        </w:rPr>
        <w:t>)</w:t>
      </w:r>
      <w:r>
        <w:rPr>
          <w:rFonts w:hint="eastAsia"/>
          <w:spacing w:val="-10"/>
          <w:sz w:val="24"/>
          <w:szCs w:val="24"/>
        </w:rPr>
        <w:t>、旅游等提供</w:t>
      </w:r>
    </w:p>
    <w:p>
      <w:pPr>
        <w:adjustRightInd w:val="0"/>
        <w:spacing w:line="360" w:lineRule="auto"/>
        <w:ind w:firstLine="480" w:firstLineChars="200"/>
        <w:rPr>
          <w:sz w:val="24"/>
          <w:szCs w:val="24"/>
        </w:rPr>
      </w:pPr>
      <w:r>
        <w:rPr>
          <w:rFonts w:hint="eastAsia"/>
          <w:sz w:val="24"/>
          <w:szCs w:val="24"/>
        </w:rPr>
        <w:t>方便。</w:t>
      </w:r>
    </w:p>
    <w:p>
      <w:pPr>
        <w:pStyle w:val="58"/>
        <w:tabs>
          <w:tab w:val="left" w:pos="1530"/>
        </w:tabs>
        <w:adjustRightInd w:val="0"/>
        <w:spacing w:line="360" w:lineRule="auto"/>
        <w:ind w:left="440" w:leftChars="200" w:firstLine="0"/>
        <w:jc w:val="both"/>
        <w:rPr>
          <w:sz w:val="24"/>
          <w:szCs w:val="24"/>
        </w:rPr>
      </w:pPr>
      <w:r>
        <w:rPr>
          <w:spacing w:val="-1"/>
          <w:sz w:val="24"/>
          <w:szCs w:val="24"/>
          <w:lang w:val="en-US"/>
        </w:rPr>
        <w:t>2.4</w:t>
      </w:r>
      <w:r>
        <w:rPr>
          <w:rFonts w:hint="eastAsia"/>
          <w:spacing w:val="-1"/>
          <w:sz w:val="24"/>
          <w:szCs w:val="24"/>
        </w:rPr>
        <w:t>不得参加有可能影响公正执行公务的承包人和相关单位</w:t>
      </w:r>
      <w:r>
        <w:rPr>
          <w:rFonts w:hint="eastAsia"/>
          <w:sz w:val="24"/>
          <w:szCs w:val="24"/>
        </w:rPr>
        <w:t>的宴请、健身、娱乐等活动。</w:t>
      </w:r>
    </w:p>
    <w:p>
      <w:pPr>
        <w:pStyle w:val="58"/>
        <w:tabs>
          <w:tab w:val="left" w:pos="1544"/>
        </w:tabs>
        <w:adjustRightInd w:val="0"/>
        <w:spacing w:line="360" w:lineRule="auto"/>
        <w:ind w:left="440" w:leftChars="200" w:firstLine="0"/>
        <w:jc w:val="both"/>
        <w:rPr>
          <w:sz w:val="24"/>
          <w:szCs w:val="24"/>
        </w:rPr>
      </w:pPr>
      <w:r>
        <w:rPr>
          <w:spacing w:val="-3"/>
          <w:sz w:val="24"/>
          <w:szCs w:val="24"/>
          <w:lang w:val="en-US"/>
        </w:rPr>
        <w:t>2.5</w:t>
      </w:r>
      <w:r>
        <w:rPr>
          <w:rFonts w:hint="eastAsia"/>
          <w:spacing w:val="-3"/>
          <w:sz w:val="24"/>
          <w:szCs w:val="24"/>
        </w:rPr>
        <w:t>不得向承包人和相关单位介绍或为配偶、子女、亲属参</w:t>
      </w:r>
      <w:r>
        <w:rPr>
          <w:rFonts w:hint="eastAsia"/>
          <w:spacing w:val="-6"/>
          <w:sz w:val="24"/>
          <w:szCs w:val="24"/>
        </w:rPr>
        <w:t>与同发包人工程建设管理合同有关的业务活动；不得以任何理由</w:t>
      </w:r>
      <w:r>
        <w:rPr>
          <w:rFonts w:hint="eastAsia"/>
          <w:sz w:val="24"/>
          <w:szCs w:val="24"/>
        </w:rPr>
        <w:t>要求承包人和相关单位使用某种产品、材料和设备。</w:t>
      </w:r>
    </w:p>
    <w:p>
      <w:pPr>
        <w:adjustRightInd w:val="0"/>
        <w:spacing w:line="360" w:lineRule="auto"/>
        <w:ind w:firstLine="482" w:firstLineChars="200"/>
        <w:rPr>
          <w:b/>
          <w:sz w:val="24"/>
          <w:szCs w:val="24"/>
        </w:rPr>
      </w:pPr>
      <w:r>
        <w:rPr>
          <w:rFonts w:hint="eastAsia"/>
          <w:b/>
          <w:sz w:val="24"/>
          <w:szCs w:val="24"/>
        </w:rPr>
        <w:t>三、承包人责任</w:t>
      </w:r>
    </w:p>
    <w:p>
      <w:pPr>
        <w:adjustRightInd w:val="0"/>
        <w:spacing w:line="360" w:lineRule="auto"/>
        <w:ind w:firstLine="452" w:firstLineChars="200"/>
        <w:jc w:val="both"/>
        <w:rPr>
          <w:sz w:val="24"/>
          <w:szCs w:val="24"/>
        </w:rPr>
      </w:pPr>
      <w:r>
        <w:rPr>
          <w:rFonts w:hint="eastAsia"/>
          <w:spacing w:val="-7"/>
          <w:sz w:val="24"/>
          <w:szCs w:val="24"/>
        </w:rPr>
        <w:t>应与发包人保持正常的业务交往，按照有关法律法规和程序</w:t>
      </w:r>
      <w:r>
        <w:rPr>
          <w:rFonts w:hint="eastAsia"/>
          <w:spacing w:val="-9"/>
          <w:sz w:val="24"/>
          <w:szCs w:val="24"/>
        </w:rPr>
        <w:t>开展业务工作，严格执行工程建设的有关方针、政策，执行工程</w:t>
      </w:r>
      <w:r>
        <w:rPr>
          <w:rFonts w:hint="eastAsia"/>
          <w:sz w:val="24"/>
          <w:szCs w:val="24"/>
        </w:rPr>
        <w:t>建设强制性标准，并遵守以下规定：</w:t>
      </w:r>
    </w:p>
    <w:p>
      <w:pPr>
        <w:pStyle w:val="58"/>
        <w:tabs>
          <w:tab w:val="left" w:pos="1544"/>
        </w:tabs>
        <w:adjustRightInd w:val="0"/>
        <w:spacing w:line="360" w:lineRule="auto"/>
        <w:ind w:left="440" w:leftChars="200" w:firstLine="0"/>
        <w:rPr>
          <w:sz w:val="24"/>
          <w:szCs w:val="24"/>
        </w:rPr>
      </w:pPr>
      <w:r>
        <w:rPr>
          <w:spacing w:val="-2"/>
          <w:sz w:val="24"/>
          <w:szCs w:val="24"/>
          <w:lang w:val="en-US"/>
        </w:rPr>
        <w:t>3.1</w:t>
      </w:r>
      <w:r>
        <w:rPr>
          <w:rFonts w:hint="eastAsia"/>
          <w:spacing w:val="-2"/>
          <w:sz w:val="24"/>
          <w:szCs w:val="24"/>
        </w:rPr>
        <w:t>不得以任何理由向发包人及其工作人员索要、接受或赠</w:t>
      </w:r>
      <w:r>
        <w:rPr>
          <w:rFonts w:hint="eastAsia"/>
          <w:sz w:val="24"/>
          <w:szCs w:val="24"/>
        </w:rPr>
        <w:t>送礼金、有价证券、贵重物品及回扣、好处费、感谢费等。</w:t>
      </w:r>
    </w:p>
    <w:p>
      <w:pPr>
        <w:pStyle w:val="58"/>
        <w:tabs>
          <w:tab w:val="left" w:pos="1530"/>
        </w:tabs>
        <w:adjustRightInd w:val="0"/>
        <w:spacing w:line="360" w:lineRule="auto"/>
        <w:ind w:left="440" w:leftChars="200" w:firstLine="0"/>
        <w:rPr>
          <w:sz w:val="24"/>
          <w:szCs w:val="24"/>
        </w:rPr>
      </w:pPr>
      <w:r>
        <w:rPr>
          <w:spacing w:val="-1"/>
          <w:sz w:val="24"/>
          <w:szCs w:val="24"/>
          <w:lang w:val="en-US"/>
        </w:rPr>
        <w:t>3.2</w:t>
      </w:r>
      <w:r>
        <w:rPr>
          <w:rFonts w:hint="eastAsia"/>
          <w:spacing w:val="-1"/>
          <w:sz w:val="24"/>
          <w:szCs w:val="24"/>
        </w:rPr>
        <w:t>不得以任何理由为发包人和相关单位报销应由对方或个</w:t>
      </w:r>
      <w:r>
        <w:rPr>
          <w:rFonts w:hint="eastAsia"/>
          <w:sz w:val="24"/>
          <w:szCs w:val="24"/>
        </w:rPr>
        <w:t>人支付的费用。</w:t>
      </w:r>
    </w:p>
    <w:p>
      <w:pPr>
        <w:pStyle w:val="58"/>
        <w:tabs>
          <w:tab w:val="left" w:pos="1544"/>
        </w:tabs>
        <w:adjustRightInd w:val="0"/>
        <w:spacing w:line="360" w:lineRule="auto"/>
        <w:ind w:left="440" w:leftChars="200" w:firstLine="0"/>
        <w:rPr>
          <w:sz w:val="24"/>
          <w:szCs w:val="24"/>
        </w:rPr>
      </w:pPr>
      <w:r>
        <w:rPr>
          <w:sz w:val="24"/>
          <w:szCs w:val="24"/>
          <w:lang w:val="en-US"/>
        </w:rPr>
        <w:t>3.3</w:t>
      </w:r>
      <w:r>
        <w:rPr>
          <w:rFonts w:hint="eastAsia"/>
          <w:sz w:val="24"/>
          <w:szCs w:val="24"/>
        </w:rPr>
        <w:t>不得接受或暗示为发包人、相关单位或个人装修住房、</w:t>
      </w:r>
      <w:r>
        <w:rPr>
          <w:rFonts w:hint="eastAsia"/>
          <w:spacing w:val="-17"/>
          <w:sz w:val="24"/>
          <w:szCs w:val="24"/>
        </w:rPr>
        <w:t>婚丧嫁娶、配偶子女的工作安排以及出国</w:t>
      </w:r>
      <w:r>
        <w:rPr>
          <w:spacing w:val="-17"/>
          <w:sz w:val="24"/>
          <w:szCs w:val="24"/>
        </w:rPr>
        <w:t>(</w:t>
      </w:r>
      <w:r>
        <w:rPr>
          <w:rFonts w:hint="eastAsia"/>
          <w:spacing w:val="-17"/>
          <w:sz w:val="24"/>
          <w:szCs w:val="24"/>
        </w:rPr>
        <w:t>境</w:t>
      </w:r>
      <w:r>
        <w:rPr>
          <w:spacing w:val="-17"/>
          <w:sz w:val="24"/>
          <w:szCs w:val="24"/>
        </w:rPr>
        <w:t>)</w:t>
      </w:r>
      <w:r>
        <w:rPr>
          <w:rFonts w:hint="eastAsia"/>
          <w:spacing w:val="-17"/>
          <w:sz w:val="24"/>
          <w:szCs w:val="24"/>
        </w:rPr>
        <w:t>、旅游等提供方便。</w:t>
      </w:r>
    </w:p>
    <w:p>
      <w:pPr>
        <w:pStyle w:val="58"/>
        <w:tabs>
          <w:tab w:val="left" w:pos="1544"/>
        </w:tabs>
        <w:adjustRightInd w:val="0"/>
        <w:spacing w:line="360" w:lineRule="auto"/>
        <w:ind w:left="440" w:leftChars="200" w:firstLine="0"/>
        <w:rPr>
          <w:sz w:val="24"/>
          <w:szCs w:val="24"/>
        </w:rPr>
      </w:pPr>
      <w:r>
        <w:rPr>
          <w:spacing w:val="-2"/>
          <w:sz w:val="24"/>
          <w:szCs w:val="24"/>
          <w:lang w:val="en-US"/>
        </w:rPr>
        <w:t>3.4</w:t>
      </w:r>
      <w:r>
        <w:rPr>
          <w:rFonts w:hint="eastAsia"/>
          <w:spacing w:val="-2"/>
          <w:sz w:val="24"/>
          <w:szCs w:val="24"/>
        </w:rPr>
        <w:t>不得以任何理由为发包人、相关单位或个人组织有可能</w:t>
      </w:r>
      <w:r>
        <w:rPr>
          <w:rFonts w:hint="eastAsia"/>
          <w:sz w:val="24"/>
          <w:szCs w:val="24"/>
        </w:rPr>
        <w:t>影响公正执行公务的宴请、健身、娱乐等活动。</w:t>
      </w:r>
    </w:p>
    <w:p>
      <w:pPr>
        <w:adjustRightInd w:val="0"/>
        <w:spacing w:line="360" w:lineRule="auto"/>
        <w:ind w:firstLine="482" w:firstLineChars="200"/>
        <w:rPr>
          <w:b/>
          <w:sz w:val="24"/>
          <w:szCs w:val="24"/>
        </w:rPr>
      </w:pPr>
      <w:r>
        <w:rPr>
          <w:rFonts w:hint="eastAsia"/>
          <w:b/>
          <w:sz w:val="24"/>
          <w:szCs w:val="24"/>
        </w:rPr>
        <w:t>四、违约责任</w:t>
      </w:r>
    </w:p>
    <w:p>
      <w:pPr>
        <w:pStyle w:val="58"/>
        <w:tabs>
          <w:tab w:val="left" w:pos="1530"/>
        </w:tabs>
        <w:adjustRightInd w:val="0"/>
        <w:spacing w:line="360" w:lineRule="auto"/>
        <w:ind w:left="440" w:leftChars="200" w:firstLine="0"/>
        <w:rPr>
          <w:sz w:val="24"/>
          <w:szCs w:val="24"/>
        </w:rPr>
      </w:pPr>
      <w:r>
        <w:rPr>
          <w:spacing w:val="-10"/>
          <w:sz w:val="24"/>
          <w:szCs w:val="24"/>
          <w:lang w:val="en-US"/>
        </w:rPr>
        <w:t>4.1</w:t>
      </w:r>
      <w:r>
        <w:rPr>
          <w:rFonts w:hint="eastAsia"/>
          <w:spacing w:val="-10"/>
          <w:sz w:val="24"/>
          <w:szCs w:val="24"/>
        </w:rPr>
        <w:t>发包人工作人员有违反本责任书第一、二条责任行为的，</w:t>
      </w:r>
      <w:r>
        <w:rPr>
          <w:spacing w:val="-10"/>
          <w:sz w:val="24"/>
          <w:szCs w:val="24"/>
        </w:rPr>
        <w:t xml:space="preserve"> </w:t>
      </w:r>
      <w:r>
        <w:rPr>
          <w:rFonts w:hint="eastAsia"/>
          <w:spacing w:val="-9"/>
          <w:sz w:val="24"/>
          <w:szCs w:val="24"/>
        </w:rPr>
        <w:t>依据有关法律、法规给予处理；涉嫌犯罪的，移交司法机关追究刑事责任；给承包人单位造成经济损失的，应予以赔偿。</w:t>
      </w:r>
    </w:p>
    <w:p>
      <w:pPr>
        <w:tabs>
          <w:tab w:val="left" w:pos="1544"/>
        </w:tabs>
        <w:adjustRightInd w:val="0"/>
        <w:spacing w:line="360" w:lineRule="auto"/>
        <w:ind w:firstLine="440" w:firstLineChars="200"/>
        <w:rPr>
          <w:spacing w:val="-7"/>
          <w:sz w:val="24"/>
          <w:szCs w:val="24"/>
        </w:rPr>
      </w:pPr>
      <w:r>
        <w:rPr>
          <w:rFonts w:hint="eastAsia"/>
          <w:spacing w:val="-10"/>
          <w:sz w:val="24"/>
          <w:szCs w:val="24"/>
        </w:rPr>
        <w:t>承包人工作人员有违反本责任书第一、三条责任行为的，</w:t>
      </w:r>
      <w:r>
        <w:rPr>
          <w:spacing w:val="-10"/>
          <w:sz w:val="24"/>
          <w:szCs w:val="24"/>
        </w:rPr>
        <w:t xml:space="preserve"> </w:t>
      </w:r>
      <w:r>
        <w:rPr>
          <w:rFonts w:hint="eastAsia"/>
          <w:spacing w:val="-7"/>
          <w:sz w:val="24"/>
          <w:szCs w:val="24"/>
        </w:rPr>
        <w:t>依据有关法律法规处理；涉嫌犯罪的，移交司法机关追究刑事责</w:t>
      </w:r>
      <w:r>
        <w:rPr>
          <w:rFonts w:hint="eastAsia"/>
          <w:sz w:val="24"/>
          <w:szCs w:val="24"/>
        </w:rPr>
        <w:t>任；给发包人单位造成经济损失的，应予以赔偿。</w:t>
      </w:r>
    </w:p>
    <w:p>
      <w:pPr>
        <w:pStyle w:val="58"/>
        <w:tabs>
          <w:tab w:val="left" w:pos="1544"/>
        </w:tabs>
        <w:adjustRightInd w:val="0"/>
        <w:spacing w:line="360" w:lineRule="auto"/>
        <w:ind w:left="440" w:leftChars="200" w:firstLine="0"/>
        <w:rPr>
          <w:sz w:val="24"/>
          <w:szCs w:val="24"/>
        </w:rPr>
      </w:pPr>
      <w:r>
        <w:rPr>
          <w:spacing w:val="-2"/>
          <w:sz w:val="24"/>
          <w:szCs w:val="24"/>
          <w:lang w:val="en-US"/>
        </w:rPr>
        <w:t>4.2</w:t>
      </w:r>
      <w:r>
        <w:rPr>
          <w:rFonts w:hint="eastAsia"/>
          <w:spacing w:val="-2"/>
          <w:sz w:val="24"/>
          <w:szCs w:val="24"/>
        </w:rPr>
        <w:t>本责任书作为本合同的组成部分，与本合同具有同等法</w:t>
      </w:r>
      <w:r>
        <w:rPr>
          <w:rFonts w:hint="eastAsia"/>
          <w:sz w:val="24"/>
          <w:szCs w:val="24"/>
        </w:rPr>
        <w:t>律效力，经双方签署后立即生效。</w:t>
      </w:r>
    </w:p>
    <w:p>
      <w:pPr>
        <w:adjustRightInd w:val="0"/>
        <w:spacing w:line="360" w:lineRule="auto"/>
        <w:ind w:firstLine="482" w:firstLineChars="200"/>
        <w:rPr>
          <w:b/>
          <w:sz w:val="24"/>
          <w:szCs w:val="24"/>
        </w:rPr>
      </w:pPr>
      <w:r>
        <w:rPr>
          <w:rFonts w:hint="eastAsia"/>
          <w:b/>
          <w:sz w:val="24"/>
          <w:szCs w:val="24"/>
        </w:rPr>
        <w:t>五、责任书有效期</w:t>
      </w:r>
    </w:p>
    <w:p>
      <w:pPr>
        <w:adjustRightInd w:val="0"/>
        <w:spacing w:line="360" w:lineRule="auto"/>
        <w:ind w:firstLine="480" w:firstLineChars="200"/>
        <w:rPr>
          <w:sz w:val="24"/>
          <w:szCs w:val="24"/>
        </w:rPr>
      </w:pPr>
      <w:r>
        <w:rPr>
          <w:rFonts w:hint="eastAsia"/>
          <w:sz w:val="24"/>
          <w:szCs w:val="24"/>
        </w:rPr>
        <w:t>本责任书的有效期为双方签署之日起至该工程项目竣工验收合格时止。</w:t>
      </w:r>
    </w:p>
    <w:p>
      <w:pPr>
        <w:adjustRightInd w:val="0"/>
        <w:spacing w:line="360" w:lineRule="auto"/>
        <w:ind w:firstLine="482" w:firstLineChars="200"/>
        <w:rPr>
          <w:b/>
          <w:sz w:val="24"/>
          <w:szCs w:val="24"/>
        </w:rPr>
      </w:pPr>
      <w:r>
        <w:rPr>
          <w:rFonts w:hint="eastAsia"/>
          <w:b/>
          <w:sz w:val="24"/>
          <w:szCs w:val="24"/>
        </w:rPr>
        <w:t>六、责任书份数</w:t>
      </w:r>
    </w:p>
    <w:p>
      <w:pPr>
        <w:adjustRightInd w:val="0"/>
        <w:spacing w:line="360" w:lineRule="auto"/>
        <w:ind w:firstLine="480" w:firstLineChars="200"/>
        <w:rPr>
          <w:sz w:val="24"/>
          <w:szCs w:val="24"/>
        </w:rPr>
      </w:pPr>
      <w:r>
        <w:rPr>
          <w:rFonts w:hint="eastAsia"/>
          <w:sz w:val="24"/>
          <w:szCs w:val="24"/>
        </w:rPr>
        <w:t>本责任书一式两份，发包人承包人各执一份，具有同等效力。</w:t>
      </w:r>
    </w:p>
    <w:p>
      <w:pPr>
        <w:pStyle w:val="18"/>
        <w:spacing w:before="1" w:line="360" w:lineRule="auto"/>
      </w:pPr>
    </w:p>
    <w:p>
      <w:pPr>
        <w:pStyle w:val="5"/>
        <w:spacing w:line="360" w:lineRule="auto"/>
        <w:ind w:left="0" w:firstLine="504" w:firstLineChars="300"/>
        <w:rPr>
          <w:rFonts w:ascii="宋体" w:cs="宋体"/>
          <w:sz w:val="24"/>
          <w:szCs w:val="24"/>
        </w:rPr>
      </w:pPr>
      <w:r>
        <w:rPr>
          <w:rFonts w:hint="eastAsia" w:ascii="宋体" w:hAnsi="宋体" w:cs="宋体"/>
          <w:spacing w:val="-36"/>
          <w:sz w:val="24"/>
          <w:szCs w:val="24"/>
        </w:rPr>
        <w:t>发包人：</w:t>
      </w:r>
      <w:r>
        <w:rPr>
          <w:rFonts w:hint="eastAsia" w:ascii="宋体" w:hAnsi="宋体" w:cs="宋体"/>
          <w:sz w:val="24"/>
          <w:szCs w:val="24"/>
        </w:rPr>
        <w:t>（</w:t>
      </w:r>
      <w:r>
        <w:rPr>
          <w:rFonts w:hint="eastAsia" w:ascii="宋体" w:hAnsi="宋体" w:cs="宋体"/>
          <w:spacing w:val="-2"/>
          <w:sz w:val="24"/>
          <w:szCs w:val="24"/>
        </w:rPr>
        <w:t>公章</w:t>
      </w:r>
      <w:r>
        <w:rPr>
          <w:rFonts w:hint="eastAsia" w:ascii="宋体" w:hAnsi="宋体" w:cs="宋体"/>
          <w:sz w:val="24"/>
          <w:szCs w:val="24"/>
        </w:rPr>
        <w:t>）</w:t>
      </w:r>
    </w:p>
    <w:p>
      <w:pPr>
        <w:pStyle w:val="5"/>
        <w:spacing w:line="360" w:lineRule="auto"/>
        <w:ind w:left="0" w:firstLine="480" w:firstLineChars="200"/>
        <w:rPr>
          <w:rFonts w:ascii="宋体" w:cs="宋体"/>
          <w:sz w:val="24"/>
          <w:szCs w:val="24"/>
        </w:rPr>
      </w:pPr>
      <w:r>
        <w:rPr>
          <w:rFonts w:hint="eastAsia" w:ascii="宋体" w:hAnsi="宋体" w:cs="宋体"/>
          <w:sz w:val="24"/>
          <w:szCs w:val="24"/>
        </w:rPr>
        <w:t>法定代表人或其委托代理人：</w:t>
      </w:r>
      <w:r>
        <w:rPr>
          <w:rFonts w:hint="eastAsia" w:ascii="宋体" w:hAnsi="宋体" w:cs="宋体"/>
          <w:spacing w:val="-1"/>
          <w:sz w:val="24"/>
          <w:szCs w:val="24"/>
        </w:rPr>
        <w:t>（</w:t>
      </w:r>
      <w:r>
        <w:rPr>
          <w:rFonts w:hint="eastAsia" w:ascii="宋体" w:hAnsi="宋体" w:cs="宋体"/>
          <w:sz w:val="24"/>
          <w:szCs w:val="24"/>
        </w:rPr>
        <w:t>签字）</w:t>
      </w:r>
      <w:r>
        <w:rPr>
          <w:rFonts w:ascii="宋体" w:cs="宋体"/>
          <w:sz w:val="24"/>
          <w:szCs w:val="24"/>
          <w:u w:val="single"/>
        </w:rPr>
        <w:tab/>
      </w:r>
      <w:r>
        <w:rPr>
          <w:rFonts w:ascii="宋体" w:cs="宋体"/>
          <w:sz w:val="24"/>
          <w:szCs w:val="24"/>
          <w:u w:val="single"/>
        </w:rPr>
        <w:tab/>
      </w:r>
    </w:p>
    <w:p>
      <w:pPr>
        <w:pStyle w:val="5"/>
        <w:tabs>
          <w:tab w:val="left" w:pos="2986"/>
          <w:tab w:val="left" w:pos="4756"/>
        </w:tabs>
        <w:spacing w:line="360" w:lineRule="auto"/>
        <w:ind w:left="0" w:firstLine="480" w:firstLineChars="200"/>
        <w:rPr>
          <w:rFonts w:ascii="宋体" w:cs="宋体"/>
          <w:sz w:val="24"/>
          <w:szCs w:val="24"/>
          <w:u w:val="single"/>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cs="宋体"/>
          <w:sz w:val="24"/>
          <w:szCs w:val="24"/>
          <w:u w:val="single"/>
        </w:rPr>
        <w:tab/>
      </w:r>
      <w:r>
        <w:rPr>
          <w:rFonts w:ascii="宋体" w:cs="宋体"/>
          <w:sz w:val="24"/>
          <w:szCs w:val="24"/>
          <w:u w:val="single"/>
        </w:rPr>
        <w:tab/>
      </w:r>
    </w:p>
    <w:p>
      <w:pPr>
        <w:pStyle w:val="5"/>
        <w:tabs>
          <w:tab w:val="left" w:pos="2986"/>
          <w:tab w:val="left" w:pos="4756"/>
        </w:tabs>
        <w:spacing w:line="360" w:lineRule="auto"/>
        <w:ind w:left="0" w:firstLine="480" w:firstLineChars="200"/>
        <w:rPr>
          <w:rFonts w:ascii="宋体" w:cs="宋体"/>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cs="宋体"/>
          <w:sz w:val="24"/>
          <w:szCs w:val="24"/>
          <w:u w:val="single"/>
        </w:rPr>
        <w:tab/>
      </w:r>
      <w:r>
        <w:rPr>
          <w:rFonts w:ascii="宋体" w:cs="宋体"/>
          <w:sz w:val="24"/>
          <w:szCs w:val="24"/>
          <w:u w:val="single"/>
        </w:rPr>
        <w:tab/>
      </w:r>
    </w:p>
    <w:p>
      <w:pPr>
        <w:pStyle w:val="5"/>
        <w:tabs>
          <w:tab w:val="left" w:pos="2986"/>
          <w:tab w:val="left" w:pos="4756"/>
        </w:tabs>
        <w:spacing w:line="360" w:lineRule="auto"/>
        <w:ind w:left="0" w:firstLine="480" w:firstLineChars="200"/>
        <w:rPr>
          <w:rFonts w:ascii="宋体" w:cs="宋体"/>
          <w:sz w:val="24"/>
          <w:szCs w:val="24"/>
        </w:rPr>
      </w:pPr>
      <w:r>
        <w:rPr>
          <w:rFonts w:hint="eastAsia" w:ascii="宋体" w:hAnsi="宋体" w:cs="宋体"/>
          <w:sz w:val="24"/>
          <w:szCs w:val="24"/>
        </w:rPr>
        <w:t>日期：</w:t>
      </w:r>
      <w:r>
        <w:rPr>
          <w:rFonts w:ascii="宋体" w:cs="宋体"/>
          <w:sz w:val="24"/>
          <w:szCs w:val="24"/>
          <w:u w:val="single"/>
        </w:rPr>
        <w:tab/>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pPr>
        <w:spacing w:line="360" w:lineRule="auto"/>
        <w:ind w:firstLine="480" w:firstLineChars="200"/>
        <w:rPr>
          <w:sz w:val="24"/>
          <w:szCs w:val="24"/>
        </w:rPr>
      </w:pPr>
    </w:p>
    <w:p>
      <w:pPr>
        <w:spacing w:line="360" w:lineRule="auto"/>
        <w:ind w:firstLine="480" w:firstLineChars="200"/>
        <w:rPr>
          <w:sz w:val="24"/>
          <w:szCs w:val="24"/>
        </w:rPr>
      </w:pPr>
    </w:p>
    <w:p>
      <w:pPr>
        <w:pStyle w:val="5"/>
        <w:spacing w:line="360" w:lineRule="auto"/>
        <w:ind w:left="0" w:firstLine="504" w:firstLineChars="300"/>
        <w:rPr>
          <w:rFonts w:ascii="宋体" w:cs="宋体"/>
          <w:sz w:val="24"/>
          <w:szCs w:val="24"/>
        </w:rPr>
      </w:pPr>
      <w:r>
        <w:rPr>
          <w:rFonts w:hint="eastAsia" w:ascii="宋体" w:hAnsi="宋体" w:cs="宋体"/>
          <w:spacing w:val="-36"/>
          <w:sz w:val="24"/>
          <w:szCs w:val="24"/>
        </w:rPr>
        <w:t>承包人：</w:t>
      </w:r>
      <w:r>
        <w:rPr>
          <w:rFonts w:hint="eastAsia" w:ascii="宋体" w:hAnsi="宋体" w:cs="宋体"/>
          <w:sz w:val="24"/>
          <w:szCs w:val="24"/>
        </w:rPr>
        <w:t>（</w:t>
      </w:r>
      <w:r>
        <w:rPr>
          <w:rFonts w:hint="eastAsia" w:ascii="宋体" w:hAnsi="宋体" w:cs="宋体"/>
          <w:spacing w:val="-2"/>
          <w:sz w:val="24"/>
          <w:szCs w:val="24"/>
        </w:rPr>
        <w:t>公章</w:t>
      </w:r>
      <w:r>
        <w:rPr>
          <w:rFonts w:hint="eastAsia" w:ascii="宋体" w:hAnsi="宋体" w:cs="宋体"/>
          <w:sz w:val="24"/>
          <w:szCs w:val="24"/>
        </w:rPr>
        <w:t>）</w:t>
      </w:r>
    </w:p>
    <w:p>
      <w:pPr>
        <w:pStyle w:val="5"/>
        <w:spacing w:line="360" w:lineRule="auto"/>
        <w:ind w:left="0" w:firstLine="480" w:firstLineChars="200"/>
        <w:rPr>
          <w:rFonts w:ascii="宋体" w:cs="宋体"/>
          <w:sz w:val="24"/>
          <w:szCs w:val="24"/>
        </w:rPr>
      </w:pPr>
      <w:r>
        <w:rPr>
          <w:rFonts w:hint="eastAsia" w:ascii="宋体" w:hAnsi="宋体" w:cs="宋体"/>
          <w:sz w:val="24"/>
          <w:szCs w:val="24"/>
        </w:rPr>
        <w:t>法定代表人或其委托代理人：（签字）</w:t>
      </w:r>
      <w:r>
        <w:rPr>
          <w:rFonts w:ascii="宋体" w:cs="宋体"/>
          <w:sz w:val="24"/>
          <w:szCs w:val="24"/>
          <w:u w:val="single"/>
        </w:rPr>
        <w:tab/>
      </w:r>
      <w:r>
        <w:rPr>
          <w:rFonts w:ascii="宋体" w:cs="宋体"/>
          <w:sz w:val="24"/>
          <w:szCs w:val="24"/>
          <w:u w:val="single"/>
        </w:rPr>
        <w:tab/>
      </w:r>
    </w:p>
    <w:p>
      <w:pPr>
        <w:pStyle w:val="5"/>
        <w:tabs>
          <w:tab w:val="left" w:pos="2628"/>
          <w:tab w:val="left" w:pos="4397"/>
        </w:tabs>
        <w:spacing w:line="360" w:lineRule="auto"/>
        <w:ind w:left="0" w:firstLine="480" w:firstLineChars="200"/>
        <w:rPr>
          <w:rFonts w:ascii="宋体" w:cs="宋体"/>
          <w:sz w:val="24"/>
          <w:szCs w:val="24"/>
          <w:u w:val="single"/>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r>
        <w:rPr>
          <w:rFonts w:ascii="宋体" w:cs="宋体"/>
          <w:sz w:val="24"/>
          <w:szCs w:val="24"/>
          <w:u w:val="single"/>
        </w:rPr>
        <w:tab/>
      </w:r>
      <w:r>
        <w:rPr>
          <w:rFonts w:ascii="宋体" w:cs="宋体"/>
          <w:sz w:val="24"/>
          <w:szCs w:val="24"/>
          <w:u w:val="single"/>
        </w:rPr>
        <w:tab/>
      </w:r>
    </w:p>
    <w:p>
      <w:pPr>
        <w:pStyle w:val="5"/>
        <w:tabs>
          <w:tab w:val="left" w:pos="2628"/>
          <w:tab w:val="left" w:pos="4397"/>
        </w:tabs>
        <w:spacing w:line="360" w:lineRule="auto"/>
        <w:ind w:left="0" w:firstLine="480" w:firstLineChars="200"/>
        <w:rPr>
          <w:rFonts w:ascii="宋体" w:cs="宋体"/>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r>
        <w:rPr>
          <w:rFonts w:ascii="宋体" w:cs="宋体"/>
          <w:sz w:val="24"/>
          <w:szCs w:val="24"/>
          <w:u w:val="single"/>
        </w:rPr>
        <w:tab/>
      </w:r>
      <w:r>
        <w:rPr>
          <w:rFonts w:ascii="宋体" w:cs="宋体"/>
          <w:sz w:val="24"/>
          <w:szCs w:val="24"/>
          <w:u w:val="single"/>
        </w:rPr>
        <w:tab/>
      </w:r>
    </w:p>
    <w:p>
      <w:pPr>
        <w:pStyle w:val="5"/>
        <w:tabs>
          <w:tab w:val="left" w:pos="2628"/>
          <w:tab w:val="left" w:pos="4397"/>
        </w:tabs>
        <w:spacing w:line="360" w:lineRule="auto"/>
        <w:ind w:left="0" w:firstLine="480" w:firstLineChars="200"/>
        <w:rPr>
          <w:rFonts w:ascii="宋体" w:cs="宋体"/>
          <w:sz w:val="24"/>
          <w:szCs w:val="24"/>
        </w:rPr>
      </w:pPr>
      <w:r>
        <w:rPr>
          <w:rFonts w:hint="eastAsia" w:ascii="宋体" w:hAnsi="宋体" w:cs="宋体"/>
          <w:sz w:val="24"/>
          <w:szCs w:val="24"/>
        </w:rPr>
        <w:t>日期：</w:t>
      </w:r>
      <w:r>
        <w:rPr>
          <w:rFonts w:ascii="宋体" w:cs="宋体"/>
          <w:sz w:val="24"/>
          <w:szCs w:val="24"/>
          <w:u w:val="single"/>
        </w:rPr>
        <w:tab/>
      </w:r>
      <w:r>
        <w:rPr>
          <w:rFonts w:hint="eastAsia"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p>
    <w:p>
      <w:pPr>
        <w:spacing w:line="360" w:lineRule="auto"/>
        <w:ind w:firstLine="480" w:firstLineChars="200"/>
        <w:rPr>
          <w:sz w:val="24"/>
          <w:szCs w:val="24"/>
        </w:rPr>
        <w:sectPr>
          <w:pgSz w:w="11910" w:h="16840"/>
          <w:pgMar w:top="1060" w:right="1080" w:bottom="1300" w:left="1380" w:header="0" w:footer="1120" w:gutter="0"/>
          <w:cols w:space="720" w:num="1"/>
        </w:sectPr>
      </w:pPr>
    </w:p>
    <w:p>
      <w:pPr>
        <w:pStyle w:val="18"/>
        <w:spacing w:line="360" w:lineRule="auto"/>
        <w:ind w:left="381"/>
        <w:rPr>
          <w:sz w:val="2"/>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spacing w:before="55" w:line="360" w:lineRule="auto"/>
        <w:ind w:left="328" w:right="2"/>
        <w:jc w:val="center"/>
        <w:rPr>
          <w:b/>
          <w:sz w:val="48"/>
        </w:rPr>
      </w:pPr>
      <w:bookmarkStart w:id="798" w:name="_bookmark15"/>
      <w:bookmarkEnd w:id="798"/>
      <w:r>
        <w:rPr>
          <w:rFonts w:hint="eastAsia"/>
          <w:b/>
          <w:sz w:val="48"/>
        </w:rPr>
        <w:t>第五章</w:t>
      </w:r>
      <w:r>
        <w:rPr>
          <w:b/>
          <w:sz w:val="48"/>
        </w:rPr>
        <w:t xml:space="preserve"> </w:t>
      </w:r>
      <w:r>
        <w:rPr>
          <w:rFonts w:hint="eastAsia"/>
          <w:b/>
          <w:sz w:val="48"/>
        </w:rPr>
        <w:t>招标工程量清单</w:t>
      </w:r>
    </w:p>
    <w:p>
      <w:pPr>
        <w:spacing w:line="360" w:lineRule="auto"/>
        <w:jc w:val="center"/>
        <w:rPr>
          <w:sz w:val="48"/>
        </w:rPr>
        <w:sectPr>
          <w:footerReference r:id="rId24" w:type="default"/>
          <w:pgSz w:w="11910" w:h="16840"/>
          <w:pgMar w:top="1060" w:right="1080" w:bottom="1300" w:left="1380" w:header="0" w:footer="1120" w:gutter="0"/>
          <w:cols w:space="720" w:num="1"/>
        </w:sectPr>
      </w:pPr>
    </w:p>
    <w:p>
      <w:pPr>
        <w:pStyle w:val="18"/>
        <w:spacing w:line="360" w:lineRule="auto"/>
        <w:ind w:left="381"/>
        <w:rPr>
          <w:sz w:val="2"/>
        </w:rPr>
      </w:pPr>
    </w:p>
    <w:p>
      <w:pPr>
        <w:autoSpaceDE/>
        <w:autoSpaceDN/>
        <w:snapToGrid w:val="0"/>
        <w:spacing w:line="360" w:lineRule="auto"/>
        <w:ind w:firstLine="480" w:firstLineChars="200"/>
        <w:rPr>
          <w:sz w:val="24"/>
          <w:szCs w:val="24"/>
        </w:rPr>
      </w:pPr>
      <w:bookmarkStart w:id="799" w:name="_bookmark16"/>
      <w:bookmarkEnd w:id="799"/>
      <w:r>
        <w:rPr>
          <w:sz w:val="24"/>
          <w:szCs w:val="24"/>
        </w:rPr>
        <w:t>1</w:t>
      </w:r>
      <w:r>
        <w:rPr>
          <w:rFonts w:hint="eastAsia"/>
          <w:sz w:val="24"/>
          <w:szCs w:val="24"/>
        </w:rPr>
        <w:t>、工程量清单说明</w:t>
      </w:r>
    </w:p>
    <w:p>
      <w:pPr>
        <w:autoSpaceDE/>
        <w:autoSpaceDN/>
        <w:snapToGrid w:val="0"/>
        <w:spacing w:line="360" w:lineRule="auto"/>
        <w:ind w:firstLine="480" w:firstLineChars="200"/>
        <w:rPr>
          <w:sz w:val="24"/>
          <w:szCs w:val="24"/>
        </w:rPr>
      </w:pPr>
      <w:r>
        <w:rPr>
          <w:sz w:val="24"/>
          <w:szCs w:val="24"/>
        </w:rPr>
        <w:t xml:space="preserve">1.1 </w:t>
      </w:r>
      <w:r>
        <w:rPr>
          <w:rFonts w:hint="eastAsia"/>
          <w:sz w:val="24"/>
          <w:szCs w:val="24"/>
        </w:rPr>
        <w:t>本工程量清单是依据中华人民共和国国家标准《建设工程工程量清单计价规范》</w:t>
      </w:r>
      <w:r>
        <w:rPr>
          <w:sz w:val="24"/>
          <w:szCs w:val="24"/>
        </w:rPr>
        <w:t>(</w:t>
      </w:r>
      <w:r>
        <w:rPr>
          <w:rFonts w:hint="eastAsia"/>
          <w:sz w:val="24"/>
          <w:szCs w:val="24"/>
        </w:rPr>
        <w:t>以下简称“计价规范”</w:t>
      </w:r>
      <w:r>
        <w:rPr>
          <w:sz w:val="24"/>
          <w:szCs w:val="24"/>
        </w:rPr>
        <w:t>)</w:t>
      </w:r>
      <w:r>
        <w:rPr>
          <w:rFonts w:hint="eastAsia"/>
          <w:sz w:val="24"/>
          <w:szCs w:val="24"/>
        </w:rPr>
        <w:t>以及招标文件中包括的图纸等编制。计价规范中规定的工程量计算规则中没有的子目，应在本章第</w:t>
      </w:r>
      <w:r>
        <w:rPr>
          <w:sz w:val="24"/>
          <w:szCs w:val="24"/>
        </w:rPr>
        <w:t xml:space="preserve"> 1.4 </w:t>
      </w:r>
      <w:r>
        <w:rPr>
          <w:rFonts w:hint="eastAsia"/>
          <w:sz w:val="24"/>
          <w:szCs w:val="24"/>
        </w:rPr>
        <w:t>款约定；计价规范中规定的工程量计算规则中没有且本章第</w:t>
      </w:r>
      <w:r>
        <w:rPr>
          <w:sz w:val="24"/>
          <w:szCs w:val="24"/>
        </w:rPr>
        <w:t xml:space="preserve"> 1.4 </w:t>
      </w:r>
      <w:r>
        <w:rPr>
          <w:rFonts w:hint="eastAsia"/>
          <w:sz w:val="24"/>
          <w:szCs w:val="24"/>
        </w:rPr>
        <w:t>款也未约定的，双方协商确定；协商不成的，可向省级或行业工程造价管理机构申请裁定或按照有合同约束力的图纸所标示尺寸的理论净量计算。计量采用中华人民共和国法定的基本计量单位。</w:t>
      </w:r>
    </w:p>
    <w:p>
      <w:pPr>
        <w:autoSpaceDE/>
        <w:autoSpaceDN/>
        <w:snapToGrid w:val="0"/>
        <w:spacing w:line="360" w:lineRule="auto"/>
        <w:ind w:firstLine="480" w:firstLineChars="200"/>
        <w:rPr>
          <w:sz w:val="24"/>
          <w:szCs w:val="24"/>
        </w:rPr>
      </w:pPr>
      <w:r>
        <w:rPr>
          <w:sz w:val="24"/>
          <w:szCs w:val="24"/>
        </w:rPr>
        <w:t xml:space="preserve">1.2 </w:t>
      </w:r>
      <w:r>
        <w:rPr>
          <w:rFonts w:hint="eastAsia"/>
          <w:sz w:val="24"/>
          <w:szCs w:val="24"/>
        </w:rPr>
        <w:t>本工程量清单应与招标文件中的投标人须知、通用合同条款、专用合同条款、技术标准和要求及图纸等章节内容一起阅读和理解。</w:t>
      </w:r>
    </w:p>
    <w:p>
      <w:pPr>
        <w:autoSpaceDE/>
        <w:autoSpaceDN/>
        <w:snapToGrid w:val="0"/>
        <w:spacing w:line="360" w:lineRule="auto"/>
        <w:ind w:firstLine="480" w:firstLineChars="200"/>
        <w:rPr>
          <w:sz w:val="24"/>
          <w:szCs w:val="24"/>
        </w:rPr>
      </w:pPr>
      <w:r>
        <w:rPr>
          <w:sz w:val="24"/>
          <w:szCs w:val="24"/>
        </w:rPr>
        <w:t xml:space="preserve">1.3 </w:t>
      </w:r>
      <w:r>
        <w:rPr>
          <w:rFonts w:hint="eastAsia"/>
          <w:sz w:val="24"/>
          <w:szCs w:val="24"/>
        </w:rPr>
        <w:t>本工程量清单仅是投标报价的共同基础，竣工结算的工程量按合同约定确定。合同价格的确定以及价款支付应遵循合同条款</w:t>
      </w:r>
      <w:r>
        <w:rPr>
          <w:sz w:val="24"/>
          <w:szCs w:val="24"/>
        </w:rPr>
        <w:t>(</w:t>
      </w:r>
      <w:r>
        <w:rPr>
          <w:rFonts w:hint="eastAsia"/>
          <w:sz w:val="24"/>
          <w:szCs w:val="24"/>
        </w:rPr>
        <w:t>包括通用合同条款和专用合同条款</w:t>
      </w:r>
      <w:r>
        <w:rPr>
          <w:sz w:val="24"/>
          <w:szCs w:val="24"/>
        </w:rPr>
        <w:t>)</w:t>
      </w:r>
      <w:r>
        <w:rPr>
          <w:rFonts w:hint="eastAsia"/>
          <w:sz w:val="24"/>
          <w:szCs w:val="24"/>
        </w:rPr>
        <w:t>、技术标准和要求以及本章的有关约定。</w:t>
      </w:r>
    </w:p>
    <w:p>
      <w:pPr>
        <w:autoSpaceDE/>
        <w:autoSpaceDN/>
        <w:snapToGrid w:val="0"/>
        <w:spacing w:line="360" w:lineRule="auto"/>
        <w:ind w:firstLine="480" w:firstLineChars="200"/>
        <w:rPr>
          <w:sz w:val="24"/>
          <w:szCs w:val="24"/>
        </w:rPr>
      </w:pPr>
      <w:r>
        <w:rPr>
          <w:sz w:val="24"/>
          <w:szCs w:val="24"/>
        </w:rPr>
        <w:t xml:space="preserve">1.4 </w:t>
      </w:r>
      <w:r>
        <w:rPr>
          <w:rFonts w:hint="eastAsia"/>
          <w:sz w:val="24"/>
          <w:szCs w:val="24"/>
        </w:rPr>
        <w:t>补充子目的子目特征、计量单位、工程量计算规则及工作内容说明如下：</w:t>
      </w:r>
    </w:p>
    <w:p>
      <w:pPr>
        <w:autoSpaceDE/>
        <w:autoSpaceDN/>
        <w:snapToGrid w:val="0"/>
        <w:spacing w:line="360" w:lineRule="auto"/>
        <w:ind w:firstLine="480" w:firstLineChars="200"/>
        <w:rPr>
          <w:sz w:val="24"/>
          <w:szCs w:val="24"/>
        </w:rPr>
      </w:pPr>
      <w:r>
        <w:rPr>
          <w:sz w:val="24"/>
          <w:szCs w:val="24"/>
        </w:rPr>
        <w:t xml:space="preserve">1.5 </w:t>
      </w:r>
      <w:r>
        <w:rPr>
          <w:rFonts w:hint="eastAsia"/>
          <w:sz w:val="24"/>
          <w:szCs w:val="24"/>
        </w:rPr>
        <w:t>本条第</w:t>
      </w:r>
      <w:r>
        <w:rPr>
          <w:sz w:val="24"/>
          <w:szCs w:val="24"/>
        </w:rPr>
        <w:t xml:space="preserve"> 1.1 </w:t>
      </w:r>
      <w:r>
        <w:rPr>
          <w:rFonts w:hint="eastAsia"/>
          <w:sz w:val="24"/>
          <w:szCs w:val="24"/>
        </w:rPr>
        <w:t>款中约定的计量和计价规则适用于合同履约过程中工程量计量与价款支付、工程变更、索赔和工程结算。</w:t>
      </w:r>
    </w:p>
    <w:p>
      <w:pPr>
        <w:autoSpaceDE/>
        <w:autoSpaceDN/>
        <w:snapToGrid w:val="0"/>
        <w:spacing w:line="360" w:lineRule="auto"/>
        <w:ind w:firstLine="480" w:firstLineChars="200"/>
        <w:rPr>
          <w:sz w:val="24"/>
          <w:szCs w:val="24"/>
        </w:rPr>
      </w:pPr>
      <w:r>
        <w:rPr>
          <w:sz w:val="24"/>
          <w:szCs w:val="24"/>
        </w:rPr>
        <w:t xml:space="preserve">1.6 </w:t>
      </w:r>
      <w:r>
        <w:rPr>
          <w:rFonts w:hint="eastAsia"/>
          <w:sz w:val="24"/>
          <w:szCs w:val="24"/>
        </w:rPr>
        <w:t>本条与下述第</w:t>
      </w:r>
      <w:r>
        <w:rPr>
          <w:sz w:val="24"/>
          <w:szCs w:val="24"/>
        </w:rPr>
        <w:t xml:space="preserve"> 2 </w:t>
      </w:r>
      <w:r>
        <w:rPr>
          <w:rFonts w:hint="eastAsia"/>
          <w:sz w:val="24"/>
          <w:szCs w:val="24"/>
        </w:rPr>
        <w:t>条和第</w:t>
      </w:r>
      <w:r>
        <w:rPr>
          <w:sz w:val="24"/>
          <w:szCs w:val="24"/>
        </w:rPr>
        <w:t xml:space="preserve"> 3 </w:t>
      </w:r>
      <w:r>
        <w:rPr>
          <w:rFonts w:hint="eastAsia"/>
          <w:sz w:val="24"/>
          <w:szCs w:val="24"/>
        </w:rPr>
        <w:t>条的说明内容是构成合同文件的已标价工程量清单的组成部分。</w:t>
      </w:r>
    </w:p>
    <w:p>
      <w:pPr>
        <w:autoSpaceDE/>
        <w:autoSpaceDN/>
        <w:snapToGrid w:val="0"/>
        <w:spacing w:line="360" w:lineRule="auto"/>
        <w:ind w:firstLine="480" w:firstLineChars="200"/>
        <w:rPr>
          <w:sz w:val="24"/>
          <w:szCs w:val="24"/>
        </w:rPr>
      </w:pPr>
      <w:r>
        <w:rPr>
          <w:sz w:val="24"/>
          <w:szCs w:val="24"/>
        </w:rPr>
        <w:t>2</w:t>
      </w:r>
      <w:r>
        <w:rPr>
          <w:rFonts w:hint="eastAsia"/>
          <w:sz w:val="24"/>
          <w:szCs w:val="24"/>
        </w:rPr>
        <w:t>、投标报价说明</w:t>
      </w:r>
    </w:p>
    <w:p>
      <w:pPr>
        <w:autoSpaceDE/>
        <w:autoSpaceDN/>
        <w:snapToGrid w:val="0"/>
        <w:spacing w:line="360" w:lineRule="auto"/>
        <w:ind w:firstLine="480" w:firstLineChars="200"/>
        <w:rPr>
          <w:sz w:val="24"/>
          <w:szCs w:val="24"/>
        </w:rPr>
      </w:pPr>
      <w:r>
        <w:rPr>
          <w:sz w:val="24"/>
          <w:szCs w:val="24"/>
        </w:rPr>
        <w:t xml:space="preserve">2.1 </w:t>
      </w:r>
      <w:r>
        <w:rPr>
          <w:rFonts w:hint="eastAsia"/>
          <w:sz w:val="24"/>
          <w:szCs w:val="24"/>
        </w:rPr>
        <w:t>投标报价应根据招标文件中的有关计价要求，并按照下列依据自主报价。</w:t>
      </w:r>
    </w:p>
    <w:p>
      <w:pPr>
        <w:autoSpaceDE/>
        <w:autoSpaceDN/>
        <w:snapToGrid w:val="0"/>
        <w:spacing w:line="360" w:lineRule="auto"/>
        <w:ind w:firstLine="480" w:firstLineChars="200"/>
        <w:rPr>
          <w:sz w:val="24"/>
          <w:szCs w:val="24"/>
        </w:rPr>
      </w:pPr>
      <w:r>
        <w:rPr>
          <w:sz w:val="24"/>
          <w:szCs w:val="24"/>
        </w:rPr>
        <w:t xml:space="preserve">(1) </w:t>
      </w:r>
      <w:r>
        <w:rPr>
          <w:rFonts w:hint="eastAsia"/>
          <w:sz w:val="24"/>
          <w:szCs w:val="24"/>
        </w:rPr>
        <w:t>本招标文件；</w:t>
      </w:r>
    </w:p>
    <w:p>
      <w:pPr>
        <w:autoSpaceDE/>
        <w:autoSpaceDN/>
        <w:snapToGrid w:val="0"/>
        <w:spacing w:line="360" w:lineRule="auto"/>
        <w:ind w:firstLine="480" w:firstLineChars="200"/>
        <w:rPr>
          <w:sz w:val="24"/>
          <w:szCs w:val="24"/>
        </w:rPr>
      </w:pPr>
      <w:r>
        <w:rPr>
          <w:sz w:val="24"/>
          <w:szCs w:val="24"/>
        </w:rPr>
        <w:t xml:space="preserve">(2) </w:t>
      </w:r>
      <w:r>
        <w:rPr>
          <w:rFonts w:hint="eastAsia"/>
          <w:sz w:val="24"/>
          <w:szCs w:val="24"/>
        </w:rPr>
        <w:t>《建设工程工程量清单计价规范》；</w:t>
      </w:r>
    </w:p>
    <w:p>
      <w:pPr>
        <w:autoSpaceDE/>
        <w:autoSpaceDN/>
        <w:snapToGrid w:val="0"/>
        <w:spacing w:line="360" w:lineRule="auto"/>
        <w:ind w:firstLine="480" w:firstLineChars="200"/>
        <w:rPr>
          <w:sz w:val="24"/>
          <w:szCs w:val="24"/>
        </w:rPr>
      </w:pPr>
      <w:r>
        <w:rPr>
          <w:sz w:val="24"/>
          <w:szCs w:val="24"/>
        </w:rPr>
        <w:t xml:space="preserve">(3) </w:t>
      </w:r>
      <w:r>
        <w:rPr>
          <w:rFonts w:hint="eastAsia"/>
          <w:sz w:val="24"/>
          <w:szCs w:val="24"/>
        </w:rPr>
        <w:t>国家或省级、行业建设主管部门颁发的计价办法；</w:t>
      </w:r>
    </w:p>
    <w:p>
      <w:pPr>
        <w:autoSpaceDE/>
        <w:autoSpaceDN/>
        <w:snapToGrid w:val="0"/>
        <w:spacing w:line="360" w:lineRule="auto"/>
        <w:ind w:firstLine="480" w:firstLineChars="200"/>
        <w:rPr>
          <w:sz w:val="24"/>
          <w:szCs w:val="24"/>
        </w:rPr>
      </w:pPr>
      <w:r>
        <w:rPr>
          <w:sz w:val="24"/>
          <w:szCs w:val="24"/>
        </w:rPr>
        <w:t xml:space="preserve">(4) </w:t>
      </w:r>
      <w:r>
        <w:rPr>
          <w:rFonts w:hint="eastAsia"/>
          <w:sz w:val="24"/>
          <w:szCs w:val="24"/>
        </w:rPr>
        <w:t>企业定额，国家或省级、行业建设主管部门颁发的计价定额；</w:t>
      </w:r>
    </w:p>
    <w:p>
      <w:pPr>
        <w:autoSpaceDE/>
        <w:autoSpaceDN/>
        <w:snapToGrid w:val="0"/>
        <w:spacing w:line="360" w:lineRule="auto"/>
        <w:ind w:firstLine="480" w:firstLineChars="200"/>
        <w:rPr>
          <w:sz w:val="24"/>
          <w:szCs w:val="24"/>
        </w:rPr>
      </w:pPr>
      <w:r>
        <w:rPr>
          <w:sz w:val="24"/>
          <w:szCs w:val="24"/>
        </w:rPr>
        <w:t xml:space="preserve">(5) </w:t>
      </w:r>
      <w:r>
        <w:rPr>
          <w:rFonts w:hint="eastAsia"/>
          <w:sz w:val="24"/>
          <w:szCs w:val="24"/>
        </w:rPr>
        <w:t>招标文件</w:t>
      </w:r>
      <w:r>
        <w:rPr>
          <w:sz w:val="24"/>
          <w:szCs w:val="24"/>
        </w:rPr>
        <w:t>(</w:t>
      </w:r>
      <w:r>
        <w:rPr>
          <w:rFonts w:hint="eastAsia"/>
          <w:sz w:val="24"/>
          <w:szCs w:val="24"/>
        </w:rPr>
        <w:t>包括工程量清单</w:t>
      </w:r>
      <w:r>
        <w:rPr>
          <w:sz w:val="24"/>
          <w:szCs w:val="24"/>
        </w:rPr>
        <w:t>)</w:t>
      </w:r>
      <w:r>
        <w:rPr>
          <w:rFonts w:hint="eastAsia"/>
          <w:sz w:val="24"/>
          <w:szCs w:val="24"/>
        </w:rPr>
        <w:t>的澄清、补充和修改文件；</w:t>
      </w:r>
    </w:p>
    <w:p>
      <w:pPr>
        <w:autoSpaceDE/>
        <w:autoSpaceDN/>
        <w:snapToGrid w:val="0"/>
        <w:spacing w:line="360" w:lineRule="auto"/>
        <w:ind w:firstLine="480" w:firstLineChars="200"/>
        <w:rPr>
          <w:sz w:val="24"/>
          <w:szCs w:val="24"/>
        </w:rPr>
      </w:pPr>
      <w:r>
        <w:rPr>
          <w:sz w:val="24"/>
          <w:szCs w:val="24"/>
        </w:rPr>
        <w:t xml:space="preserve">(6) </w:t>
      </w:r>
      <w:r>
        <w:rPr>
          <w:rFonts w:hint="eastAsia"/>
          <w:sz w:val="24"/>
          <w:szCs w:val="24"/>
        </w:rPr>
        <w:t>建设工程设计文件及相关资料；</w:t>
      </w:r>
    </w:p>
    <w:p>
      <w:pPr>
        <w:autoSpaceDE/>
        <w:autoSpaceDN/>
        <w:snapToGrid w:val="0"/>
        <w:spacing w:line="360" w:lineRule="auto"/>
        <w:ind w:firstLine="480" w:firstLineChars="200"/>
        <w:rPr>
          <w:sz w:val="24"/>
          <w:szCs w:val="24"/>
        </w:rPr>
      </w:pPr>
      <w:r>
        <w:rPr>
          <w:sz w:val="24"/>
          <w:szCs w:val="24"/>
        </w:rPr>
        <w:t xml:space="preserve">(7) </w:t>
      </w:r>
      <w:r>
        <w:rPr>
          <w:rFonts w:hint="eastAsia"/>
          <w:sz w:val="24"/>
          <w:szCs w:val="24"/>
        </w:rPr>
        <w:t>施工现场情况、工程特点及拟定的投标施工组织设计或施工方案；</w:t>
      </w:r>
    </w:p>
    <w:p>
      <w:pPr>
        <w:autoSpaceDE/>
        <w:autoSpaceDN/>
        <w:snapToGrid w:val="0"/>
        <w:spacing w:line="360" w:lineRule="auto"/>
        <w:ind w:firstLine="480" w:firstLineChars="200"/>
        <w:rPr>
          <w:sz w:val="24"/>
          <w:szCs w:val="24"/>
        </w:rPr>
      </w:pPr>
      <w:r>
        <w:rPr>
          <w:sz w:val="24"/>
          <w:szCs w:val="24"/>
        </w:rPr>
        <w:t xml:space="preserve">(8) </w:t>
      </w:r>
      <w:r>
        <w:rPr>
          <w:rFonts w:hint="eastAsia"/>
          <w:sz w:val="24"/>
          <w:szCs w:val="24"/>
        </w:rPr>
        <w:t>与建设项目相关的标准、规定等技术资料；</w:t>
      </w:r>
    </w:p>
    <w:p>
      <w:pPr>
        <w:autoSpaceDE/>
        <w:autoSpaceDN/>
        <w:snapToGrid w:val="0"/>
        <w:spacing w:line="360" w:lineRule="auto"/>
        <w:ind w:firstLine="480" w:firstLineChars="200"/>
        <w:rPr>
          <w:sz w:val="24"/>
          <w:szCs w:val="24"/>
        </w:rPr>
      </w:pPr>
      <w:r>
        <w:rPr>
          <w:sz w:val="24"/>
          <w:szCs w:val="24"/>
        </w:rPr>
        <w:t xml:space="preserve">(9) </w:t>
      </w:r>
      <w:r>
        <w:rPr>
          <w:rFonts w:hint="eastAsia"/>
          <w:sz w:val="24"/>
          <w:szCs w:val="24"/>
        </w:rPr>
        <w:t>市场价格信息或工程造价管理机构发布的工程造价信息；</w:t>
      </w:r>
    </w:p>
    <w:p>
      <w:pPr>
        <w:autoSpaceDE/>
        <w:autoSpaceDN/>
        <w:snapToGrid w:val="0"/>
        <w:spacing w:line="360" w:lineRule="auto"/>
        <w:ind w:firstLine="480" w:firstLineChars="200"/>
        <w:rPr>
          <w:sz w:val="24"/>
          <w:szCs w:val="24"/>
        </w:rPr>
      </w:pPr>
      <w:r>
        <w:rPr>
          <w:sz w:val="24"/>
          <w:szCs w:val="24"/>
        </w:rPr>
        <w:t xml:space="preserve">(10) </w:t>
      </w:r>
      <w:r>
        <w:rPr>
          <w:rFonts w:hint="eastAsia"/>
          <w:sz w:val="24"/>
          <w:szCs w:val="24"/>
        </w:rPr>
        <w:t>其他的相关资料。</w:t>
      </w:r>
    </w:p>
    <w:p>
      <w:pPr>
        <w:autoSpaceDE/>
        <w:autoSpaceDN/>
        <w:snapToGrid w:val="0"/>
        <w:spacing w:line="360" w:lineRule="auto"/>
        <w:ind w:firstLine="480" w:firstLineChars="200"/>
        <w:rPr>
          <w:sz w:val="24"/>
          <w:szCs w:val="24"/>
        </w:rPr>
      </w:pPr>
      <w:r>
        <w:rPr>
          <w:sz w:val="24"/>
          <w:szCs w:val="24"/>
        </w:rPr>
        <w:t xml:space="preserve">2.2 </w:t>
      </w:r>
      <w:r>
        <w:rPr>
          <w:rFonts w:hint="eastAsia"/>
          <w:sz w:val="24"/>
          <w:szCs w:val="24"/>
        </w:rPr>
        <w:t>工程量清单中的每一子目须填入单价或价格，且只允许有一个报价。</w:t>
      </w:r>
    </w:p>
    <w:p>
      <w:pPr>
        <w:autoSpaceDE/>
        <w:autoSpaceDN/>
        <w:snapToGrid w:val="0"/>
        <w:spacing w:line="360" w:lineRule="auto"/>
        <w:ind w:firstLine="480" w:firstLineChars="200"/>
        <w:rPr>
          <w:sz w:val="24"/>
          <w:szCs w:val="24"/>
        </w:rPr>
      </w:pPr>
      <w:r>
        <w:rPr>
          <w:sz w:val="24"/>
          <w:szCs w:val="24"/>
        </w:rPr>
        <w:t xml:space="preserve">2.3 </w:t>
      </w:r>
      <w:r>
        <w:rPr>
          <w:rFonts w:hint="eastAsia"/>
          <w:sz w:val="24"/>
          <w:szCs w:val="24"/>
        </w:rPr>
        <w:t>工程量清单中标价的单价或金额，应包括所需人工费、材料费、施工机械使用费和管理费及利润，以及一定范围内的风险费用。所谓“一定范围内的风险”是指合同约定的风险。</w:t>
      </w:r>
    </w:p>
    <w:p>
      <w:pPr>
        <w:autoSpaceDE/>
        <w:autoSpaceDN/>
        <w:snapToGrid w:val="0"/>
        <w:spacing w:line="360" w:lineRule="auto"/>
        <w:ind w:firstLine="480" w:firstLineChars="200"/>
        <w:rPr>
          <w:sz w:val="24"/>
          <w:szCs w:val="24"/>
        </w:rPr>
      </w:pPr>
      <w:r>
        <w:rPr>
          <w:sz w:val="24"/>
          <w:szCs w:val="24"/>
        </w:rPr>
        <w:t xml:space="preserve">2.4 </w:t>
      </w:r>
      <w:r>
        <w:rPr>
          <w:rFonts w:hint="eastAsia"/>
          <w:sz w:val="24"/>
          <w:szCs w:val="24"/>
        </w:rPr>
        <w:t>已标价工程量清单中投标人没有填入单价或价格的子目，其费用视为已分摊在工程量清单中其他已标价的相关子目的单价或价格之中。</w:t>
      </w:r>
    </w:p>
    <w:p>
      <w:pPr>
        <w:autoSpaceDE/>
        <w:autoSpaceDN/>
        <w:snapToGrid w:val="0"/>
        <w:spacing w:line="360" w:lineRule="auto"/>
        <w:ind w:firstLine="480" w:firstLineChars="200"/>
        <w:rPr>
          <w:sz w:val="24"/>
          <w:szCs w:val="24"/>
        </w:rPr>
      </w:pPr>
      <w:r>
        <w:rPr>
          <w:sz w:val="24"/>
          <w:szCs w:val="24"/>
        </w:rPr>
        <w:t xml:space="preserve">2.5 </w:t>
      </w:r>
      <w:r>
        <w:rPr>
          <w:rFonts w:hint="eastAsia"/>
          <w:sz w:val="24"/>
          <w:szCs w:val="24"/>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autoSpaceDE/>
        <w:autoSpaceDN/>
        <w:snapToGrid w:val="0"/>
        <w:spacing w:line="360" w:lineRule="auto"/>
        <w:ind w:firstLine="480" w:firstLineChars="200"/>
        <w:rPr>
          <w:sz w:val="24"/>
          <w:szCs w:val="24"/>
        </w:rPr>
      </w:pPr>
      <w:r>
        <w:rPr>
          <w:sz w:val="24"/>
          <w:szCs w:val="24"/>
        </w:rPr>
        <w:t xml:space="preserve">2.6 </w:t>
      </w:r>
      <w:r>
        <w:rPr>
          <w:rFonts w:hint="eastAsia"/>
          <w:sz w:val="24"/>
          <w:szCs w:val="24"/>
        </w:rPr>
        <w:t>分部分项工程项目按下列要求报价：</w:t>
      </w:r>
    </w:p>
    <w:p>
      <w:pPr>
        <w:autoSpaceDE/>
        <w:autoSpaceDN/>
        <w:snapToGrid w:val="0"/>
        <w:spacing w:line="360" w:lineRule="auto"/>
        <w:ind w:firstLine="480" w:firstLineChars="200"/>
        <w:rPr>
          <w:sz w:val="24"/>
          <w:szCs w:val="24"/>
        </w:rPr>
      </w:pPr>
      <w:r>
        <w:rPr>
          <w:sz w:val="24"/>
          <w:szCs w:val="24"/>
        </w:rPr>
        <w:t xml:space="preserve">2.6.1 </w:t>
      </w:r>
      <w:r>
        <w:rPr>
          <w:rFonts w:hint="eastAsia"/>
          <w:sz w:val="24"/>
          <w:szCs w:val="24"/>
        </w:rPr>
        <w:t>分部分项工程量清单计价应依据计价规范中关于综合单价的组成内容确定报价。</w:t>
      </w:r>
    </w:p>
    <w:p>
      <w:pPr>
        <w:autoSpaceDE/>
        <w:autoSpaceDN/>
        <w:snapToGrid w:val="0"/>
        <w:spacing w:line="360" w:lineRule="auto"/>
        <w:ind w:firstLine="480" w:firstLineChars="200"/>
        <w:rPr>
          <w:sz w:val="24"/>
          <w:szCs w:val="24"/>
        </w:rPr>
      </w:pPr>
      <w:r>
        <w:rPr>
          <w:sz w:val="24"/>
          <w:szCs w:val="24"/>
        </w:rPr>
        <w:t xml:space="preserve">2.6.2 </w:t>
      </w:r>
      <w:r>
        <w:rPr>
          <w:rFonts w:hint="eastAsia"/>
          <w:sz w:val="24"/>
          <w:szCs w:val="24"/>
        </w:rPr>
        <w:t>如果分部分项工程量清单中涉及“材料和工程设备暂估单价表”中列出的材料和工程设备，则按照本节第</w:t>
      </w:r>
      <w:r>
        <w:rPr>
          <w:sz w:val="24"/>
          <w:szCs w:val="24"/>
        </w:rPr>
        <w:t xml:space="preserve"> 3.3.2 </w:t>
      </w:r>
      <w:r>
        <w:rPr>
          <w:rFonts w:hint="eastAsia"/>
          <w:sz w:val="24"/>
          <w:szCs w:val="24"/>
        </w:rPr>
        <w:t>项的报价原则，将该类材料和工程设备的暂估单价本身以及除对应的规费及税金以外的费用计入分部分项工程量清单相应子目的综合单价。</w:t>
      </w:r>
    </w:p>
    <w:p>
      <w:pPr>
        <w:autoSpaceDE/>
        <w:autoSpaceDN/>
        <w:snapToGrid w:val="0"/>
        <w:spacing w:line="360" w:lineRule="auto"/>
        <w:ind w:firstLine="480" w:firstLineChars="200"/>
        <w:rPr>
          <w:sz w:val="24"/>
          <w:szCs w:val="24"/>
        </w:rPr>
      </w:pPr>
      <w:r>
        <w:rPr>
          <w:sz w:val="24"/>
          <w:szCs w:val="24"/>
        </w:rPr>
        <w:t xml:space="preserve">2.6.3 </w:t>
      </w:r>
      <w:r>
        <w:rPr>
          <w:rFonts w:hint="eastAsia"/>
          <w:sz w:val="24"/>
          <w:szCs w:val="24"/>
        </w:rPr>
        <w:t>如果分部分项工程量清单中涉及“发包人提供的材料和工程设备一览表”</w:t>
      </w:r>
      <w:r>
        <w:rPr>
          <w:sz w:val="24"/>
          <w:szCs w:val="24"/>
        </w:rPr>
        <w:t>(</w:t>
      </w:r>
      <w:r>
        <w:rPr>
          <w:rFonts w:hint="eastAsia"/>
          <w:sz w:val="24"/>
          <w:szCs w:val="24"/>
        </w:rPr>
        <w:t>见第三章合同条款及格式第三节附件三</w:t>
      </w:r>
      <w:r>
        <w:rPr>
          <w:sz w:val="24"/>
          <w:szCs w:val="24"/>
        </w:rPr>
        <w:t>)</w:t>
      </w:r>
      <w:r>
        <w:rPr>
          <w:rFonts w:hint="eastAsia"/>
          <w:sz w:val="24"/>
          <w:szCs w:val="24"/>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autoSpaceDE/>
        <w:autoSpaceDN/>
        <w:snapToGrid w:val="0"/>
        <w:spacing w:line="360" w:lineRule="auto"/>
        <w:ind w:firstLine="480" w:firstLineChars="200"/>
        <w:rPr>
          <w:sz w:val="24"/>
          <w:szCs w:val="24"/>
        </w:rPr>
      </w:pPr>
      <w:r>
        <w:rPr>
          <w:sz w:val="24"/>
          <w:szCs w:val="24"/>
        </w:rPr>
        <w:t xml:space="preserve">2.6.4 </w:t>
      </w:r>
      <w:r>
        <w:rPr>
          <w:rFonts w:hint="eastAsia"/>
          <w:sz w:val="24"/>
          <w:szCs w:val="24"/>
        </w:rPr>
        <w:t>“分部分项工程量清单与计价表”所列各子目的综合单价组成中，各子目的人工、材料和机械台班消耗量由投标人按照其自身情况做充分的、竞争性考虑。材料消耗量包括损耗量。</w:t>
      </w:r>
    </w:p>
    <w:p>
      <w:pPr>
        <w:autoSpaceDE/>
        <w:autoSpaceDN/>
        <w:snapToGrid w:val="0"/>
        <w:spacing w:line="360" w:lineRule="auto"/>
        <w:ind w:firstLine="480" w:firstLineChars="200"/>
        <w:rPr>
          <w:sz w:val="24"/>
          <w:szCs w:val="24"/>
        </w:rPr>
      </w:pPr>
      <w:r>
        <w:rPr>
          <w:sz w:val="24"/>
          <w:szCs w:val="24"/>
        </w:rPr>
        <w:t xml:space="preserve">2.6.5 </w:t>
      </w:r>
      <w:r>
        <w:rPr>
          <w:rFonts w:hint="eastAsia"/>
          <w:sz w:val="24"/>
          <w:szCs w:val="24"/>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autoSpaceDE/>
        <w:autoSpaceDN/>
        <w:snapToGrid w:val="0"/>
        <w:spacing w:line="360" w:lineRule="auto"/>
        <w:ind w:firstLine="480" w:firstLineChars="200"/>
        <w:rPr>
          <w:sz w:val="24"/>
          <w:szCs w:val="24"/>
        </w:rPr>
      </w:pPr>
      <w:r>
        <w:rPr>
          <w:sz w:val="24"/>
          <w:szCs w:val="24"/>
        </w:rPr>
        <w:t xml:space="preserve">2.7 </w:t>
      </w:r>
      <w:r>
        <w:rPr>
          <w:rFonts w:hint="eastAsia"/>
          <w:sz w:val="24"/>
          <w:szCs w:val="24"/>
        </w:rPr>
        <w:t>措施项目按下列要求报价：</w:t>
      </w:r>
    </w:p>
    <w:p>
      <w:pPr>
        <w:autoSpaceDE/>
        <w:autoSpaceDN/>
        <w:snapToGrid w:val="0"/>
        <w:spacing w:line="360" w:lineRule="auto"/>
        <w:ind w:firstLine="480" w:firstLineChars="200"/>
        <w:rPr>
          <w:sz w:val="24"/>
          <w:szCs w:val="24"/>
        </w:rPr>
      </w:pPr>
      <w:r>
        <w:rPr>
          <w:sz w:val="24"/>
          <w:szCs w:val="24"/>
        </w:rPr>
        <w:t xml:space="preserve">2.7.1 </w:t>
      </w:r>
      <w:r>
        <w:rPr>
          <w:rFonts w:hint="eastAsia"/>
          <w:sz w:val="24"/>
          <w:szCs w:val="24"/>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autoSpaceDE/>
        <w:autoSpaceDN/>
        <w:snapToGrid w:val="0"/>
        <w:spacing w:line="360" w:lineRule="auto"/>
        <w:ind w:firstLine="480" w:firstLineChars="200"/>
        <w:rPr>
          <w:sz w:val="24"/>
          <w:szCs w:val="24"/>
        </w:rPr>
      </w:pPr>
      <w:r>
        <w:rPr>
          <w:sz w:val="24"/>
          <w:szCs w:val="24"/>
        </w:rPr>
        <w:t xml:space="preserve">2.7.2 </w:t>
      </w:r>
      <w:r>
        <w:rPr>
          <w:rFonts w:hint="eastAsia"/>
          <w:sz w:val="24"/>
          <w:szCs w:val="24"/>
        </w:rPr>
        <w:t>措施项目清单中的安全文明施工费应按国家、省级或行业建设主管部门的规定计价，不得作为竞争性费用。</w:t>
      </w:r>
    </w:p>
    <w:p>
      <w:pPr>
        <w:autoSpaceDE/>
        <w:autoSpaceDN/>
        <w:snapToGrid w:val="0"/>
        <w:spacing w:line="360" w:lineRule="auto"/>
        <w:ind w:firstLine="480" w:firstLineChars="200"/>
        <w:rPr>
          <w:sz w:val="24"/>
          <w:szCs w:val="24"/>
        </w:rPr>
      </w:pPr>
      <w:r>
        <w:rPr>
          <w:sz w:val="24"/>
          <w:szCs w:val="24"/>
        </w:rPr>
        <w:t xml:space="preserve">2.7.3 </w:t>
      </w:r>
      <w:r>
        <w:rPr>
          <w:rFonts w:hint="eastAsia"/>
          <w:sz w:val="24"/>
          <w:szCs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autoSpaceDE/>
        <w:autoSpaceDN/>
        <w:snapToGrid w:val="0"/>
        <w:spacing w:line="360" w:lineRule="auto"/>
        <w:ind w:firstLine="480" w:firstLineChars="200"/>
        <w:rPr>
          <w:sz w:val="24"/>
          <w:szCs w:val="24"/>
        </w:rPr>
      </w:pPr>
      <w:r>
        <w:rPr>
          <w:sz w:val="24"/>
          <w:szCs w:val="24"/>
        </w:rPr>
        <w:t xml:space="preserve">2.7.4 </w:t>
      </w:r>
      <w:r>
        <w:rPr>
          <w:rFonts w:hint="eastAsia"/>
          <w:sz w:val="24"/>
          <w:szCs w:val="24"/>
        </w:rPr>
        <w:t>“措施项目清单与计价表”中所填写的报价金额，应全面涵盖招标文件约定的投标人中标后施工、竣工、交付本工程并维修其任何缺陷所需要履行的责任和义务的全部费用。</w:t>
      </w:r>
    </w:p>
    <w:p>
      <w:pPr>
        <w:autoSpaceDE/>
        <w:autoSpaceDN/>
        <w:snapToGrid w:val="0"/>
        <w:spacing w:line="360" w:lineRule="auto"/>
        <w:ind w:firstLine="480" w:firstLineChars="200"/>
        <w:rPr>
          <w:sz w:val="24"/>
          <w:szCs w:val="24"/>
        </w:rPr>
      </w:pPr>
      <w:r>
        <w:rPr>
          <w:sz w:val="24"/>
          <w:szCs w:val="24"/>
        </w:rPr>
        <w:t xml:space="preserve">2.7.5 </w:t>
      </w:r>
      <w:r>
        <w:rPr>
          <w:rFonts w:hint="eastAsia"/>
          <w:sz w:val="24"/>
          <w:szCs w:val="24"/>
        </w:rPr>
        <w:t>对于“措施项目清单与计价表”中所填写的报价金额，应按照“措施项目清单报价分析表”对措施项目报价的组成进行详细的列项和分析。</w:t>
      </w:r>
    </w:p>
    <w:p>
      <w:pPr>
        <w:autoSpaceDE/>
        <w:autoSpaceDN/>
        <w:snapToGrid w:val="0"/>
        <w:spacing w:line="360" w:lineRule="auto"/>
        <w:ind w:firstLine="480" w:firstLineChars="200"/>
        <w:rPr>
          <w:sz w:val="24"/>
          <w:szCs w:val="24"/>
        </w:rPr>
      </w:pPr>
      <w:r>
        <w:rPr>
          <w:sz w:val="24"/>
          <w:szCs w:val="24"/>
        </w:rPr>
        <w:t xml:space="preserve">2.8 </w:t>
      </w:r>
      <w:r>
        <w:rPr>
          <w:rFonts w:hint="eastAsia"/>
          <w:sz w:val="24"/>
          <w:szCs w:val="24"/>
        </w:rPr>
        <w:t>其他项目清单费应按下列规定报价：</w:t>
      </w:r>
    </w:p>
    <w:p>
      <w:pPr>
        <w:autoSpaceDE/>
        <w:autoSpaceDN/>
        <w:snapToGrid w:val="0"/>
        <w:spacing w:line="360" w:lineRule="auto"/>
        <w:ind w:firstLine="480" w:firstLineChars="200"/>
        <w:rPr>
          <w:sz w:val="24"/>
          <w:szCs w:val="24"/>
        </w:rPr>
      </w:pPr>
      <w:r>
        <w:rPr>
          <w:sz w:val="24"/>
          <w:szCs w:val="24"/>
        </w:rPr>
        <w:t xml:space="preserve">2.8.1 </w:t>
      </w:r>
      <w:r>
        <w:rPr>
          <w:rFonts w:hint="eastAsia"/>
          <w:sz w:val="24"/>
          <w:szCs w:val="24"/>
        </w:rPr>
        <w:t>暂列金额按“暂列金额明细表”中列出的金额报价，此处的暂列金额是招标人在招标文件中统一给定的，并不包括本章第</w:t>
      </w:r>
      <w:r>
        <w:rPr>
          <w:sz w:val="24"/>
          <w:szCs w:val="24"/>
        </w:rPr>
        <w:t xml:space="preserve"> 2.8.3 </w:t>
      </w:r>
      <w:r>
        <w:rPr>
          <w:rFonts w:hint="eastAsia"/>
          <w:sz w:val="24"/>
          <w:szCs w:val="24"/>
        </w:rPr>
        <w:t>项的计日工金额。</w:t>
      </w:r>
    </w:p>
    <w:p>
      <w:pPr>
        <w:autoSpaceDE/>
        <w:autoSpaceDN/>
        <w:snapToGrid w:val="0"/>
        <w:spacing w:line="360" w:lineRule="auto"/>
        <w:ind w:firstLine="480" w:firstLineChars="200"/>
        <w:rPr>
          <w:sz w:val="24"/>
          <w:szCs w:val="24"/>
        </w:rPr>
      </w:pPr>
      <w:r>
        <w:rPr>
          <w:sz w:val="24"/>
          <w:szCs w:val="24"/>
        </w:rPr>
        <w:t xml:space="preserve">2.8.2 </w:t>
      </w:r>
      <w:r>
        <w:rPr>
          <w:rFonts w:hint="eastAsia"/>
          <w:sz w:val="24"/>
          <w:szCs w:val="24"/>
        </w:rPr>
        <w:t>暂估价分为材料和工程设备暂估单价和专业工程暂估价两类。其中的材料和工程设备暂估单价按本节第</w:t>
      </w:r>
      <w:r>
        <w:rPr>
          <w:sz w:val="24"/>
          <w:szCs w:val="24"/>
        </w:rPr>
        <w:t xml:space="preserve"> 3.3.2 </w:t>
      </w:r>
      <w:r>
        <w:rPr>
          <w:rFonts w:hint="eastAsia"/>
          <w:sz w:val="24"/>
          <w:szCs w:val="24"/>
        </w:rPr>
        <w:t>项的报价原则进入分部分项工程量清单之综合单价，不在其他项目清单中汇总；专业工程暂估价直接按“专业工程暂估价表”中列出的金额和本节第</w:t>
      </w:r>
      <w:r>
        <w:rPr>
          <w:sz w:val="24"/>
          <w:szCs w:val="24"/>
        </w:rPr>
        <w:t xml:space="preserve"> 3.3.3 </w:t>
      </w:r>
      <w:r>
        <w:rPr>
          <w:rFonts w:hint="eastAsia"/>
          <w:sz w:val="24"/>
          <w:szCs w:val="24"/>
        </w:rPr>
        <w:t>项的报价原则计入其他项目清单报价。</w:t>
      </w:r>
    </w:p>
    <w:p>
      <w:pPr>
        <w:autoSpaceDE/>
        <w:autoSpaceDN/>
        <w:snapToGrid w:val="0"/>
        <w:spacing w:line="360" w:lineRule="auto"/>
        <w:ind w:firstLine="480" w:firstLineChars="200"/>
        <w:rPr>
          <w:sz w:val="24"/>
          <w:szCs w:val="24"/>
        </w:rPr>
      </w:pPr>
      <w:r>
        <w:rPr>
          <w:sz w:val="24"/>
          <w:szCs w:val="24"/>
        </w:rPr>
        <w:t xml:space="preserve">2.8.3 </w:t>
      </w:r>
      <w:r>
        <w:rPr>
          <w:rFonts w:hint="eastAsia"/>
          <w:sz w:val="24"/>
          <w:szCs w:val="24"/>
        </w:rPr>
        <w:t>计日工按“计日工表”中列出的子目和估算数量，自主确定综合单价并计算计日工金额。计日工综合单价均不包括规费和税金，其中：</w:t>
      </w:r>
    </w:p>
    <w:p>
      <w:pPr>
        <w:autoSpaceDE/>
        <w:autoSpaceDN/>
        <w:snapToGrid w:val="0"/>
        <w:spacing w:line="360" w:lineRule="auto"/>
        <w:ind w:firstLine="480" w:firstLineChars="200"/>
        <w:rPr>
          <w:sz w:val="24"/>
          <w:szCs w:val="24"/>
        </w:rPr>
      </w:pPr>
      <w:r>
        <w:rPr>
          <w:sz w:val="24"/>
          <w:szCs w:val="24"/>
        </w:rPr>
        <w:t xml:space="preserve">(1) </w:t>
      </w:r>
      <w:r>
        <w:rPr>
          <w:rFonts w:hint="eastAsia"/>
          <w:sz w:val="24"/>
          <w:szCs w:val="24"/>
        </w:rPr>
        <w:t>劳务单价应当包括工人工资、交通费用、各种补贴、劳动安全保护、社保费用、手提手动和电动工器具、施工场地内已经搭设的脚手架、水电和低值易耗品费用、现场管理费用、企业管理费和利润；</w:t>
      </w:r>
    </w:p>
    <w:p>
      <w:pPr>
        <w:autoSpaceDE/>
        <w:autoSpaceDN/>
        <w:snapToGrid w:val="0"/>
        <w:spacing w:line="360" w:lineRule="auto"/>
        <w:ind w:firstLine="480" w:firstLineChars="200"/>
        <w:rPr>
          <w:sz w:val="24"/>
          <w:szCs w:val="24"/>
        </w:rPr>
      </w:pPr>
      <w:r>
        <w:rPr>
          <w:sz w:val="24"/>
          <w:szCs w:val="24"/>
        </w:rPr>
        <w:t xml:space="preserve">(2) </w:t>
      </w:r>
      <w:r>
        <w:rPr>
          <w:rFonts w:hint="eastAsia"/>
          <w:sz w:val="24"/>
          <w:szCs w:val="24"/>
        </w:rPr>
        <w:t>材料价格包括材料运到现场的价格以及现场搬运、仓储、二次搬运、损耗、保险、企业管理费和利润；</w:t>
      </w:r>
    </w:p>
    <w:p>
      <w:pPr>
        <w:autoSpaceDE/>
        <w:autoSpaceDN/>
        <w:snapToGrid w:val="0"/>
        <w:spacing w:line="360" w:lineRule="auto"/>
        <w:ind w:firstLine="480" w:firstLineChars="200"/>
        <w:rPr>
          <w:sz w:val="24"/>
          <w:szCs w:val="24"/>
        </w:rPr>
      </w:pPr>
      <w:r>
        <w:rPr>
          <w:sz w:val="24"/>
          <w:szCs w:val="24"/>
        </w:rPr>
        <w:t xml:space="preserve">(3) </w:t>
      </w:r>
      <w:r>
        <w:rPr>
          <w:rFonts w:hint="eastAsia"/>
          <w:sz w:val="24"/>
          <w:szCs w:val="24"/>
        </w:rPr>
        <w:t>施工机械限于在施工场地</w:t>
      </w:r>
      <w:r>
        <w:rPr>
          <w:sz w:val="24"/>
          <w:szCs w:val="24"/>
        </w:rPr>
        <w:t>(</w:t>
      </w:r>
      <w:r>
        <w:rPr>
          <w:rFonts w:hint="eastAsia"/>
          <w:sz w:val="24"/>
          <w:szCs w:val="24"/>
        </w:rPr>
        <w:t>现场</w:t>
      </w:r>
      <w:r>
        <w:rPr>
          <w:sz w:val="24"/>
          <w:szCs w:val="24"/>
        </w:rPr>
        <w:t>)</w:t>
      </w:r>
      <w:r>
        <w:rPr>
          <w:rFonts w:hint="eastAsia"/>
          <w:sz w:val="24"/>
          <w:szCs w:val="24"/>
        </w:rPr>
        <w:t>的机械设备，其价格包括租赁或折旧、维修、维护和燃油等消耗品以及操作人员费用，包括承包人企业管理费和利润，但不包括规费和税金。辅助人员按劳务价格另计。</w:t>
      </w:r>
    </w:p>
    <w:p>
      <w:pPr>
        <w:autoSpaceDE/>
        <w:autoSpaceDN/>
        <w:snapToGrid w:val="0"/>
        <w:spacing w:line="360" w:lineRule="auto"/>
        <w:ind w:firstLine="480" w:firstLineChars="200"/>
        <w:rPr>
          <w:sz w:val="24"/>
          <w:szCs w:val="24"/>
        </w:rPr>
      </w:pPr>
      <w:r>
        <w:rPr>
          <w:sz w:val="24"/>
          <w:szCs w:val="24"/>
        </w:rPr>
        <w:t xml:space="preserve">2.8.4 </w:t>
      </w:r>
      <w:r>
        <w:rPr>
          <w:rFonts w:hint="eastAsia"/>
          <w:sz w:val="24"/>
          <w:szCs w:val="24"/>
        </w:rPr>
        <w:t>总承包服务费根据招标文件中列出的内容和要求，按“总承包服务费计价表”所列格式自主报价。</w:t>
      </w:r>
    </w:p>
    <w:p>
      <w:pPr>
        <w:autoSpaceDE/>
        <w:autoSpaceDN/>
        <w:snapToGrid w:val="0"/>
        <w:spacing w:line="360" w:lineRule="auto"/>
        <w:ind w:firstLine="480" w:firstLineChars="200"/>
        <w:rPr>
          <w:sz w:val="24"/>
          <w:szCs w:val="24"/>
        </w:rPr>
      </w:pPr>
      <w:r>
        <w:rPr>
          <w:sz w:val="24"/>
          <w:szCs w:val="24"/>
        </w:rPr>
        <w:t xml:space="preserve">2.9 </w:t>
      </w:r>
      <w:r>
        <w:rPr>
          <w:rFonts w:hint="eastAsia"/>
          <w:sz w:val="24"/>
          <w:szCs w:val="24"/>
        </w:rPr>
        <w:t>规费和税金应按“规费、税金项目清单与计价表”所列项目并根据国家、省级或行业建设主管部门的有关规定列项和计算，不得作为竞争性费用。</w:t>
      </w:r>
    </w:p>
    <w:p>
      <w:pPr>
        <w:autoSpaceDE/>
        <w:autoSpaceDN/>
        <w:snapToGrid w:val="0"/>
        <w:spacing w:line="360" w:lineRule="auto"/>
        <w:ind w:firstLine="480" w:firstLineChars="200"/>
        <w:rPr>
          <w:sz w:val="24"/>
          <w:szCs w:val="24"/>
        </w:rPr>
      </w:pPr>
      <w:r>
        <w:rPr>
          <w:sz w:val="24"/>
          <w:szCs w:val="24"/>
        </w:rPr>
        <w:t xml:space="preserve">2.10 </w:t>
      </w:r>
      <w:r>
        <w:rPr>
          <w:rFonts w:hint="eastAsia"/>
          <w:sz w:val="24"/>
          <w:szCs w:val="24"/>
        </w:rPr>
        <w:t>除招标文件有强制性规定以及不可竞争部分以外，投标报价由投标人自主确定，但不得低于其成本。</w:t>
      </w:r>
    </w:p>
    <w:p>
      <w:pPr>
        <w:autoSpaceDE/>
        <w:autoSpaceDN/>
        <w:snapToGrid w:val="0"/>
        <w:spacing w:line="360" w:lineRule="auto"/>
        <w:ind w:firstLine="480" w:firstLineChars="200"/>
        <w:rPr>
          <w:sz w:val="24"/>
          <w:szCs w:val="24"/>
        </w:rPr>
      </w:pPr>
      <w:r>
        <w:rPr>
          <w:sz w:val="24"/>
          <w:szCs w:val="24"/>
        </w:rPr>
        <w:t xml:space="preserve">2.11 </w:t>
      </w:r>
      <w:r>
        <w:rPr>
          <w:rFonts w:hint="eastAsia"/>
          <w:sz w:val="24"/>
          <w:szCs w:val="24"/>
        </w:rPr>
        <w:t>工程量清单计价所涉及的生产资源</w:t>
      </w:r>
      <w:r>
        <w:rPr>
          <w:sz w:val="24"/>
          <w:szCs w:val="24"/>
        </w:rPr>
        <w:t>(</w:t>
      </w:r>
      <w:r>
        <w:rPr>
          <w:rFonts w:hint="eastAsia"/>
          <w:sz w:val="24"/>
          <w:szCs w:val="24"/>
        </w:rPr>
        <w:t>包括各类人工、材料、工程设备、施工设备、临时设施、临时用水、临时用电等</w:t>
      </w:r>
      <w:r>
        <w:rPr>
          <w:sz w:val="24"/>
          <w:szCs w:val="24"/>
        </w:rPr>
        <w:t>)</w:t>
      </w:r>
      <w:r>
        <w:rPr>
          <w:rFonts w:hint="eastAsia"/>
          <w:sz w:val="24"/>
          <w:szCs w:val="24"/>
        </w:rPr>
        <w:t>的投标价格，应根据自身的信息渠道和采购渠道，分析其市场价格水平并判断其整个施工周期内的变化趋势，体现投标人自身的管理水平、技术水平和综合实力。</w:t>
      </w:r>
    </w:p>
    <w:p>
      <w:pPr>
        <w:autoSpaceDE/>
        <w:autoSpaceDN/>
        <w:snapToGrid w:val="0"/>
        <w:spacing w:line="360" w:lineRule="auto"/>
        <w:ind w:firstLine="480" w:firstLineChars="200"/>
        <w:rPr>
          <w:sz w:val="24"/>
          <w:szCs w:val="24"/>
        </w:rPr>
      </w:pPr>
      <w:r>
        <w:rPr>
          <w:sz w:val="24"/>
          <w:szCs w:val="24"/>
        </w:rPr>
        <w:t xml:space="preserve">2.12 </w:t>
      </w:r>
      <w:r>
        <w:rPr>
          <w:rFonts w:hint="eastAsia"/>
          <w:sz w:val="24"/>
          <w:szCs w:val="24"/>
        </w:rPr>
        <w:t>管理费应由投标人在保证不低于其成本的基础上做竞争性考虑；利润由投标人根据自身情况和综合实力做竞争性考虑。</w:t>
      </w:r>
    </w:p>
    <w:p>
      <w:pPr>
        <w:autoSpaceDE/>
        <w:autoSpaceDN/>
        <w:snapToGrid w:val="0"/>
        <w:spacing w:line="360" w:lineRule="auto"/>
        <w:ind w:firstLine="480" w:firstLineChars="200"/>
        <w:rPr>
          <w:sz w:val="24"/>
          <w:szCs w:val="24"/>
        </w:rPr>
      </w:pPr>
      <w:r>
        <w:rPr>
          <w:sz w:val="24"/>
          <w:szCs w:val="24"/>
        </w:rPr>
        <w:t xml:space="preserve">2.13 </w:t>
      </w:r>
      <w:r>
        <w:rPr>
          <w:rFonts w:hint="eastAsia"/>
          <w:sz w:val="24"/>
          <w:szCs w:val="24"/>
        </w:rPr>
        <w:t>投标报价中应考虑招标文件中要求投标人承担的风险范围以及相关的费用。</w:t>
      </w:r>
    </w:p>
    <w:p>
      <w:pPr>
        <w:autoSpaceDE/>
        <w:autoSpaceDN/>
        <w:snapToGrid w:val="0"/>
        <w:spacing w:line="360" w:lineRule="auto"/>
        <w:ind w:firstLine="480" w:firstLineChars="200"/>
        <w:rPr>
          <w:sz w:val="24"/>
          <w:szCs w:val="24"/>
        </w:rPr>
      </w:pPr>
      <w:r>
        <w:rPr>
          <w:sz w:val="24"/>
          <w:szCs w:val="24"/>
        </w:rPr>
        <w:t xml:space="preserve">2.14 </w:t>
      </w:r>
      <w:r>
        <w:rPr>
          <w:rFonts w:hint="eastAsia"/>
          <w:sz w:val="24"/>
          <w:szCs w:val="24"/>
        </w:rPr>
        <w:t>投标总价为投标人在投标文件中提出的各项支付金额的总和，为实施、完成招标工程并修补缺陷以及履行招标文件中约定的风险范围内的所有责任和义务所发生的全部费用。</w:t>
      </w:r>
    </w:p>
    <w:p>
      <w:pPr>
        <w:autoSpaceDE/>
        <w:autoSpaceDN/>
        <w:snapToGrid w:val="0"/>
        <w:spacing w:line="360" w:lineRule="auto"/>
        <w:ind w:firstLine="480" w:firstLineChars="200"/>
        <w:rPr>
          <w:sz w:val="24"/>
          <w:szCs w:val="24"/>
        </w:rPr>
      </w:pPr>
      <w:r>
        <w:rPr>
          <w:sz w:val="24"/>
          <w:szCs w:val="24"/>
        </w:rPr>
        <w:t xml:space="preserve">2.15 </w:t>
      </w:r>
      <w:r>
        <w:rPr>
          <w:rFonts w:hint="eastAsia"/>
          <w:sz w:val="24"/>
          <w:szCs w:val="24"/>
        </w:rPr>
        <w:t>有关投标报价的其他说明：</w:t>
      </w:r>
    </w:p>
    <w:p>
      <w:pPr>
        <w:autoSpaceDE/>
        <w:autoSpaceDN/>
        <w:snapToGrid w:val="0"/>
        <w:spacing w:line="360" w:lineRule="auto"/>
        <w:ind w:firstLine="480" w:firstLineChars="200"/>
        <w:rPr>
          <w:sz w:val="24"/>
          <w:szCs w:val="24"/>
        </w:rPr>
      </w:pPr>
      <w:r>
        <w:rPr>
          <w:sz w:val="24"/>
          <w:szCs w:val="24"/>
        </w:rPr>
        <w:t>3</w:t>
      </w:r>
      <w:r>
        <w:rPr>
          <w:rFonts w:hint="eastAsia"/>
          <w:sz w:val="24"/>
          <w:szCs w:val="24"/>
        </w:rPr>
        <w:t>、其他说明</w:t>
      </w:r>
    </w:p>
    <w:p>
      <w:pPr>
        <w:autoSpaceDE/>
        <w:autoSpaceDN/>
        <w:snapToGrid w:val="0"/>
        <w:spacing w:line="360" w:lineRule="auto"/>
        <w:ind w:firstLine="480" w:firstLineChars="200"/>
        <w:rPr>
          <w:sz w:val="24"/>
          <w:szCs w:val="24"/>
        </w:rPr>
      </w:pPr>
      <w:r>
        <w:rPr>
          <w:sz w:val="24"/>
          <w:szCs w:val="24"/>
        </w:rPr>
        <w:t xml:space="preserve">3.1 </w:t>
      </w:r>
      <w:r>
        <w:rPr>
          <w:rFonts w:hint="eastAsia"/>
          <w:sz w:val="24"/>
          <w:szCs w:val="24"/>
        </w:rPr>
        <w:t>词语和定义</w:t>
      </w:r>
    </w:p>
    <w:p>
      <w:pPr>
        <w:autoSpaceDE/>
        <w:autoSpaceDN/>
        <w:snapToGrid w:val="0"/>
        <w:spacing w:line="360" w:lineRule="auto"/>
        <w:ind w:firstLine="480" w:firstLineChars="200"/>
        <w:rPr>
          <w:sz w:val="24"/>
          <w:szCs w:val="24"/>
        </w:rPr>
      </w:pPr>
      <w:r>
        <w:rPr>
          <w:sz w:val="24"/>
          <w:szCs w:val="24"/>
        </w:rPr>
        <w:t xml:space="preserve">3.1.1 </w:t>
      </w:r>
      <w:r>
        <w:rPr>
          <w:rFonts w:hint="eastAsia"/>
          <w:sz w:val="24"/>
          <w:szCs w:val="24"/>
        </w:rPr>
        <w:t>工程量清单</w:t>
      </w:r>
    </w:p>
    <w:p>
      <w:pPr>
        <w:autoSpaceDE/>
        <w:autoSpaceDN/>
        <w:snapToGrid w:val="0"/>
        <w:spacing w:line="360" w:lineRule="auto"/>
        <w:ind w:firstLine="480" w:firstLineChars="200"/>
        <w:rPr>
          <w:sz w:val="24"/>
          <w:szCs w:val="24"/>
        </w:rPr>
      </w:pPr>
      <w:r>
        <w:rPr>
          <w:rFonts w:hint="eastAsia"/>
          <w:sz w:val="24"/>
          <w:szCs w:val="24"/>
        </w:rPr>
        <w:t>是表现本工程分部分项工程项目、措施项目、其他项目、规费项目和税金的名称和相应数量等的明细清单。</w:t>
      </w:r>
    </w:p>
    <w:p>
      <w:pPr>
        <w:autoSpaceDE/>
        <w:autoSpaceDN/>
        <w:snapToGrid w:val="0"/>
        <w:spacing w:line="360" w:lineRule="auto"/>
        <w:ind w:firstLine="480" w:firstLineChars="200"/>
        <w:rPr>
          <w:sz w:val="24"/>
          <w:szCs w:val="24"/>
        </w:rPr>
      </w:pPr>
      <w:r>
        <w:rPr>
          <w:sz w:val="24"/>
          <w:szCs w:val="24"/>
        </w:rPr>
        <w:t xml:space="preserve">3.1.2 </w:t>
      </w:r>
      <w:r>
        <w:rPr>
          <w:rFonts w:hint="eastAsia"/>
          <w:sz w:val="24"/>
          <w:szCs w:val="24"/>
        </w:rPr>
        <w:t>总价子目</w:t>
      </w:r>
    </w:p>
    <w:p>
      <w:pPr>
        <w:autoSpaceDE/>
        <w:autoSpaceDN/>
        <w:snapToGrid w:val="0"/>
        <w:spacing w:line="360" w:lineRule="auto"/>
        <w:ind w:firstLine="480" w:firstLineChars="200"/>
        <w:rPr>
          <w:sz w:val="24"/>
          <w:szCs w:val="24"/>
        </w:rPr>
      </w:pPr>
      <w:r>
        <w:rPr>
          <w:rFonts w:hint="eastAsia"/>
          <w:sz w:val="24"/>
          <w:szCs w:val="24"/>
        </w:rPr>
        <w:t>工程量清单中以总价计价，以“项”为计量单位，工程量为整数</w:t>
      </w:r>
      <w:r>
        <w:rPr>
          <w:sz w:val="24"/>
          <w:szCs w:val="24"/>
        </w:rPr>
        <w:t xml:space="preserve"> 1 </w:t>
      </w:r>
      <w:r>
        <w:rPr>
          <w:rFonts w:hint="eastAsia"/>
          <w:sz w:val="24"/>
          <w:szCs w:val="24"/>
        </w:rPr>
        <w:t>的子目，除专用合同条款另有约定外，总价固定包干。采用总价合同形式时，合同订立后，已标价工程量清单中的工程量均没有合同约束力，所有子目均是总价子目，视同按项计量</w:t>
      </w:r>
      <w:r>
        <w:rPr>
          <w:sz w:val="24"/>
          <w:szCs w:val="24"/>
        </w:rPr>
        <w:t>(</w:t>
      </w:r>
      <w:r>
        <w:rPr>
          <w:rFonts w:hint="eastAsia"/>
          <w:sz w:val="24"/>
          <w:szCs w:val="24"/>
        </w:rPr>
        <w:t>合同条款第</w:t>
      </w:r>
      <w:r>
        <w:rPr>
          <w:sz w:val="24"/>
          <w:szCs w:val="24"/>
        </w:rPr>
        <w:t xml:space="preserve"> 15 </w:t>
      </w:r>
      <w:r>
        <w:rPr>
          <w:rFonts w:hint="eastAsia"/>
          <w:sz w:val="24"/>
          <w:szCs w:val="24"/>
        </w:rPr>
        <w:t>条约定的变更除外</w:t>
      </w:r>
      <w:r>
        <w:rPr>
          <w:sz w:val="24"/>
          <w:szCs w:val="24"/>
        </w:rPr>
        <w:t>)</w:t>
      </w:r>
      <w:r>
        <w:rPr>
          <w:rFonts w:hint="eastAsia"/>
          <w:sz w:val="24"/>
          <w:szCs w:val="24"/>
        </w:rPr>
        <w:t>。</w:t>
      </w:r>
    </w:p>
    <w:p>
      <w:pPr>
        <w:autoSpaceDE/>
        <w:autoSpaceDN/>
        <w:snapToGrid w:val="0"/>
        <w:spacing w:line="360" w:lineRule="auto"/>
        <w:ind w:firstLine="480" w:firstLineChars="200"/>
        <w:rPr>
          <w:sz w:val="24"/>
          <w:szCs w:val="24"/>
        </w:rPr>
      </w:pPr>
      <w:r>
        <w:rPr>
          <w:sz w:val="24"/>
          <w:szCs w:val="24"/>
        </w:rPr>
        <w:t xml:space="preserve">3.1.3 </w:t>
      </w:r>
      <w:r>
        <w:rPr>
          <w:rFonts w:hint="eastAsia"/>
          <w:sz w:val="24"/>
          <w:szCs w:val="24"/>
        </w:rPr>
        <w:t>单价子目</w:t>
      </w:r>
    </w:p>
    <w:p>
      <w:pPr>
        <w:autoSpaceDE/>
        <w:autoSpaceDN/>
        <w:snapToGrid w:val="0"/>
        <w:spacing w:line="360" w:lineRule="auto"/>
        <w:ind w:firstLine="480" w:firstLineChars="200"/>
        <w:rPr>
          <w:sz w:val="24"/>
          <w:szCs w:val="24"/>
        </w:rPr>
      </w:pPr>
      <w:r>
        <w:rPr>
          <w:rFonts w:hint="eastAsia"/>
          <w:sz w:val="24"/>
          <w:szCs w:val="24"/>
        </w:rPr>
        <w:t>工程量清单中以单价计价，根据有合同约束力的图纸和工程量计算规则进行计量，以实际完成数量乘以相应单价进行结算的子目。</w:t>
      </w:r>
    </w:p>
    <w:p>
      <w:pPr>
        <w:autoSpaceDE/>
        <w:autoSpaceDN/>
        <w:snapToGrid w:val="0"/>
        <w:spacing w:line="360" w:lineRule="auto"/>
        <w:ind w:firstLine="480" w:firstLineChars="200"/>
        <w:rPr>
          <w:sz w:val="24"/>
          <w:szCs w:val="24"/>
        </w:rPr>
      </w:pPr>
      <w:r>
        <w:rPr>
          <w:sz w:val="24"/>
          <w:szCs w:val="24"/>
        </w:rPr>
        <w:t xml:space="preserve">3.1.4 </w:t>
      </w:r>
      <w:r>
        <w:rPr>
          <w:rFonts w:hint="eastAsia"/>
          <w:sz w:val="24"/>
          <w:szCs w:val="24"/>
        </w:rPr>
        <w:t>子目编码</w:t>
      </w:r>
    </w:p>
    <w:p>
      <w:pPr>
        <w:autoSpaceDE/>
        <w:autoSpaceDN/>
        <w:snapToGrid w:val="0"/>
        <w:spacing w:line="360" w:lineRule="auto"/>
        <w:ind w:firstLine="480" w:firstLineChars="200"/>
        <w:rPr>
          <w:sz w:val="24"/>
          <w:szCs w:val="24"/>
        </w:rPr>
      </w:pPr>
      <w:r>
        <w:rPr>
          <w:rFonts w:hint="eastAsia"/>
          <w:sz w:val="24"/>
          <w:szCs w:val="24"/>
        </w:rPr>
        <w:t>分部分项工程项目清单中所列的子目名称的数字标识和代码，子目编码与项目编码同义。</w:t>
      </w:r>
    </w:p>
    <w:p>
      <w:pPr>
        <w:autoSpaceDE/>
        <w:autoSpaceDN/>
        <w:snapToGrid w:val="0"/>
        <w:spacing w:line="360" w:lineRule="auto"/>
        <w:ind w:firstLine="480" w:firstLineChars="200"/>
        <w:rPr>
          <w:sz w:val="24"/>
          <w:szCs w:val="24"/>
        </w:rPr>
      </w:pPr>
      <w:r>
        <w:rPr>
          <w:sz w:val="24"/>
          <w:szCs w:val="24"/>
        </w:rPr>
        <w:t xml:space="preserve">3.1.5 </w:t>
      </w:r>
      <w:r>
        <w:rPr>
          <w:rFonts w:hint="eastAsia"/>
          <w:sz w:val="24"/>
          <w:szCs w:val="24"/>
        </w:rPr>
        <w:t>子目特征</w:t>
      </w:r>
    </w:p>
    <w:p>
      <w:pPr>
        <w:autoSpaceDE/>
        <w:autoSpaceDN/>
        <w:snapToGrid w:val="0"/>
        <w:spacing w:line="360" w:lineRule="auto"/>
        <w:ind w:firstLine="480" w:firstLineChars="200"/>
        <w:rPr>
          <w:sz w:val="24"/>
          <w:szCs w:val="24"/>
        </w:rPr>
      </w:pPr>
      <w:r>
        <w:rPr>
          <w:rFonts w:hint="eastAsia"/>
          <w:sz w:val="24"/>
          <w:szCs w:val="24"/>
        </w:rPr>
        <w:t>构成分部分项工程项目清单子目、措施项目的实质内容、决定其自身价值的本质特征，子目特征与项目特征同义。</w:t>
      </w:r>
    </w:p>
    <w:p>
      <w:pPr>
        <w:autoSpaceDE/>
        <w:autoSpaceDN/>
        <w:snapToGrid w:val="0"/>
        <w:spacing w:line="360" w:lineRule="auto"/>
        <w:ind w:firstLine="480" w:firstLineChars="200"/>
        <w:rPr>
          <w:sz w:val="24"/>
          <w:szCs w:val="24"/>
        </w:rPr>
      </w:pPr>
      <w:r>
        <w:rPr>
          <w:sz w:val="24"/>
          <w:szCs w:val="24"/>
        </w:rPr>
        <w:t xml:space="preserve">3.1.6 </w:t>
      </w:r>
      <w:r>
        <w:rPr>
          <w:rFonts w:hint="eastAsia"/>
          <w:sz w:val="24"/>
          <w:szCs w:val="24"/>
        </w:rPr>
        <w:t>规费</w:t>
      </w:r>
    </w:p>
    <w:p>
      <w:pPr>
        <w:autoSpaceDE/>
        <w:autoSpaceDN/>
        <w:snapToGrid w:val="0"/>
        <w:spacing w:line="360" w:lineRule="auto"/>
        <w:ind w:firstLine="480" w:firstLineChars="200"/>
        <w:rPr>
          <w:sz w:val="24"/>
          <w:szCs w:val="24"/>
        </w:rPr>
      </w:pPr>
      <w:r>
        <w:rPr>
          <w:rFonts w:hint="eastAsia"/>
          <w:sz w:val="24"/>
          <w:szCs w:val="24"/>
        </w:rPr>
        <w:t>承包人根据省级政府或省级有关权力部门规定必须缴纳的，应计入建筑安装工程造价的费用。</w:t>
      </w:r>
    </w:p>
    <w:p>
      <w:pPr>
        <w:autoSpaceDE/>
        <w:autoSpaceDN/>
        <w:snapToGrid w:val="0"/>
        <w:spacing w:line="360" w:lineRule="auto"/>
        <w:ind w:firstLine="480" w:firstLineChars="200"/>
        <w:rPr>
          <w:sz w:val="24"/>
          <w:szCs w:val="24"/>
        </w:rPr>
      </w:pPr>
      <w:r>
        <w:rPr>
          <w:sz w:val="24"/>
          <w:szCs w:val="24"/>
        </w:rPr>
        <w:t xml:space="preserve">3.1.7 </w:t>
      </w:r>
      <w:r>
        <w:rPr>
          <w:rFonts w:hint="eastAsia"/>
          <w:sz w:val="24"/>
          <w:szCs w:val="24"/>
        </w:rPr>
        <w:t>税金</w:t>
      </w:r>
    </w:p>
    <w:p>
      <w:pPr>
        <w:autoSpaceDE/>
        <w:autoSpaceDN/>
        <w:snapToGrid w:val="0"/>
        <w:spacing w:line="360" w:lineRule="auto"/>
        <w:ind w:firstLine="480" w:firstLineChars="200"/>
        <w:rPr>
          <w:sz w:val="24"/>
          <w:szCs w:val="24"/>
        </w:rPr>
      </w:pPr>
      <w:r>
        <w:rPr>
          <w:rFonts w:hint="eastAsia"/>
          <w:sz w:val="24"/>
          <w:szCs w:val="24"/>
        </w:rPr>
        <w:t>国家税法规定的应计入建筑安装工程造价内的营业税、城市维护建设税及教育费附加等。</w:t>
      </w:r>
    </w:p>
    <w:p>
      <w:pPr>
        <w:autoSpaceDE/>
        <w:autoSpaceDN/>
        <w:snapToGrid w:val="0"/>
        <w:spacing w:line="360" w:lineRule="auto"/>
        <w:ind w:firstLine="480" w:firstLineChars="200"/>
        <w:rPr>
          <w:sz w:val="24"/>
          <w:szCs w:val="24"/>
        </w:rPr>
      </w:pPr>
      <w:r>
        <w:rPr>
          <w:sz w:val="24"/>
          <w:szCs w:val="24"/>
        </w:rPr>
        <w:t xml:space="preserve">3.1.8 </w:t>
      </w:r>
      <w:r>
        <w:rPr>
          <w:rFonts w:hint="eastAsia"/>
          <w:sz w:val="24"/>
          <w:szCs w:val="24"/>
        </w:rPr>
        <w:t>总承包服务费</w:t>
      </w:r>
    </w:p>
    <w:p>
      <w:pPr>
        <w:autoSpaceDE/>
        <w:autoSpaceDN/>
        <w:snapToGrid w:val="0"/>
        <w:spacing w:line="360" w:lineRule="auto"/>
        <w:ind w:firstLine="480" w:firstLineChars="200"/>
        <w:rPr>
          <w:sz w:val="24"/>
          <w:szCs w:val="24"/>
        </w:rPr>
      </w:pPr>
      <w:r>
        <w:rPr>
          <w:rFonts w:hint="eastAsia"/>
          <w:sz w:val="24"/>
          <w:szCs w:val="24"/>
        </w:rPr>
        <w:t>总承包人为配合协调发包人发包的专业工程以及发包人采购的材料和工程设备等进行管理、服务以及施工现场管理、竣工资料汇总整理等所需的费用。</w:t>
      </w:r>
    </w:p>
    <w:p>
      <w:pPr>
        <w:autoSpaceDE/>
        <w:autoSpaceDN/>
        <w:snapToGrid w:val="0"/>
        <w:spacing w:line="360" w:lineRule="auto"/>
        <w:ind w:firstLine="480" w:firstLineChars="200"/>
        <w:rPr>
          <w:sz w:val="24"/>
          <w:szCs w:val="24"/>
        </w:rPr>
      </w:pPr>
      <w:r>
        <w:rPr>
          <w:sz w:val="24"/>
          <w:szCs w:val="24"/>
        </w:rPr>
        <w:t xml:space="preserve">3.1.9 </w:t>
      </w:r>
      <w:r>
        <w:rPr>
          <w:rFonts w:hint="eastAsia"/>
          <w:sz w:val="24"/>
          <w:szCs w:val="24"/>
        </w:rPr>
        <w:t>同义词语</w:t>
      </w:r>
    </w:p>
    <w:p>
      <w:pPr>
        <w:autoSpaceDE/>
        <w:autoSpaceDN/>
        <w:snapToGrid w:val="0"/>
        <w:spacing w:line="360" w:lineRule="auto"/>
        <w:ind w:firstLine="480" w:firstLineChars="200"/>
        <w:rPr>
          <w:sz w:val="24"/>
          <w:szCs w:val="24"/>
        </w:rPr>
      </w:pPr>
      <w:r>
        <w:rPr>
          <w:rFonts w:hint="eastAsia"/>
          <w:sz w:val="24"/>
          <w:szCs w:val="24"/>
        </w:rPr>
        <w:t>本章中使用的词语“招标人”和“投标人”分别与合同条款中定义的“发包人”和“承包人”同义；就工程量清单而言，“子目”与“项目”同义。</w:t>
      </w:r>
    </w:p>
    <w:p>
      <w:pPr>
        <w:autoSpaceDE/>
        <w:autoSpaceDN/>
        <w:snapToGrid w:val="0"/>
        <w:spacing w:line="360" w:lineRule="auto"/>
        <w:ind w:firstLine="480" w:firstLineChars="200"/>
        <w:rPr>
          <w:sz w:val="24"/>
          <w:szCs w:val="24"/>
        </w:rPr>
      </w:pPr>
      <w:r>
        <w:rPr>
          <w:sz w:val="24"/>
          <w:szCs w:val="24"/>
        </w:rPr>
        <w:t xml:space="preserve">3.2 </w:t>
      </w:r>
      <w:r>
        <w:rPr>
          <w:rFonts w:hint="eastAsia"/>
          <w:sz w:val="24"/>
          <w:szCs w:val="24"/>
        </w:rPr>
        <w:t>工程量差异调整</w:t>
      </w:r>
    </w:p>
    <w:p>
      <w:pPr>
        <w:autoSpaceDE/>
        <w:autoSpaceDN/>
        <w:snapToGrid w:val="0"/>
        <w:spacing w:line="360" w:lineRule="auto"/>
        <w:ind w:firstLine="480" w:firstLineChars="200"/>
        <w:rPr>
          <w:sz w:val="24"/>
          <w:szCs w:val="24"/>
        </w:rPr>
      </w:pPr>
      <w:r>
        <w:rPr>
          <w:sz w:val="24"/>
          <w:szCs w:val="24"/>
        </w:rPr>
        <w:t xml:space="preserve">3.2.1 </w:t>
      </w:r>
      <w:r>
        <w:rPr>
          <w:rFonts w:hint="eastAsia"/>
          <w:sz w:val="24"/>
          <w:szCs w:val="24"/>
        </w:rPr>
        <w:t>工程量清单中的工作内容分类、子目列项、特征描述以及“分部分项工程量清单与计价表”中附带的工程量都不应理解为是对承包</w:t>
      </w:r>
      <w:r>
        <w:rPr>
          <w:sz w:val="24"/>
          <w:szCs w:val="24"/>
        </w:rPr>
        <w:t>(</w:t>
      </w:r>
      <w:r>
        <w:rPr>
          <w:rFonts w:hint="eastAsia"/>
          <w:sz w:val="24"/>
          <w:szCs w:val="24"/>
        </w:rPr>
        <w:t>招标</w:t>
      </w:r>
      <w:r>
        <w:rPr>
          <w:sz w:val="24"/>
          <w:szCs w:val="24"/>
        </w:rPr>
        <w:t>)</w:t>
      </w:r>
      <w:r>
        <w:rPr>
          <w:rFonts w:hint="eastAsia"/>
          <w:sz w:val="24"/>
          <w:szCs w:val="24"/>
        </w:rPr>
        <w:t>范围以及合同工作内容的唯一的、最终的或全部的定义。</w:t>
      </w:r>
    </w:p>
    <w:p>
      <w:pPr>
        <w:autoSpaceDE/>
        <w:autoSpaceDN/>
        <w:snapToGrid w:val="0"/>
        <w:spacing w:line="360" w:lineRule="auto"/>
        <w:ind w:firstLine="480" w:firstLineChars="200"/>
        <w:rPr>
          <w:sz w:val="24"/>
          <w:szCs w:val="24"/>
        </w:rPr>
      </w:pPr>
      <w:r>
        <w:rPr>
          <w:sz w:val="24"/>
          <w:szCs w:val="24"/>
        </w:rPr>
        <w:t xml:space="preserve">3.2.2 </w:t>
      </w:r>
      <w:r>
        <w:rPr>
          <w:rFonts w:hint="eastAsia"/>
          <w:sz w:val="24"/>
          <w:szCs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4"/>
          <w:szCs w:val="24"/>
        </w:rPr>
        <w:t>(</w:t>
      </w:r>
      <w:r>
        <w:rPr>
          <w:rFonts w:hint="eastAsia"/>
          <w:sz w:val="24"/>
          <w:szCs w:val="24"/>
        </w:rPr>
        <w:t>或</w:t>
      </w:r>
      <w:r>
        <w:rPr>
          <w:sz w:val="24"/>
          <w:szCs w:val="24"/>
        </w:rPr>
        <w:t>)</w:t>
      </w:r>
      <w:r>
        <w:rPr>
          <w:rFonts w:hint="eastAsia"/>
          <w:sz w:val="24"/>
          <w:szCs w:val="24"/>
        </w:rPr>
        <w:t>修改文件。</w:t>
      </w:r>
    </w:p>
    <w:p>
      <w:pPr>
        <w:autoSpaceDE/>
        <w:autoSpaceDN/>
        <w:snapToGrid w:val="0"/>
        <w:spacing w:line="360" w:lineRule="auto"/>
        <w:ind w:firstLine="480" w:firstLineChars="200"/>
        <w:rPr>
          <w:sz w:val="24"/>
          <w:szCs w:val="24"/>
        </w:rPr>
      </w:pPr>
      <w:r>
        <w:rPr>
          <w:sz w:val="24"/>
          <w:szCs w:val="24"/>
        </w:rPr>
        <w:t xml:space="preserve">3.2.3 </w:t>
      </w:r>
      <w:r>
        <w:rPr>
          <w:rFonts w:hint="eastAsia"/>
          <w:sz w:val="24"/>
          <w:szCs w:val="24"/>
        </w:rPr>
        <w:t>如果招标人在检查投标人根据上文第</w:t>
      </w:r>
      <w:r>
        <w:rPr>
          <w:sz w:val="24"/>
          <w:szCs w:val="24"/>
        </w:rPr>
        <w:t xml:space="preserve"> 3.2.2 </w:t>
      </w:r>
      <w:r>
        <w:rPr>
          <w:rFonts w:hint="eastAsia"/>
          <w:sz w:val="24"/>
          <w:szCs w:val="24"/>
        </w:rPr>
        <w:t>项提交的工程量差异问题后认为没有必要对工程量清单进行补充和</w:t>
      </w:r>
      <w:r>
        <w:rPr>
          <w:sz w:val="24"/>
          <w:szCs w:val="24"/>
        </w:rPr>
        <w:t>(</w:t>
      </w:r>
      <w:r>
        <w:rPr>
          <w:rFonts w:hint="eastAsia"/>
          <w:sz w:val="24"/>
          <w:szCs w:val="24"/>
        </w:rPr>
        <w:t>或</w:t>
      </w:r>
      <w:r>
        <w:rPr>
          <w:sz w:val="24"/>
          <w:szCs w:val="24"/>
        </w:rPr>
        <w:t>)</w:t>
      </w:r>
      <w:r>
        <w:rPr>
          <w:rFonts w:hint="eastAsia"/>
          <w:sz w:val="24"/>
          <w:szCs w:val="24"/>
        </w:rPr>
        <w:t>修改，或者招标人根据上文第</w:t>
      </w:r>
      <w:r>
        <w:rPr>
          <w:sz w:val="24"/>
          <w:szCs w:val="24"/>
        </w:rPr>
        <w:t xml:space="preserve"> 3.2.2 </w:t>
      </w:r>
      <w:r>
        <w:rPr>
          <w:rFonts w:hint="eastAsia"/>
          <w:sz w:val="24"/>
          <w:szCs w:val="24"/>
        </w:rPr>
        <w:t>项对工程量清单进行了补充和</w:t>
      </w:r>
      <w:r>
        <w:rPr>
          <w:sz w:val="24"/>
          <w:szCs w:val="24"/>
        </w:rPr>
        <w:t>(</w:t>
      </w:r>
      <w:r>
        <w:rPr>
          <w:rFonts w:hint="eastAsia"/>
          <w:sz w:val="24"/>
          <w:szCs w:val="24"/>
        </w:rPr>
        <w:t>或</w:t>
      </w:r>
      <w:r>
        <w:rPr>
          <w:sz w:val="24"/>
          <w:szCs w:val="24"/>
        </w:rPr>
        <w:t>)</w:t>
      </w:r>
      <w:r>
        <w:rPr>
          <w:rFonts w:hint="eastAsia"/>
          <w:sz w:val="24"/>
          <w:szCs w:val="24"/>
        </w:rPr>
        <w:t>修改，但投标人认为工程量清单中的工程量依然存在差异，则此类差异不再提交招标人答疑和修正，而是直接按招标人提供的工程量清单</w:t>
      </w:r>
      <w:r>
        <w:rPr>
          <w:sz w:val="24"/>
          <w:szCs w:val="24"/>
        </w:rPr>
        <w:t>(</w:t>
      </w:r>
      <w:r>
        <w:rPr>
          <w:rFonts w:hint="eastAsia"/>
          <w:sz w:val="24"/>
          <w:szCs w:val="24"/>
        </w:rPr>
        <w:t>包括招标人可能的补充和</w:t>
      </w:r>
      <w:r>
        <w:rPr>
          <w:sz w:val="24"/>
          <w:szCs w:val="24"/>
        </w:rPr>
        <w:t>(</w:t>
      </w:r>
      <w:r>
        <w:rPr>
          <w:rFonts w:hint="eastAsia"/>
          <w:sz w:val="24"/>
          <w:szCs w:val="24"/>
        </w:rPr>
        <w:t>或</w:t>
      </w:r>
      <w:r>
        <w:rPr>
          <w:sz w:val="24"/>
          <w:szCs w:val="24"/>
        </w:rPr>
        <w:t>)</w:t>
      </w:r>
      <w:r>
        <w:rPr>
          <w:rFonts w:hint="eastAsia"/>
          <w:sz w:val="24"/>
          <w:szCs w:val="24"/>
        </w:rPr>
        <w:t>修改</w:t>
      </w:r>
      <w:r>
        <w:rPr>
          <w:sz w:val="24"/>
          <w:szCs w:val="24"/>
        </w:rPr>
        <w:t>)</w:t>
      </w:r>
      <w:r>
        <w:rPr>
          <w:rFonts w:hint="eastAsia"/>
          <w:sz w:val="24"/>
          <w:szCs w:val="24"/>
        </w:rPr>
        <w:t>进行投标报价。投标人在按照工程量清单进行报价时，除按照本节</w:t>
      </w:r>
      <w:r>
        <w:rPr>
          <w:sz w:val="24"/>
          <w:szCs w:val="24"/>
        </w:rPr>
        <w:t xml:space="preserve"> 2.7.3 </w:t>
      </w:r>
      <w:r>
        <w:rPr>
          <w:rFonts w:hint="eastAsia"/>
          <w:sz w:val="24"/>
          <w:szCs w:val="24"/>
        </w:rPr>
        <w:t>项要求对招标人提供的措施项目清单的内容进行细化或增减外，不得改变</w:t>
      </w:r>
      <w:r>
        <w:rPr>
          <w:sz w:val="24"/>
          <w:szCs w:val="24"/>
        </w:rPr>
        <w:t>(</w:t>
      </w:r>
      <w:r>
        <w:rPr>
          <w:rFonts w:hint="eastAsia"/>
          <w:sz w:val="24"/>
          <w:szCs w:val="24"/>
        </w:rPr>
        <w:t>包括对工程量清单子目的子目名称、子目特征描述、计量单位以及工程量的任何修改、增加或减少</w:t>
      </w:r>
      <w:r>
        <w:rPr>
          <w:sz w:val="24"/>
          <w:szCs w:val="24"/>
        </w:rPr>
        <w:t>)</w:t>
      </w:r>
      <w:r>
        <w:rPr>
          <w:rFonts w:hint="eastAsia"/>
          <w:sz w:val="24"/>
          <w:szCs w:val="24"/>
        </w:rPr>
        <w:t>招标人提供的分部分项工程量清单和其他项目清单。即使按照图纸和招标范围的约定并不存在的子目，只要在招标人提供的分部分项</w:t>
      </w:r>
      <w:r>
        <w:rPr>
          <w:rFonts w:hint="eastAsia"/>
          <w:sz w:val="28"/>
          <w:szCs w:val="28"/>
        </w:rPr>
        <w:t>工</w:t>
      </w:r>
      <w:r>
        <w:rPr>
          <w:rFonts w:hint="eastAsia"/>
          <w:sz w:val="24"/>
          <w:szCs w:val="24"/>
        </w:rPr>
        <w:t>程量清单中已经列明，投标人都需要对其报价，并纳入投标总价的计算。</w:t>
      </w:r>
    </w:p>
    <w:p>
      <w:pPr>
        <w:autoSpaceDE/>
        <w:autoSpaceDN/>
        <w:snapToGrid w:val="0"/>
        <w:spacing w:line="360" w:lineRule="auto"/>
        <w:ind w:firstLine="480" w:firstLineChars="200"/>
        <w:rPr>
          <w:sz w:val="24"/>
          <w:szCs w:val="24"/>
        </w:rPr>
      </w:pPr>
      <w:r>
        <w:rPr>
          <w:sz w:val="24"/>
          <w:szCs w:val="24"/>
        </w:rPr>
        <w:t xml:space="preserve">3.3 </w:t>
      </w:r>
      <w:r>
        <w:rPr>
          <w:rFonts w:hint="eastAsia"/>
          <w:sz w:val="24"/>
          <w:szCs w:val="24"/>
        </w:rPr>
        <w:t>暂列金额和暂估价</w:t>
      </w:r>
    </w:p>
    <w:p>
      <w:pPr>
        <w:autoSpaceDE/>
        <w:autoSpaceDN/>
        <w:snapToGrid w:val="0"/>
        <w:spacing w:line="360" w:lineRule="auto"/>
        <w:ind w:firstLine="480" w:firstLineChars="200"/>
        <w:rPr>
          <w:sz w:val="24"/>
          <w:szCs w:val="24"/>
        </w:rPr>
      </w:pPr>
      <w:r>
        <w:rPr>
          <w:sz w:val="24"/>
          <w:szCs w:val="24"/>
        </w:rPr>
        <w:t xml:space="preserve">3.3.1 </w:t>
      </w:r>
      <w:r>
        <w:rPr>
          <w:rFonts w:hint="eastAsia"/>
          <w:sz w:val="24"/>
          <w:szCs w:val="24"/>
        </w:rPr>
        <w:t>“暂列金额明细表”中所列暂列金额</w:t>
      </w:r>
      <w:r>
        <w:rPr>
          <w:sz w:val="24"/>
          <w:szCs w:val="24"/>
        </w:rPr>
        <w:t>(</w:t>
      </w:r>
      <w:r>
        <w:rPr>
          <w:rFonts w:hint="eastAsia"/>
          <w:sz w:val="24"/>
          <w:szCs w:val="24"/>
        </w:rPr>
        <w:t>不包括计日工金额</w:t>
      </w:r>
      <w:r>
        <w:rPr>
          <w:sz w:val="24"/>
          <w:szCs w:val="24"/>
        </w:rPr>
        <w:t>)</w:t>
      </w:r>
      <w:r>
        <w:rPr>
          <w:rFonts w:hint="eastAsia"/>
          <w:sz w:val="24"/>
          <w:szCs w:val="24"/>
        </w:rPr>
        <w:t>中已经包含与其对应的管理费、利润和规费，但不含税金。投标人应按本招标文件规定将此类暂列金额直接纳入其他项目清单的投标价格并计取相应的税金，不需要考虑除税金以外的其他任何费用。</w:t>
      </w:r>
    </w:p>
    <w:p>
      <w:pPr>
        <w:autoSpaceDE/>
        <w:autoSpaceDN/>
        <w:snapToGrid w:val="0"/>
        <w:spacing w:line="360" w:lineRule="auto"/>
        <w:ind w:firstLine="480" w:firstLineChars="200"/>
        <w:rPr>
          <w:sz w:val="24"/>
          <w:szCs w:val="24"/>
        </w:rPr>
      </w:pPr>
      <w:r>
        <w:rPr>
          <w:sz w:val="24"/>
          <w:szCs w:val="24"/>
        </w:rPr>
        <w:t xml:space="preserve">3.3.2 </w:t>
      </w:r>
      <w:r>
        <w:rPr>
          <w:rFonts w:hint="eastAsia"/>
          <w:sz w:val="24"/>
          <w:szCs w:val="24"/>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sz w:val="24"/>
          <w:szCs w:val="24"/>
        </w:rPr>
        <w:t>(</w:t>
      </w:r>
      <w:r>
        <w:rPr>
          <w:rFonts w:hint="eastAsia"/>
          <w:sz w:val="24"/>
          <w:szCs w:val="24"/>
        </w:rPr>
        <w:t>以下简称“暂估价材料和工程设备的安装及辅助工作”</w:t>
      </w:r>
      <w:r>
        <w:rPr>
          <w:sz w:val="24"/>
          <w:szCs w:val="24"/>
        </w:rPr>
        <w:t>)</w:t>
      </w:r>
      <w:r>
        <w:rPr>
          <w:rFonts w:hint="eastAsia"/>
          <w:sz w:val="24"/>
          <w:szCs w:val="24"/>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autoSpaceDE/>
        <w:autoSpaceDN/>
        <w:snapToGrid w:val="0"/>
        <w:spacing w:line="360" w:lineRule="auto"/>
        <w:ind w:firstLine="480" w:firstLineChars="200"/>
        <w:rPr>
          <w:sz w:val="24"/>
          <w:szCs w:val="24"/>
        </w:rPr>
      </w:pPr>
      <w:r>
        <w:rPr>
          <w:sz w:val="24"/>
          <w:szCs w:val="24"/>
        </w:rPr>
        <w:t xml:space="preserve">3.3.3 </w:t>
      </w:r>
      <w:r>
        <w:rPr>
          <w:rFonts w:hint="eastAsia"/>
          <w:sz w:val="24"/>
          <w:szCs w:val="24"/>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autoSpaceDE/>
        <w:autoSpaceDN/>
        <w:snapToGrid w:val="0"/>
        <w:spacing w:line="360" w:lineRule="auto"/>
        <w:ind w:firstLine="480" w:firstLineChars="200"/>
        <w:rPr>
          <w:sz w:val="24"/>
          <w:szCs w:val="24"/>
        </w:rPr>
      </w:pPr>
      <w:r>
        <w:rPr>
          <w:sz w:val="24"/>
          <w:szCs w:val="24"/>
        </w:rPr>
        <w:t xml:space="preserve">3.4 </w:t>
      </w:r>
      <w:r>
        <w:rPr>
          <w:rFonts w:hint="eastAsia"/>
          <w:sz w:val="24"/>
          <w:szCs w:val="24"/>
        </w:rPr>
        <w:t>其他补充说明</w:t>
      </w:r>
    </w:p>
    <w:p>
      <w:pPr>
        <w:spacing w:before="44" w:line="360" w:lineRule="auto"/>
        <w:ind w:left="3537" w:right="4180"/>
        <w:jc w:val="center"/>
        <w:rPr>
          <w:b/>
          <w:w w:val="110"/>
          <w:sz w:val="24"/>
          <w:szCs w:val="24"/>
        </w:rPr>
      </w:pPr>
    </w:p>
    <w:p>
      <w:pPr>
        <w:spacing w:before="44" w:line="360" w:lineRule="auto"/>
        <w:ind w:left="3537" w:right="4180"/>
        <w:jc w:val="center"/>
        <w:rPr>
          <w:b/>
          <w:w w:val="110"/>
          <w:sz w:val="24"/>
          <w:szCs w:val="24"/>
        </w:rPr>
      </w:pPr>
    </w:p>
    <w:p>
      <w:pPr>
        <w:spacing w:before="44" w:line="360" w:lineRule="auto"/>
        <w:ind w:left="3537" w:right="4180"/>
        <w:jc w:val="center"/>
        <w:rPr>
          <w:b/>
          <w:w w:val="110"/>
          <w:sz w:val="24"/>
          <w:szCs w:val="24"/>
        </w:rPr>
      </w:pPr>
    </w:p>
    <w:p>
      <w:pPr>
        <w:spacing w:line="360" w:lineRule="auto"/>
        <w:jc w:val="both"/>
        <w:rPr>
          <w:b/>
          <w:w w:val="110"/>
          <w:sz w:val="24"/>
          <w:szCs w:val="24"/>
        </w:rPr>
      </w:pPr>
    </w:p>
    <w:p>
      <w:pPr>
        <w:spacing w:line="360" w:lineRule="auto"/>
        <w:jc w:val="center"/>
        <w:rPr>
          <w:b/>
          <w:w w:val="110"/>
          <w:sz w:val="24"/>
          <w:szCs w:val="24"/>
          <w:lang w:val="en-US"/>
        </w:rPr>
      </w:pPr>
      <w:r>
        <w:rPr>
          <w:b/>
          <w:w w:val="110"/>
          <w:sz w:val="24"/>
          <w:szCs w:val="24"/>
          <w:lang w:val="en-US"/>
        </w:rPr>
        <w:t xml:space="preserve">      </w:t>
      </w:r>
    </w:p>
    <w:p>
      <w:pPr>
        <w:spacing w:line="360" w:lineRule="auto"/>
        <w:jc w:val="center"/>
        <w:rPr>
          <w:b/>
          <w:w w:val="110"/>
          <w:sz w:val="24"/>
          <w:szCs w:val="24"/>
          <w:lang w:val="en-US"/>
        </w:rPr>
      </w:pPr>
    </w:p>
    <w:p>
      <w:pPr>
        <w:spacing w:line="360" w:lineRule="auto"/>
        <w:jc w:val="center"/>
        <w:rPr>
          <w:b/>
          <w:w w:val="110"/>
          <w:sz w:val="48"/>
          <w:lang w:val="en-US"/>
        </w:rPr>
      </w:pPr>
    </w:p>
    <w:p>
      <w:pPr>
        <w:spacing w:line="360" w:lineRule="auto"/>
        <w:jc w:val="center"/>
        <w:rPr>
          <w:b/>
          <w:w w:val="110"/>
          <w:sz w:val="48"/>
          <w:lang w:val="en-US"/>
        </w:rPr>
      </w:pPr>
    </w:p>
    <w:p>
      <w:pPr>
        <w:spacing w:line="360" w:lineRule="auto"/>
        <w:jc w:val="center"/>
        <w:rPr>
          <w:b/>
          <w:w w:val="110"/>
          <w:sz w:val="48"/>
        </w:rPr>
      </w:pPr>
    </w:p>
    <w:p>
      <w:pPr>
        <w:spacing w:line="360" w:lineRule="auto"/>
        <w:jc w:val="center"/>
        <w:rPr>
          <w:b/>
          <w:w w:val="110"/>
          <w:sz w:val="48"/>
        </w:rPr>
      </w:pPr>
    </w:p>
    <w:p>
      <w:pPr>
        <w:spacing w:line="360" w:lineRule="auto"/>
        <w:jc w:val="center"/>
        <w:rPr>
          <w:b/>
          <w:w w:val="110"/>
          <w:sz w:val="48"/>
        </w:rPr>
      </w:pPr>
    </w:p>
    <w:p>
      <w:pPr>
        <w:spacing w:line="360" w:lineRule="auto"/>
        <w:jc w:val="center"/>
        <w:rPr>
          <w:b/>
          <w:w w:val="110"/>
          <w:sz w:val="48"/>
        </w:rPr>
      </w:pPr>
    </w:p>
    <w:p>
      <w:pPr>
        <w:spacing w:line="360" w:lineRule="auto"/>
        <w:jc w:val="center"/>
        <w:rPr>
          <w:b/>
          <w:w w:val="110"/>
          <w:sz w:val="48"/>
        </w:rPr>
      </w:pPr>
    </w:p>
    <w:p>
      <w:pPr>
        <w:spacing w:line="360" w:lineRule="auto"/>
        <w:jc w:val="center"/>
        <w:rPr>
          <w:b/>
          <w:w w:val="110"/>
          <w:sz w:val="48"/>
        </w:rPr>
      </w:pPr>
    </w:p>
    <w:p>
      <w:pPr>
        <w:spacing w:line="360" w:lineRule="auto"/>
        <w:jc w:val="center"/>
        <w:rPr>
          <w:b/>
          <w:w w:val="110"/>
          <w:sz w:val="48"/>
        </w:rPr>
      </w:pPr>
    </w:p>
    <w:p>
      <w:pPr>
        <w:spacing w:line="360" w:lineRule="auto"/>
        <w:jc w:val="center"/>
        <w:rPr>
          <w:b/>
          <w:sz w:val="20"/>
        </w:rPr>
      </w:pPr>
      <w:r>
        <w:rPr>
          <w:rFonts w:hint="eastAsia"/>
          <w:b/>
          <w:w w:val="110"/>
          <w:sz w:val="48"/>
        </w:rPr>
        <w:t>第六章</w:t>
      </w:r>
      <w:r>
        <w:rPr>
          <w:b/>
          <w:w w:val="110"/>
          <w:sz w:val="48"/>
        </w:rPr>
        <w:t xml:space="preserve"> </w:t>
      </w:r>
      <w:r>
        <w:rPr>
          <w:rFonts w:hint="eastAsia"/>
          <w:b/>
          <w:w w:val="110"/>
          <w:sz w:val="48"/>
        </w:rPr>
        <w:t>图纸</w:t>
      </w:r>
      <w:r>
        <w:rPr>
          <w:b/>
          <w:w w:val="110"/>
          <w:sz w:val="48"/>
        </w:rPr>
        <w:t>(</w:t>
      </w:r>
      <w:r>
        <w:rPr>
          <w:rFonts w:hint="eastAsia"/>
          <w:b/>
          <w:w w:val="110"/>
          <w:sz w:val="48"/>
        </w:rPr>
        <w:t>另册</w:t>
      </w:r>
      <w:r>
        <w:rPr>
          <w:b/>
          <w:w w:val="110"/>
          <w:sz w:val="48"/>
        </w:rPr>
        <w:t>)</w:t>
      </w: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18"/>
        <w:spacing w:line="360" w:lineRule="auto"/>
        <w:rPr>
          <w:b/>
          <w:sz w:val="20"/>
        </w:rPr>
      </w:pPr>
    </w:p>
    <w:p>
      <w:pPr>
        <w:pStyle w:val="4"/>
        <w:tabs>
          <w:tab w:val="left" w:pos="538"/>
        </w:tabs>
        <w:spacing w:line="360" w:lineRule="auto"/>
        <w:ind w:left="0" w:firstLine="281" w:firstLineChars="100"/>
        <w:rPr>
          <w:rFonts w:ascii="宋体" w:hAnsi="宋体" w:eastAsia="宋体" w:cs="宋体"/>
        </w:rPr>
      </w:pPr>
      <w:r>
        <w:rPr>
          <w:rFonts w:ascii="宋体" w:hAnsi="宋体" w:eastAsia="宋体" w:cs="宋体"/>
          <w:lang w:val="en-US"/>
        </w:rPr>
        <w:t>1.</w:t>
      </w:r>
      <w:r>
        <w:rPr>
          <w:rFonts w:hint="eastAsia" w:ascii="宋体" w:hAnsi="宋体" w:eastAsia="宋体" w:cs="宋体"/>
        </w:rPr>
        <w:t>图纸目录</w:t>
      </w:r>
    </w:p>
    <w:tbl>
      <w:tblPr>
        <w:tblStyle w:val="36"/>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06"/>
        <w:gridCol w:w="1303"/>
        <w:gridCol w:w="1303"/>
        <w:gridCol w:w="1305"/>
        <w:gridCol w:w="1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03" w:type="dxa"/>
          </w:tcPr>
          <w:p>
            <w:pPr>
              <w:pStyle w:val="59"/>
              <w:spacing w:before="152" w:line="360" w:lineRule="auto"/>
              <w:ind w:left="429" w:right="422"/>
              <w:jc w:val="center"/>
              <w:rPr>
                <w:sz w:val="20"/>
              </w:rPr>
            </w:pPr>
            <w:r>
              <w:rPr>
                <w:rFonts w:hint="eastAsia"/>
                <w:sz w:val="20"/>
              </w:rPr>
              <w:t>序号</w:t>
            </w:r>
          </w:p>
        </w:tc>
        <w:tc>
          <w:tcPr>
            <w:tcW w:w="1306" w:type="dxa"/>
          </w:tcPr>
          <w:p>
            <w:pPr>
              <w:pStyle w:val="59"/>
              <w:spacing w:before="152" w:line="360" w:lineRule="auto"/>
              <w:ind w:left="430" w:right="426"/>
              <w:jc w:val="center"/>
              <w:rPr>
                <w:sz w:val="20"/>
              </w:rPr>
            </w:pPr>
            <w:r>
              <w:rPr>
                <w:rFonts w:hint="eastAsia"/>
                <w:sz w:val="20"/>
              </w:rPr>
              <w:t>图名</w:t>
            </w:r>
          </w:p>
        </w:tc>
        <w:tc>
          <w:tcPr>
            <w:tcW w:w="1303" w:type="dxa"/>
          </w:tcPr>
          <w:p>
            <w:pPr>
              <w:pStyle w:val="59"/>
              <w:spacing w:before="152" w:line="360" w:lineRule="auto"/>
              <w:ind w:left="430" w:right="422"/>
              <w:jc w:val="center"/>
              <w:rPr>
                <w:sz w:val="20"/>
              </w:rPr>
            </w:pPr>
            <w:r>
              <w:rPr>
                <w:rFonts w:hint="eastAsia"/>
                <w:sz w:val="20"/>
              </w:rPr>
              <w:t>图号</w:t>
            </w:r>
          </w:p>
        </w:tc>
        <w:tc>
          <w:tcPr>
            <w:tcW w:w="1303" w:type="dxa"/>
          </w:tcPr>
          <w:p>
            <w:pPr>
              <w:pStyle w:val="59"/>
              <w:spacing w:before="152" w:line="360" w:lineRule="auto"/>
              <w:ind w:left="430" w:right="422"/>
              <w:jc w:val="center"/>
              <w:rPr>
                <w:sz w:val="20"/>
              </w:rPr>
            </w:pPr>
            <w:r>
              <w:rPr>
                <w:rFonts w:hint="eastAsia"/>
                <w:sz w:val="20"/>
              </w:rPr>
              <w:t>版本</w:t>
            </w:r>
          </w:p>
        </w:tc>
        <w:tc>
          <w:tcPr>
            <w:tcW w:w="1305" w:type="dxa"/>
          </w:tcPr>
          <w:p>
            <w:pPr>
              <w:pStyle w:val="59"/>
              <w:spacing w:before="152" w:line="360" w:lineRule="auto"/>
              <w:ind w:left="252"/>
              <w:rPr>
                <w:sz w:val="20"/>
              </w:rPr>
            </w:pPr>
            <w:r>
              <w:rPr>
                <w:rFonts w:hint="eastAsia"/>
                <w:sz w:val="20"/>
              </w:rPr>
              <w:t>出图日期</w:t>
            </w:r>
          </w:p>
        </w:tc>
        <w:tc>
          <w:tcPr>
            <w:tcW w:w="1867" w:type="dxa"/>
          </w:tcPr>
          <w:p>
            <w:pPr>
              <w:pStyle w:val="59"/>
              <w:spacing w:before="152" w:line="360" w:lineRule="auto"/>
              <w:ind w:left="713" w:right="704"/>
              <w:jc w:val="center"/>
              <w:rPr>
                <w:sz w:val="20"/>
              </w:rPr>
            </w:pPr>
            <w:r>
              <w:rPr>
                <w:rFonts w:hint="eastAsia"/>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03" w:type="dxa"/>
          </w:tcPr>
          <w:p>
            <w:pPr>
              <w:pStyle w:val="59"/>
              <w:spacing w:line="360" w:lineRule="auto"/>
              <w:rPr>
                <w:sz w:val="20"/>
              </w:rPr>
            </w:pPr>
          </w:p>
        </w:tc>
        <w:tc>
          <w:tcPr>
            <w:tcW w:w="1306" w:type="dxa"/>
          </w:tcPr>
          <w:p>
            <w:pPr>
              <w:pStyle w:val="59"/>
              <w:spacing w:line="360" w:lineRule="auto"/>
              <w:rPr>
                <w:sz w:val="20"/>
              </w:rPr>
            </w:pPr>
          </w:p>
        </w:tc>
        <w:tc>
          <w:tcPr>
            <w:tcW w:w="1303" w:type="dxa"/>
          </w:tcPr>
          <w:p>
            <w:pPr>
              <w:pStyle w:val="59"/>
              <w:spacing w:line="360" w:lineRule="auto"/>
              <w:rPr>
                <w:sz w:val="20"/>
              </w:rPr>
            </w:pPr>
          </w:p>
        </w:tc>
        <w:tc>
          <w:tcPr>
            <w:tcW w:w="1303" w:type="dxa"/>
          </w:tcPr>
          <w:p>
            <w:pPr>
              <w:pStyle w:val="59"/>
              <w:spacing w:line="360" w:lineRule="auto"/>
              <w:rPr>
                <w:sz w:val="20"/>
              </w:rPr>
            </w:pPr>
          </w:p>
        </w:tc>
        <w:tc>
          <w:tcPr>
            <w:tcW w:w="1305" w:type="dxa"/>
          </w:tcPr>
          <w:p>
            <w:pPr>
              <w:pStyle w:val="59"/>
              <w:spacing w:line="360" w:lineRule="auto"/>
              <w:rPr>
                <w:sz w:val="20"/>
              </w:rPr>
            </w:pPr>
          </w:p>
        </w:tc>
        <w:tc>
          <w:tcPr>
            <w:tcW w:w="1867" w:type="dxa"/>
          </w:tcPr>
          <w:p>
            <w:pPr>
              <w:pStyle w:val="59"/>
              <w:spacing w:line="360" w:lineRule="auto"/>
              <w:rPr>
                <w:sz w:val="20"/>
              </w:rPr>
            </w:pPr>
          </w:p>
        </w:tc>
      </w:tr>
    </w:tbl>
    <w:p>
      <w:pPr>
        <w:pStyle w:val="4"/>
        <w:numPr>
          <w:ilvl w:val="0"/>
          <w:numId w:val="4"/>
        </w:numPr>
        <w:tabs>
          <w:tab w:val="left" w:pos="538"/>
          <w:tab w:val="left" w:pos="1094"/>
        </w:tabs>
        <w:spacing w:before="66" w:line="360" w:lineRule="auto"/>
        <w:ind w:hanging="214"/>
        <w:rPr>
          <w:rFonts w:ascii="宋体" w:hAnsi="宋体" w:eastAsia="宋体" w:cs="宋体"/>
        </w:rPr>
      </w:pPr>
      <w:r>
        <w:rPr>
          <w:rFonts w:hint="eastAsia" w:ascii="宋体" w:hAnsi="宋体" w:eastAsia="宋体" w:cs="宋体"/>
        </w:rPr>
        <w:t>图</w:t>
      </w:r>
      <w:r>
        <w:rPr>
          <w:rFonts w:ascii="宋体" w:hAnsi="宋体" w:eastAsia="宋体" w:cs="宋体"/>
        </w:rPr>
        <w:tab/>
      </w:r>
      <w:r>
        <w:rPr>
          <w:rFonts w:hint="eastAsia" w:ascii="宋体" w:hAnsi="宋体" w:eastAsia="宋体" w:cs="宋体"/>
        </w:rPr>
        <w:t>纸</w:t>
      </w:r>
    </w:p>
    <w:p>
      <w:pPr>
        <w:spacing w:line="360" w:lineRule="auto"/>
        <w:ind w:left="744"/>
        <w:rPr>
          <w:sz w:val="21"/>
        </w:rPr>
      </w:pPr>
      <w:r>
        <w:rPr>
          <w:rFonts w:hint="eastAsia"/>
          <w:b/>
          <w:bCs/>
          <w:spacing w:val="-3"/>
          <w:sz w:val="21"/>
        </w:rPr>
        <w:t>作为招标文件组成部分的图纸（见图纸目录</w:t>
      </w:r>
      <w:r>
        <w:rPr>
          <w:rFonts w:hint="eastAsia"/>
          <w:b/>
          <w:bCs/>
          <w:spacing w:val="-108"/>
          <w:sz w:val="21"/>
        </w:rPr>
        <w:t>）</w:t>
      </w:r>
      <w:r>
        <w:rPr>
          <w:rFonts w:hint="eastAsia"/>
          <w:b/>
          <w:bCs/>
          <w:spacing w:val="-3"/>
          <w:sz w:val="21"/>
        </w:rPr>
        <w:t>，随招标文件一并提供给投标人</w:t>
      </w:r>
      <w:r>
        <w:rPr>
          <w:rFonts w:hint="eastAsia"/>
          <w:spacing w:val="-3"/>
          <w:sz w:val="21"/>
        </w:rPr>
        <w:t>。</w:t>
      </w:r>
    </w:p>
    <w:p>
      <w:pPr>
        <w:spacing w:line="360" w:lineRule="auto"/>
        <w:rPr>
          <w:sz w:val="21"/>
        </w:rPr>
        <w:sectPr>
          <w:footerReference r:id="rId25" w:type="default"/>
          <w:pgSz w:w="11910" w:h="16840"/>
          <w:pgMar w:top="1338" w:right="567" w:bottom="567" w:left="1320" w:header="0" w:footer="918" w:gutter="0"/>
          <w:cols w:space="0" w:num="1"/>
        </w:sectPr>
      </w:pPr>
    </w:p>
    <w:p>
      <w:pPr>
        <w:spacing w:line="360" w:lineRule="auto"/>
        <w:ind w:left="198" w:right="1086"/>
        <w:jc w:val="center"/>
        <w:rPr>
          <w:b/>
          <w:sz w:val="48"/>
        </w:rPr>
      </w:pPr>
      <w:bookmarkStart w:id="800" w:name="_bookmark17"/>
      <w:bookmarkEnd w:id="800"/>
    </w:p>
    <w:p>
      <w:pPr>
        <w:spacing w:line="360" w:lineRule="auto"/>
        <w:ind w:left="198" w:right="1086"/>
        <w:jc w:val="center"/>
        <w:rPr>
          <w:b/>
          <w:sz w:val="48"/>
        </w:rPr>
      </w:pPr>
    </w:p>
    <w:p>
      <w:pPr>
        <w:spacing w:line="360" w:lineRule="auto"/>
        <w:ind w:left="198" w:right="1086"/>
        <w:jc w:val="center"/>
        <w:rPr>
          <w:b/>
          <w:sz w:val="48"/>
        </w:rPr>
      </w:pPr>
    </w:p>
    <w:p>
      <w:pPr>
        <w:spacing w:line="360" w:lineRule="auto"/>
        <w:ind w:left="198" w:right="1086"/>
        <w:jc w:val="center"/>
        <w:rPr>
          <w:b/>
          <w:sz w:val="48"/>
        </w:rPr>
      </w:pPr>
    </w:p>
    <w:p>
      <w:pPr>
        <w:spacing w:line="360" w:lineRule="auto"/>
        <w:ind w:left="198" w:right="1086"/>
        <w:jc w:val="center"/>
        <w:rPr>
          <w:b/>
          <w:sz w:val="48"/>
        </w:rPr>
      </w:pPr>
    </w:p>
    <w:p>
      <w:pPr>
        <w:spacing w:line="360" w:lineRule="auto"/>
        <w:ind w:left="198" w:right="1086"/>
        <w:jc w:val="center"/>
        <w:rPr>
          <w:b/>
          <w:sz w:val="48"/>
        </w:rPr>
      </w:pPr>
    </w:p>
    <w:p>
      <w:pPr>
        <w:spacing w:line="360" w:lineRule="auto"/>
        <w:ind w:left="198" w:right="1086"/>
        <w:jc w:val="center"/>
        <w:rPr>
          <w:b/>
          <w:sz w:val="48"/>
        </w:rPr>
      </w:pPr>
      <w:r>
        <w:rPr>
          <w:rFonts w:hint="eastAsia"/>
          <w:b/>
          <w:sz w:val="48"/>
        </w:rPr>
        <w:t>第七章</w:t>
      </w:r>
      <w:r>
        <w:rPr>
          <w:b/>
          <w:sz w:val="48"/>
        </w:rPr>
        <w:t xml:space="preserve"> </w:t>
      </w:r>
      <w:r>
        <w:rPr>
          <w:rFonts w:hint="eastAsia"/>
          <w:b/>
          <w:sz w:val="48"/>
        </w:rPr>
        <w:t>技术标准和要求</w:t>
      </w:r>
    </w:p>
    <w:p>
      <w:pPr>
        <w:spacing w:line="360" w:lineRule="auto"/>
        <w:jc w:val="center"/>
        <w:rPr>
          <w:sz w:val="48"/>
        </w:rPr>
        <w:sectPr>
          <w:pgSz w:w="11910" w:h="16840"/>
          <w:pgMar w:top="1340" w:right="0" w:bottom="1100" w:left="1320" w:header="0" w:footer="918" w:gutter="0"/>
          <w:cols w:space="720" w:num="1"/>
        </w:sectPr>
      </w:pPr>
    </w:p>
    <w:p>
      <w:pPr>
        <w:spacing w:line="360" w:lineRule="auto"/>
        <w:ind w:left="198" w:right="1366"/>
        <w:jc w:val="center"/>
        <w:rPr>
          <w:b/>
          <w:sz w:val="30"/>
        </w:rPr>
      </w:pPr>
      <w:r>
        <w:rPr>
          <w:rFonts w:hint="eastAsia"/>
          <w:b/>
          <w:sz w:val="30"/>
        </w:rPr>
        <w:t>第七章</w:t>
      </w:r>
      <w:r>
        <w:rPr>
          <w:b/>
          <w:sz w:val="30"/>
        </w:rPr>
        <w:t xml:space="preserve"> </w:t>
      </w:r>
      <w:r>
        <w:rPr>
          <w:rFonts w:hint="eastAsia"/>
          <w:b/>
          <w:sz w:val="30"/>
        </w:rPr>
        <w:t>技术标准和要求</w:t>
      </w:r>
    </w:p>
    <w:p>
      <w:pPr>
        <w:pStyle w:val="7"/>
        <w:spacing w:before="116" w:line="360" w:lineRule="auto"/>
        <w:ind w:left="3002" w:right="4197" w:firstLine="0"/>
        <w:jc w:val="center"/>
        <w:rPr>
          <w:rFonts w:ascii="宋体" w:hAnsi="宋体" w:eastAsia="宋体" w:cs="宋体"/>
        </w:rPr>
      </w:pPr>
      <w:r>
        <w:rPr>
          <w:rFonts w:hint="eastAsia" w:ascii="宋体" w:hAnsi="宋体" w:eastAsia="宋体" w:cs="宋体"/>
        </w:rPr>
        <w:t>第一节</w:t>
      </w:r>
      <w:r>
        <w:rPr>
          <w:rFonts w:ascii="宋体" w:hAnsi="宋体" w:eastAsia="宋体" w:cs="宋体"/>
        </w:rPr>
        <w:t xml:space="preserve"> </w:t>
      </w:r>
      <w:r>
        <w:rPr>
          <w:rFonts w:hint="eastAsia" w:ascii="宋体" w:hAnsi="宋体" w:eastAsia="宋体" w:cs="宋体"/>
        </w:rPr>
        <w:t>一般要求</w:t>
      </w:r>
    </w:p>
    <w:p>
      <w:pPr>
        <w:pStyle w:val="18"/>
        <w:spacing w:before="17" w:line="360" w:lineRule="auto"/>
        <w:rPr>
          <w:b/>
          <w:sz w:val="19"/>
        </w:rPr>
      </w:pPr>
    </w:p>
    <w:p>
      <w:pPr>
        <w:pStyle w:val="7"/>
        <w:numPr>
          <w:ilvl w:val="0"/>
          <w:numId w:val="5"/>
        </w:numPr>
        <w:tabs>
          <w:tab w:val="left" w:pos="568"/>
        </w:tabs>
        <w:spacing w:line="360" w:lineRule="auto"/>
        <w:rPr>
          <w:rFonts w:ascii="宋体" w:hAnsi="宋体" w:eastAsia="宋体" w:cs="宋体"/>
        </w:rPr>
      </w:pPr>
      <w:r>
        <w:rPr>
          <w:rFonts w:hint="eastAsia" w:ascii="宋体" w:hAnsi="宋体" w:eastAsia="宋体" w:cs="宋体"/>
        </w:rPr>
        <w:t>工程说明</w:t>
      </w:r>
    </w:p>
    <w:p>
      <w:pPr>
        <w:pStyle w:val="18"/>
        <w:spacing w:before="16" w:line="360" w:lineRule="auto"/>
        <w:rPr>
          <w:b/>
          <w:sz w:val="13"/>
        </w:rPr>
      </w:pPr>
    </w:p>
    <w:p>
      <w:pPr>
        <w:pStyle w:val="7"/>
        <w:numPr>
          <w:ilvl w:val="1"/>
          <w:numId w:val="5"/>
        </w:numPr>
        <w:tabs>
          <w:tab w:val="left" w:pos="690"/>
        </w:tabs>
        <w:spacing w:line="360" w:lineRule="auto"/>
        <w:ind w:left="689" w:hanging="366"/>
        <w:rPr>
          <w:rFonts w:ascii="宋体" w:hAnsi="宋体" w:eastAsia="宋体" w:cs="宋体"/>
          <w:b w:val="0"/>
          <w:sz w:val="22"/>
        </w:rPr>
      </w:pPr>
      <w:r>
        <w:rPr>
          <w:rFonts w:hint="eastAsia" w:ascii="宋体" w:hAnsi="宋体" w:eastAsia="宋体" w:cs="宋体"/>
        </w:rPr>
        <w:t>工程概况</w:t>
      </w:r>
    </w:p>
    <w:p>
      <w:pPr>
        <w:pStyle w:val="58"/>
        <w:numPr>
          <w:ilvl w:val="2"/>
          <w:numId w:val="5"/>
        </w:numPr>
        <w:tabs>
          <w:tab w:val="left" w:pos="926"/>
        </w:tabs>
        <w:spacing w:before="143" w:line="360" w:lineRule="auto"/>
        <w:ind w:left="925" w:hanging="602"/>
      </w:pPr>
      <w:r>
        <w:rPr>
          <w:rFonts w:hint="eastAsia"/>
          <w:sz w:val="24"/>
        </w:rPr>
        <w:t>本工程基本情况如下：</w:t>
      </w:r>
      <w:r>
        <w:rPr>
          <w:sz w:val="24"/>
        </w:rPr>
        <w:t xml:space="preserve"> </w:t>
      </w:r>
    </w:p>
    <w:p>
      <w:pPr>
        <w:pStyle w:val="18"/>
        <w:spacing w:before="202" w:line="360" w:lineRule="auto"/>
        <w:ind w:left="324"/>
      </w:pPr>
    </w:p>
    <w:p>
      <w:pPr>
        <w:pStyle w:val="18"/>
        <w:spacing w:before="66" w:line="360" w:lineRule="auto"/>
        <w:ind w:left="324"/>
      </w:pPr>
      <w:r>
        <w:rPr>
          <w:sz w:val="10"/>
          <w:u w:val="single"/>
        </w:rPr>
        <w:t xml:space="preserve">                                                                                                                                                                      </w:t>
      </w:r>
      <w:r>
        <w:rPr>
          <w:rFonts w:hint="eastAsia"/>
        </w:rPr>
        <w:t>。</w:t>
      </w:r>
    </w:p>
    <w:p>
      <w:pPr>
        <w:pStyle w:val="18"/>
        <w:spacing w:before="7" w:line="360" w:lineRule="auto"/>
        <w:rPr>
          <w:sz w:val="10"/>
        </w:rPr>
      </w:pPr>
    </w:p>
    <w:p>
      <w:pPr>
        <w:pStyle w:val="58"/>
        <w:numPr>
          <w:ilvl w:val="2"/>
          <w:numId w:val="5"/>
        </w:numPr>
        <w:tabs>
          <w:tab w:val="left" w:pos="926"/>
        </w:tabs>
        <w:spacing w:before="67" w:line="360" w:lineRule="auto"/>
        <w:ind w:left="925" w:hanging="602"/>
      </w:pPr>
      <w:r>
        <w:rPr>
          <w:rFonts w:hint="eastAsia"/>
          <w:sz w:val="24"/>
        </w:rPr>
        <w:t>本工程施工场地（现场）具体地理位置如下：</w:t>
      </w:r>
      <w:r>
        <w:rPr>
          <w:sz w:val="24"/>
        </w:rPr>
        <w:t xml:space="preserve"> </w:t>
      </w:r>
    </w:p>
    <w:p>
      <w:pPr>
        <w:pStyle w:val="18"/>
        <w:spacing w:before="201" w:line="360" w:lineRule="auto"/>
        <w:ind w:left="324"/>
      </w:pPr>
    </w:p>
    <w:p>
      <w:pPr>
        <w:pStyle w:val="18"/>
        <w:spacing w:before="7" w:line="360" w:lineRule="auto"/>
        <w:rPr>
          <w:sz w:val="10"/>
        </w:rPr>
      </w:pPr>
      <w:r>
        <w:rPr>
          <w:sz w:val="10"/>
          <w:u w:val="single"/>
        </w:rPr>
        <w:t xml:space="preserve">                                                                                                                                                                      </w:t>
      </w:r>
      <w:r>
        <w:rPr>
          <w:rFonts w:hint="eastAsia"/>
        </w:rPr>
        <w:t>。</w:t>
      </w:r>
    </w:p>
    <w:p>
      <w:pPr>
        <w:pStyle w:val="7"/>
        <w:numPr>
          <w:ilvl w:val="1"/>
          <w:numId w:val="5"/>
        </w:numPr>
        <w:tabs>
          <w:tab w:val="left" w:pos="690"/>
        </w:tabs>
        <w:spacing w:line="360" w:lineRule="auto"/>
        <w:ind w:left="689" w:hanging="366"/>
        <w:rPr>
          <w:rFonts w:ascii="宋体" w:hAnsi="宋体" w:eastAsia="宋体" w:cs="宋体"/>
          <w:b w:val="0"/>
          <w:sz w:val="22"/>
        </w:rPr>
      </w:pPr>
      <w:r>
        <w:rPr>
          <w:rFonts w:hint="eastAsia" w:ascii="宋体" w:hAnsi="宋体" w:eastAsia="宋体" w:cs="宋体"/>
        </w:rPr>
        <w:t>现场条件和周围环境</w:t>
      </w:r>
    </w:p>
    <w:p>
      <w:pPr>
        <w:pStyle w:val="58"/>
        <w:numPr>
          <w:ilvl w:val="2"/>
          <w:numId w:val="5"/>
        </w:numPr>
        <w:tabs>
          <w:tab w:val="left" w:pos="1023"/>
        </w:tabs>
        <w:spacing w:before="143" w:line="360" w:lineRule="auto"/>
        <w:ind w:left="969" w:right="1635" w:hanging="648"/>
        <w:jc w:val="both"/>
        <w:rPr>
          <w:sz w:val="24"/>
        </w:rPr>
      </w:pPr>
      <w:r>
        <w:rPr>
          <w:rFonts w:hint="eastAsia"/>
          <w:sz w:val="24"/>
        </w:rPr>
        <w:t>本工程施工场地（现场）已经具备施工条件。施工场地（现场）</w:t>
      </w:r>
      <w:r>
        <w:rPr>
          <w:rFonts w:hint="eastAsia"/>
          <w:spacing w:val="-3"/>
          <w:sz w:val="24"/>
        </w:rPr>
        <w:t>临时水源接</w:t>
      </w:r>
      <w:r>
        <w:rPr>
          <w:rFonts w:hint="eastAsia"/>
          <w:sz w:val="24"/>
        </w:rPr>
        <w:t>口位置、临时电源接口位置、临时排污口位置、建筑红线位置、道路交通和出入口、以及施工场地</w:t>
      </w:r>
      <w:r>
        <w:rPr>
          <w:rFonts w:hint="eastAsia"/>
          <w:spacing w:val="4"/>
          <w:sz w:val="24"/>
        </w:rPr>
        <w:t>（</w:t>
      </w:r>
      <w:r>
        <w:rPr>
          <w:rFonts w:hint="eastAsia"/>
          <w:sz w:val="24"/>
          <w:u w:val="single"/>
        </w:rPr>
        <w:t>现场）和周围环境等</w:t>
      </w:r>
      <w:r>
        <w:rPr>
          <w:rFonts w:hint="eastAsia"/>
          <w:spacing w:val="4"/>
          <w:sz w:val="24"/>
        </w:rPr>
        <w:t>情况见本章附件</w:t>
      </w:r>
      <w:r>
        <w:rPr>
          <w:spacing w:val="4"/>
          <w:sz w:val="24"/>
        </w:rPr>
        <w:t xml:space="preserve"> </w:t>
      </w:r>
      <w:r>
        <w:rPr>
          <w:sz w:val="24"/>
        </w:rPr>
        <w:t>A</w:t>
      </w:r>
      <w:r>
        <w:rPr>
          <w:rFonts w:hint="eastAsia"/>
          <w:spacing w:val="-3"/>
          <w:sz w:val="24"/>
        </w:rPr>
        <w:t>：施工场地</w:t>
      </w:r>
    </w:p>
    <w:p>
      <w:pPr>
        <w:pStyle w:val="18"/>
        <w:spacing w:line="360" w:lineRule="auto"/>
        <w:ind w:left="969"/>
      </w:pPr>
      <w:r>
        <w:rPr>
          <w:rFonts w:hint="eastAsia"/>
        </w:rPr>
        <w:t>（现场）现状平面图。</w:t>
      </w:r>
      <w:r>
        <w:t xml:space="preserve"> </w:t>
      </w:r>
    </w:p>
    <w:p>
      <w:pPr>
        <w:pStyle w:val="18"/>
        <w:spacing w:before="202" w:line="360" w:lineRule="auto"/>
        <w:ind w:left="324"/>
        <w:rPr>
          <w:szCs w:val="22"/>
        </w:rPr>
      </w:pPr>
      <w:r>
        <w:t>1.2.2</w:t>
      </w:r>
      <w:r>
        <w:rPr>
          <w:spacing w:val="-10"/>
        </w:rPr>
        <w:t xml:space="preserve"> </w:t>
      </w:r>
      <w:r>
        <w:rPr>
          <w:rFonts w:hint="eastAsia"/>
          <w:szCs w:val="22"/>
        </w:rPr>
        <w:t>施工场地（现场）临时供水管径。</w:t>
      </w:r>
    </w:p>
    <w:p>
      <w:pPr>
        <w:pStyle w:val="18"/>
        <w:spacing w:before="67" w:line="360" w:lineRule="auto"/>
        <w:ind w:left="984"/>
        <w:rPr>
          <w:szCs w:val="22"/>
        </w:rPr>
      </w:pPr>
      <w:r>
        <w:rPr>
          <w:rFonts w:hint="eastAsia"/>
          <w:szCs w:val="22"/>
        </w:rPr>
        <w:t>施工场地（现场）临排污管径。</w:t>
      </w:r>
    </w:p>
    <w:p>
      <w:pPr>
        <w:pStyle w:val="18"/>
        <w:spacing w:before="67" w:line="360" w:lineRule="auto"/>
        <w:ind w:firstLine="960" w:firstLineChars="400"/>
        <w:rPr>
          <w:szCs w:val="22"/>
        </w:rPr>
      </w:pPr>
      <w:r>
        <w:rPr>
          <w:rFonts w:hint="eastAsia"/>
          <w:szCs w:val="22"/>
        </w:rPr>
        <w:t>施工场地（现场）临时雨水管径。</w:t>
      </w:r>
    </w:p>
    <w:p>
      <w:pPr>
        <w:pStyle w:val="18"/>
        <w:spacing w:before="66" w:line="360" w:lineRule="auto"/>
        <w:ind w:firstLine="960" w:firstLineChars="400"/>
        <w:rPr>
          <w:szCs w:val="22"/>
        </w:rPr>
      </w:pPr>
      <w:r>
        <w:rPr>
          <w:rFonts w:hint="eastAsia"/>
          <w:szCs w:val="22"/>
        </w:rPr>
        <w:t>施工现场临供电容量（变压器输出功率</w:t>
      </w:r>
      <w:r>
        <w:rPr>
          <w:szCs w:val="22"/>
        </w:rPr>
        <w:t xml:space="preserve"> </w:t>
      </w:r>
      <w:r>
        <w:rPr>
          <w:rFonts w:hint="eastAsia"/>
          <w:szCs w:val="22"/>
        </w:rPr>
        <w:t>）。</w:t>
      </w:r>
    </w:p>
    <w:p>
      <w:pPr>
        <w:pStyle w:val="18"/>
        <w:spacing w:before="7" w:line="360" w:lineRule="auto"/>
        <w:rPr>
          <w:sz w:val="10"/>
        </w:rPr>
      </w:pPr>
    </w:p>
    <w:p>
      <w:pPr>
        <w:pStyle w:val="58"/>
        <w:numPr>
          <w:ilvl w:val="2"/>
          <w:numId w:val="6"/>
        </w:numPr>
        <w:tabs>
          <w:tab w:val="left" w:pos="926"/>
        </w:tabs>
        <w:spacing w:before="67" w:line="360" w:lineRule="auto"/>
        <w:ind w:hanging="602"/>
        <w:rPr>
          <w:sz w:val="24"/>
        </w:rPr>
      </w:pPr>
      <w:r>
        <w:rPr>
          <w:rFonts w:hint="eastAsia"/>
          <w:sz w:val="24"/>
        </w:rPr>
        <w:t>现状保留植物的品种、规格、数量如下：</w:t>
      </w:r>
      <w:r>
        <w:rPr>
          <w:sz w:val="24"/>
        </w:rPr>
        <w:t xml:space="preserve"> </w:t>
      </w:r>
    </w:p>
    <w:p>
      <w:pPr>
        <w:pStyle w:val="18"/>
        <w:spacing w:before="201" w:line="360" w:lineRule="auto"/>
        <w:ind w:left="324"/>
        <w:rPr>
          <w:u w:val="single"/>
          <w:lang w:val="en-US"/>
        </w:rPr>
      </w:pPr>
      <w:r>
        <w:rPr>
          <w:u w:val="single"/>
          <w:lang w:val="en-US"/>
        </w:rPr>
        <w:t xml:space="preserve">                                                                    </w:t>
      </w:r>
    </w:p>
    <w:p>
      <w:pPr>
        <w:pStyle w:val="18"/>
        <w:spacing w:before="9" w:line="360" w:lineRule="auto"/>
        <w:rPr>
          <w:sz w:val="10"/>
        </w:rPr>
      </w:pPr>
    </w:p>
    <w:p>
      <w:pPr>
        <w:pStyle w:val="18"/>
        <w:spacing w:before="67" w:line="360" w:lineRule="auto"/>
        <w:ind w:firstLine="480" w:firstLineChars="200"/>
      </w:pPr>
      <w:r>
        <w:rPr>
          <w:rFonts w:hint="eastAsia"/>
        </w:rPr>
        <w:t>现场及周边地上、架空管线资料和信息数据如下：</w:t>
      </w:r>
      <w:r>
        <w:t xml:space="preserve"> </w:t>
      </w:r>
    </w:p>
    <w:p>
      <w:pPr>
        <w:pStyle w:val="18"/>
        <w:spacing w:before="201" w:line="360" w:lineRule="auto"/>
        <w:ind w:left="324"/>
      </w:pPr>
      <w:r>
        <w:rPr>
          <w:sz w:val="10"/>
          <w:u w:val="single"/>
        </w:rPr>
        <w:t xml:space="preserve">                                                                                                                                                                      </w:t>
      </w:r>
      <w:r>
        <w:rPr>
          <w:rFonts w:hint="eastAsia"/>
        </w:rPr>
        <w:t>。</w:t>
      </w:r>
    </w:p>
    <w:p>
      <w:pPr>
        <w:pStyle w:val="18"/>
        <w:spacing w:before="7" w:line="360" w:lineRule="auto"/>
        <w:rPr>
          <w:sz w:val="10"/>
        </w:rPr>
      </w:pPr>
    </w:p>
    <w:p>
      <w:pPr>
        <w:pStyle w:val="18"/>
        <w:spacing w:before="66" w:line="360" w:lineRule="auto"/>
        <w:ind w:firstLine="480" w:firstLineChars="200"/>
      </w:pPr>
      <w:r>
        <w:rPr>
          <w:rFonts w:hint="eastAsia"/>
        </w:rPr>
        <w:t>现场及周边地下构筑物、地下管线资料和信息数据如下：</w:t>
      </w:r>
      <w:r>
        <w:t xml:space="preserve"> </w:t>
      </w:r>
    </w:p>
    <w:p>
      <w:pPr>
        <w:pStyle w:val="18"/>
        <w:spacing w:before="202" w:line="360" w:lineRule="auto"/>
        <w:ind w:left="324"/>
      </w:pPr>
      <w:r>
        <w:rPr>
          <w:sz w:val="10"/>
          <w:u w:val="single"/>
        </w:rPr>
        <w:t xml:space="preserve">                                                                                                                                                                      </w:t>
      </w:r>
      <w:r>
        <w:rPr>
          <w:rFonts w:hint="eastAsia"/>
        </w:rPr>
        <w:t>。</w:t>
      </w:r>
    </w:p>
    <w:p>
      <w:pPr>
        <w:pStyle w:val="18"/>
        <w:spacing w:before="7" w:line="360" w:lineRule="auto"/>
        <w:rPr>
          <w:sz w:val="10"/>
        </w:rPr>
      </w:pPr>
    </w:p>
    <w:p>
      <w:pPr>
        <w:pStyle w:val="18"/>
        <w:spacing w:before="66" w:line="360" w:lineRule="auto"/>
        <w:ind w:firstLine="480" w:firstLineChars="200"/>
      </w:pPr>
      <w:r>
        <w:rPr>
          <w:rFonts w:hint="eastAsia"/>
        </w:rPr>
        <w:t>现场条件和周围环境的其他资料和信息数据如下：</w:t>
      </w:r>
      <w:r>
        <w:t xml:space="preserve"> </w:t>
      </w:r>
    </w:p>
    <w:p>
      <w:pPr>
        <w:pStyle w:val="18"/>
        <w:spacing w:line="360" w:lineRule="auto"/>
      </w:pPr>
    </w:p>
    <w:p>
      <w:pPr>
        <w:spacing w:line="360" w:lineRule="auto"/>
        <w:sectPr>
          <w:pgSz w:w="11910" w:h="16840"/>
          <w:pgMar w:top="1300" w:right="0" w:bottom="1100" w:left="1320" w:header="0" w:footer="918" w:gutter="0"/>
          <w:cols w:space="720" w:num="1"/>
        </w:sectPr>
      </w:pPr>
      <w:r>
        <w:rPr>
          <w:sz w:val="10"/>
          <w:u w:val="single"/>
        </w:rPr>
        <w:t xml:space="preserve">                                                                                                                                                                      </w:t>
      </w:r>
      <w:r>
        <w:rPr>
          <w:rFonts w:hint="eastAsia"/>
        </w:rPr>
        <w:t>。</w:t>
      </w:r>
    </w:p>
    <w:p>
      <w:pPr>
        <w:pStyle w:val="58"/>
        <w:numPr>
          <w:ilvl w:val="2"/>
          <w:numId w:val="6"/>
        </w:numPr>
        <w:tabs>
          <w:tab w:val="left" w:pos="926"/>
        </w:tabs>
        <w:spacing w:before="45" w:line="360" w:lineRule="auto"/>
        <w:ind w:left="1043" w:right="1638" w:hanging="720"/>
        <w:rPr>
          <w:sz w:val="24"/>
        </w:rPr>
      </w:pPr>
      <w:r>
        <w:rPr>
          <w:rFonts w:hint="eastAsia"/>
          <w:spacing w:val="3"/>
          <w:sz w:val="24"/>
        </w:rPr>
        <w:t>承包人被认为已在本工程投标阶段踏勘现场时充分了解本工程现场条件和周围环境，并已在其投标时就此给予了充分的考虑。</w:t>
      </w:r>
      <w:r>
        <w:rPr>
          <w:spacing w:val="3"/>
          <w:sz w:val="24"/>
        </w:rPr>
        <w:t xml:space="preserve"> </w:t>
      </w:r>
    </w:p>
    <w:p>
      <w:pPr>
        <w:pStyle w:val="7"/>
        <w:numPr>
          <w:ilvl w:val="1"/>
          <w:numId w:val="5"/>
        </w:numPr>
        <w:tabs>
          <w:tab w:val="left" w:pos="690"/>
        </w:tabs>
        <w:spacing w:before="46" w:line="360" w:lineRule="auto"/>
        <w:ind w:left="689" w:hanging="366"/>
        <w:rPr>
          <w:rFonts w:ascii="宋体" w:hAnsi="宋体" w:eastAsia="宋体" w:cs="宋体"/>
          <w:b w:val="0"/>
          <w:sz w:val="22"/>
        </w:rPr>
      </w:pPr>
      <w:r>
        <w:rPr>
          <w:rFonts w:hint="eastAsia" w:ascii="宋体" w:hAnsi="宋体" w:eastAsia="宋体" w:cs="宋体"/>
        </w:rPr>
        <w:t>地质及水文资料</w:t>
      </w:r>
    </w:p>
    <w:p>
      <w:pPr>
        <w:pStyle w:val="18"/>
        <w:spacing w:before="143" w:line="360" w:lineRule="auto"/>
        <w:ind w:left="324"/>
      </w:pPr>
      <w:r>
        <w:t xml:space="preserve">      </w:t>
      </w:r>
      <w:r>
        <w:rPr>
          <w:rFonts w:hint="eastAsia"/>
        </w:rPr>
        <w:t>现场地质及水文资料和信息数据如下：</w:t>
      </w:r>
      <w:r>
        <w:t xml:space="preserve"> </w:t>
      </w:r>
    </w:p>
    <w:p>
      <w:pPr>
        <w:pStyle w:val="18"/>
        <w:spacing w:before="8" w:line="360" w:lineRule="auto"/>
        <w:rPr>
          <w:sz w:val="10"/>
        </w:rPr>
      </w:pPr>
      <w:r>
        <w:rPr>
          <w:sz w:val="10"/>
          <w:u w:val="single"/>
        </w:rPr>
        <w:t xml:space="preserve">                                                                                                                                                                      </w:t>
      </w:r>
      <w:r>
        <w:rPr>
          <w:rFonts w:hint="eastAsia"/>
        </w:rPr>
        <w:t>。</w:t>
      </w:r>
    </w:p>
    <w:p>
      <w:pPr>
        <w:pStyle w:val="7"/>
        <w:numPr>
          <w:ilvl w:val="1"/>
          <w:numId w:val="5"/>
        </w:numPr>
        <w:tabs>
          <w:tab w:val="left" w:pos="690"/>
        </w:tabs>
        <w:spacing w:line="360" w:lineRule="auto"/>
        <w:ind w:left="689" w:hanging="366"/>
        <w:rPr>
          <w:rFonts w:ascii="宋体" w:hAnsi="宋体" w:eastAsia="宋体" w:cs="宋体"/>
          <w:b w:val="0"/>
          <w:sz w:val="22"/>
        </w:rPr>
      </w:pPr>
      <w:r>
        <w:rPr>
          <w:rFonts w:hint="eastAsia" w:ascii="宋体" w:hAnsi="宋体" w:eastAsia="宋体" w:cs="宋体"/>
        </w:rPr>
        <w:t>资料和信息的使用</w:t>
      </w:r>
    </w:p>
    <w:p>
      <w:pPr>
        <w:pStyle w:val="58"/>
        <w:numPr>
          <w:ilvl w:val="2"/>
          <w:numId w:val="6"/>
        </w:numPr>
        <w:tabs>
          <w:tab w:val="left" w:pos="926"/>
        </w:tabs>
        <w:spacing w:before="45" w:line="360" w:lineRule="auto"/>
        <w:ind w:left="1043" w:right="1638" w:hanging="720"/>
        <w:rPr>
          <w:spacing w:val="3"/>
          <w:sz w:val="24"/>
        </w:rPr>
      </w:pPr>
      <w:r>
        <w:rPr>
          <w:rFonts w:hint="eastAsia"/>
          <w:spacing w:val="3"/>
          <w:sz w:val="24"/>
        </w:rPr>
        <w:t>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pPr>
        <w:pStyle w:val="7"/>
        <w:numPr>
          <w:ilvl w:val="0"/>
          <w:numId w:val="5"/>
        </w:numPr>
        <w:tabs>
          <w:tab w:val="left" w:pos="568"/>
        </w:tabs>
        <w:spacing w:before="186" w:line="360" w:lineRule="auto"/>
        <w:rPr>
          <w:rFonts w:ascii="宋体" w:hAnsi="宋体" w:eastAsia="宋体" w:cs="宋体"/>
        </w:rPr>
      </w:pPr>
      <w:r>
        <w:rPr>
          <w:rFonts w:hint="eastAsia" w:ascii="宋体" w:hAnsi="宋体" w:eastAsia="宋体" w:cs="宋体"/>
        </w:rPr>
        <w:t>承包范围</w:t>
      </w:r>
    </w:p>
    <w:p>
      <w:pPr>
        <w:pStyle w:val="18"/>
        <w:spacing w:before="14" w:line="360" w:lineRule="auto"/>
        <w:rPr>
          <w:b/>
          <w:sz w:val="13"/>
        </w:rPr>
      </w:pPr>
    </w:p>
    <w:p>
      <w:pPr>
        <w:pStyle w:val="7"/>
        <w:tabs>
          <w:tab w:val="left" w:pos="1347"/>
        </w:tabs>
        <w:spacing w:line="360" w:lineRule="auto"/>
        <w:ind w:left="805" w:firstLine="0"/>
        <w:rPr>
          <w:rFonts w:ascii="宋体" w:hAnsi="宋体" w:eastAsia="宋体" w:cs="宋体"/>
        </w:rPr>
      </w:pPr>
      <w:r>
        <w:rPr>
          <w:rFonts w:ascii="宋体" w:hAnsi="宋体" w:eastAsia="宋体" w:cs="宋体"/>
          <w:lang w:val="en-US"/>
        </w:rPr>
        <w:t>2.1</w:t>
      </w:r>
      <w:r>
        <w:rPr>
          <w:rFonts w:hint="eastAsia" w:ascii="宋体" w:hAnsi="宋体" w:eastAsia="宋体" w:cs="宋体"/>
        </w:rPr>
        <w:t>城市园林绿化施工企业可承包范围</w:t>
      </w:r>
    </w:p>
    <w:p>
      <w:pPr>
        <w:pStyle w:val="58"/>
        <w:numPr>
          <w:ilvl w:val="0"/>
          <w:numId w:val="7"/>
        </w:numPr>
        <w:tabs>
          <w:tab w:val="left" w:pos="1406"/>
        </w:tabs>
        <w:spacing w:before="146" w:line="360" w:lineRule="auto"/>
        <w:ind w:hanging="602"/>
        <w:rPr>
          <w:sz w:val="24"/>
        </w:rPr>
      </w:pPr>
      <w:r>
        <w:rPr>
          <w:rFonts w:hint="eastAsia"/>
          <w:sz w:val="24"/>
        </w:rPr>
        <w:t>整地、栽植、养护管理；</w:t>
      </w:r>
    </w:p>
    <w:p>
      <w:pPr>
        <w:pStyle w:val="58"/>
        <w:numPr>
          <w:ilvl w:val="0"/>
          <w:numId w:val="7"/>
        </w:numPr>
        <w:tabs>
          <w:tab w:val="left" w:pos="1520"/>
        </w:tabs>
        <w:spacing w:before="202" w:line="360" w:lineRule="auto"/>
        <w:ind w:left="324" w:right="1642" w:firstLine="479"/>
        <w:rPr>
          <w:sz w:val="24"/>
        </w:rPr>
      </w:pPr>
      <w:r>
        <w:rPr>
          <w:rFonts w:hint="eastAsia"/>
          <w:spacing w:val="-6"/>
          <w:sz w:val="24"/>
        </w:rPr>
        <w:t>园林绿化工程配套的</w:t>
      </w:r>
      <w:r>
        <w:rPr>
          <w:spacing w:val="-6"/>
          <w:sz w:val="24"/>
        </w:rPr>
        <w:t xml:space="preserve"> </w:t>
      </w:r>
      <w:r>
        <w:rPr>
          <w:sz w:val="24"/>
        </w:rPr>
        <w:t xml:space="preserve">300 </w:t>
      </w:r>
      <w:r>
        <w:rPr>
          <w:rFonts w:hint="eastAsia"/>
          <w:spacing w:val="-1"/>
          <w:sz w:val="24"/>
        </w:rPr>
        <w:t>平方米以下的单层建筑</w:t>
      </w:r>
      <w:r>
        <w:rPr>
          <w:rFonts w:hint="eastAsia"/>
          <w:sz w:val="24"/>
        </w:rPr>
        <w:t>（</w:t>
      </w:r>
      <w:r>
        <w:rPr>
          <w:rFonts w:hint="eastAsia"/>
          <w:spacing w:val="-6"/>
          <w:sz w:val="24"/>
        </w:rPr>
        <w:t>工具间、茶室、卫生</w:t>
      </w:r>
      <w:r>
        <w:rPr>
          <w:rFonts w:hint="eastAsia"/>
          <w:sz w:val="24"/>
        </w:rPr>
        <w:t>设施等</w:t>
      </w:r>
      <w:r>
        <w:rPr>
          <w:rFonts w:hint="eastAsia"/>
          <w:spacing w:val="-120"/>
          <w:sz w:val="24"/>
        </w:rPr>
        <w:t>）</w:t>
      </w:r>
      <w:r>
        <w:rPr>
          <w:rFonts w:hint="eastAsia"/>
          <w:sz w:val="24"/>
        </w:rPr>
        <w:t>；</w:t>
      </w:r>
    </w:p>
    <w:p>
      <w:pPr>
        <w:pStyle w:val="58"/>
        <w:numPr>
          <w:ilvl w:val="0"/>
          <w:numId w:val="7"/>
        </w:numPr>
        <w:tabs>
          <w:tab w:val="left" w:pos="1406"/>
        </w:tabs>
        <w:spacing w:before="122" w:line="360" w:lineRule="auto"/>
        <w:ind w:hanging="602"/>
        <w:rPr>
          <w:sz w:val="24"/>
        </w:rPr>
      </w:pPr>
      <w:r>
        <w:rPr>
          <w:rFonts w:hint="eastAsia"/>
          <w:sz w:val="24"/>
        </w:rPr>
        <w:t>小品、花坛、园路、广场铺装；</w:t>
      </w:r>
    </w:p>
    <w:p>
      <w:pPr>
        <w:pStyle w:val="58"/>
        <w:numPr>
          <w:ilvl w:val="0"/>
          <w:numId w:val="7"/>
        </w:numPr>
        <w:tabs>
          <w:tab w:val="left" w:pos="1406"/>
        </w:tabs>
        <w:spacing w:before="202" w:line="360" w:lineRule="auto"/>
        <w:ind w:left="324" w:right="1640" w:firstLine="479"/>
        <w:rPr>
          <w:sz w:val="24"/>
        </w:rPr>
      </w:pPr>
      <w:r>
        <w:rPr>
          <w:rFonts w:hint="eastAsia"/>
          <w:spacing w:val="-2"/>
          <w:sz w:val="24"/>
        </w:rPr>
        <w:t>水系、喷泉、假山、雕塑、驳岸、单跨</w:t>
      </w:r>
      <w:r>
        <w:rPr>
          <w:spacing w:val="-2"/>
          <w:sz w:val="24"/>
        </w:rPr>
        <w:t xml:space="preserve"> </w:t>
      </w:r>
      <w:r>
        <w:rPr>
          <w:sz w:val="24"/>
        </w:rPr>
        <w:t>15</w:t>
      </w:r>
      <w:r>
        <w:rPr>
          <w:rFonts w:hint="eastAsia"/>
          <w:sz w:val="24"/>
        </w:rPr>
        <w:t>米</w:t>
      </w:r>
      <w:r>
        <w:rPr>
          <w:sz w:val="24"/>
        </w:rPr>
        <w:t>/10</w:t>
      </w:r>
      <w:r>
        <w:rPr>
          <w:rFonts w:hint="eastAsia"/>
          <w:spacing w:val="-3"/>
          <w:sz w:val="24"/>
        </w:rPr>
        <w:t>米以下的园林景观人行</w:t>
      </w:r>
      <w:r>
        <w:rPr>
          <w:rFonts w:hint="eastAsia"/>
          <w:sz w:val="24"/>
        </w:rPr>
        <w:t>桥梁、码头；</w:t>
      </w:r>
    </w:p>
    <w:p>
      <w:pPr>
        <w:pStyle w:val="58"/>
        <w:numPr>
          <w:ilvl w:val="0"/>
          <w:numId w:val="7"/>
        </w:numPr>
        <w:tabs>
          <w:tab w:val="left" w:pos="1406"/>
        </w:tabs>
        <w:spacing w:before="122" w:line="360" w:lineRule="auto"/>
        <w:ind w:hanging="602"/>
        <w:rPr>
          <w:sz w:val="24"/>
        </w:rPr>
      </w:pPr>
      <w:r>
        <w:rPr>
          <w:rFonts w:hint="eastAsia"/>
          <w:sz w:val="24"/>
        </w:rPr>
        <w:t>其他园林设施、设备安装工程。</w:t>
      </w:r>
    </w:p>
    <w:p>
      <w:pPr>
        <w:pStyle w:val="7"/>
        <w:tabs>
          <w:tab w:val="left" w:pos="1467"/>
        </w:tabs>
        <w:spacing w:before="125" w:line="360" w:lineRule="auto"/>
        <w:ind w:left="805" w:firstLine="0"/>
        <w:rPr>
          <w:rFonts w:ascii="宋体" w:hAnsi="宋体" w:eastAsia="宋体" w:cs="宋体"/>
        </w:rPr>
      </w:pPr>
      <w:r>
        <w:rPr>
          <w:rFonts w:ascii="宋体" w:hAnsi="宋体" w:eastAsia="宋体" w:cs="宋体"/>
          <w:lang w:val="en-US"/>
        </w:rPr>
        <w:t>2.2</w:t>
      </w:r>
      <w:r>
        <w:rPr>
          <w:rFonts w:hint="eastAsia" w:ascii="宋体" w:hAnsi="宋体" w:eastAsia="宋体" w:cs="宋体"/>
        </w:rPr>
        <w:t>承包人自行施工范围</w:t>
      </w:r>
    </w:p>
    <w:p>
      <w:pPr>
        <w:pStyle w:val="58"/>
        <w:numPr>
          <w:ilvl w:val="2"/>
          <w:numId w:val="5"/>
        </w:numPr>
        <w:tabs>
          <w:tab w:val="left" w:pos="1345"/>
        </w:tabs>
        <w:spacing w:before="144" w:line="360" w:lineRule="auto"/>
        <w:ind w:left="1344" w:hanging="541"/>
        <w:rPr>
          <w:sz w:val="24"/>
        </w:rPr>
      </w:pPr>
      <w:r>
        <w:rPr>
          <w:rFonts w:hint="eastAsia"/>
          <w:sz w:val="24"/>
        </w:rPr>
        <w:t>本工程承包人自行施工的工程范围如下：</w:t>
      </w:r>
    </w:p>
    <w:p>
      <w:pPr>
        <w:pStyle w:val="18"/>
        <w:spacing w:before="7" w:line="360" w:lineRule="auto"/>
      </w:pPr>
      <w:r>
        <w:rPr>
          <w:sz w:val="10"/>
          <w:u w:val="single"/>
        </w:rPr>
        <w:t xml:space="preserve">                                                                                                                                                                      </w:t>
      </w:r>
      <w:r>
        <w:rPr>
          <w:rFonts w:hint="eastAsia"/>
        </w:rPr>
        <w:t>。</w:t>
      </w:r>
    </w:p>
    <w:p>
      <w:pPr>
        <w:pStyle w:val="58"/>
        <w:numPr>
          <w:ilvl w:val="2"/>
          <w:numId w:val="5"/>
        </w:numPr>
        <w:tabs>
          <w:tab w:val="left" w:pos="1345"/>
        </w:tabs>
        <w:spacing w:before="201" w:line="360" w:lineRule="auto"/>
        <w:ind w:left="1344" w:hanging="541"/>
        <w:rPr>
          <w:sz w:val="24"/>
        </w:rPr>
      </w:pPr>
      <w:r>
        <w:rPr>
          <w:rFonts w:hint="eastAsia"/>
          <w:sz w:val="24"/>
        </w:rPr>
        <w:t>本工程允许承包人在投标阶段分包的工程如下：</w:t>
      </w:r>
    </w:p>
    <w:p>
      <w:pPr>
        <w:pStyle w:val="18"/>
        <w:spacing w:before="201" w:line="360" w:lineRule="auto"/>
        <w:ind w:left="324"/>
      </w:pPr>
      <w:r>
        <w:rPr>
          <w:sz w:val="10"/>
          <w:u w:val="single"/>
        </w:rPr>
        <w:t xml:space="preserve">                                                                                                                                                                      </w:t>
      </w:r>
      <w:r>
        <w:rPr>
          <w:rFonts w:hint="eastAsia"/>
        </w:rPr>
        <w:t>。</w:t>
      </w:r>
    </w:p>
    <w:p>
      <w:pPr>
        <w:spacing w:line="360" w:lineRule="auto"/>
        <w:sectPr>
          <w:pgSz w:w="11910" w:h="16840"/>
          <w:pgMar w:top="1300" w:right="0" w:bottom="1100" w:left="1320" w:header="0" w:footer="918" w:gutter="0"/>
          <w:cols w:space="720" w:num="1"/>
        </w:sectPr>
      </w:pPr>
    </w:p>
    <w:p>
      <w:pPr>
        <w:pStyle w:val="7"/>
        <w:tabs>
          <w:tab w:val="left" w:pos="1467"/>
        </w:tabs>
        <w:spacing w:line="360" w:lineRule="auto"/>
        <w:ind w:left="805" w:firstLine="0"/>
        <w:rPr>
          <w:rFonts w:ascii="宋体" w:hAnsi="宋体" w:eastAsia="宋体" w:cs="宋体"/>
        </w:rPr>
      </w:pPr>
      <w:r>
        <w:rPr>
          <w:rFonts w:ascii="宋体" w:hAnsi="宋体" w:eastAsia="宋体" w:cs="宋体"/>
          <w:lang w:val="en-US"/>
        </w:rPr>
        <w:t>2.3</w:t>
      </w:r>
      <w:r>
        <w:rPr>
          <w:rFonts w:hint="eastAsia" w:ascii="宋体" w:hAnsi="宋体" w:eastAsia="宋体" w:cs="宋体"/>
        </w:rPr>
        <w:t>承包范围内的暂估价工程</w:t>
      </w:r>
    </w:p>
    <w:p>
      <w:pPr>
        <w:pStyle w:val="58"/>
        <w:numPr>
          <w:ilvl w:val="2"/>
          <w:numId w:val="5"/>
        </w:numPr>
        <w:tabs>
          <w:tab w:val="left" w:pos="1407"/>
        </w:tabs>
        <w:spacing w:line="360" w:lineRule="auto"/>
        <w:ind w:left="324" w:right="1651" w:firstLine="479"/>
        <w:rPr>
          <w:sz w:val="24"/>
        </w:rPr>
      </w:pPr>
      <w:r>
        <w:rPr>
          <w:rFonts w:hint="eastAsia"/>
          <w:sz w:val="24"/>
        </w:rPr>
        <w:t>承包范围内以暂估价形式实施的专业工程见第五章“招标工程量清单”</w:t>
      </w:r>
      <w:r>
        <w:rPr>
          <w:sz w:val="24"/>
        </w:rPr>
        <w:t xml:space="preserve"> </w:t>
      </w:r>
      <w:r>
        <w:rPr>
          <w:rFonts w:hint="eastAsia"/>
          <w:spacing w:val="-31"/>
          <w:sz w:val="24"/>
        </w:rPr>
        <w:t>表</w:t>
      </w:r>
      <w:r>
        <w:rPr>
          <w:spacing w:val="-31"/>
          <w:sz w:val="24"/>
        </w:rPr>
        <w:t xml:space="preserve"> </w:t>
      </w:r>
      <w:r>
        <w:rPr>
          <w:sz w:val="24"/>
        </w:rPr>
        <w:t>4.10-3</w:t>
      </w:r>
      <w:r>
        <w:rPr>
          <w:rFonts w:hint="eastAsia"/>
          <w:spacing w:val="-11"/>
          <w:sz w:val="24"/>
        </w:rPr>
        <w:t>“专业工程暂估价表”。</w:t>
      </w:r>
    </w:p>
    <w:p>
      <w:pPr>
        <w:pStyle w:val="58"/>
        <w:numPr>
          <w:ilvl w:val="2"/>
          <w:numId w:val="5"/>
        </w:numPr>
        <w:tabs>
          <w:tab w:val="left" w:pos="1407"/>
        </w:tabs>
        <w:spacing w:line="360" w:lineRule="auto"/>
        <w:ind w:left="324" w:right="1651" w:firstLine="479"/>
        <w:rPr>
          <w:sz w:val="24"/>
        </w:rPr>
      </w:pPr>
      <w:r>
        <w:rPr>
          <w:rFonts w:hint="eastAsia"/>
          <w:sz w:val="24"/>
        </w:rPr>
        <w:t>承包范围内以暂估价形式实施的材料和工程设备见第五章“招标工程量</w:t>
      </w:r>
      <w:r>
        <w:rPr>
          <w:rFonts w:hint="eastAsia"/>
          <w:spacing w:val="-13"/>
          <w:sz w:val="24"/>
        </w:rPr>
        <w:t>清单”表</w:t>
      </w:r>
      <w:r>
        <w:rPr>
          <w:spacing w:val="-13"/>
          <w:sz w:val="24"/>
        </w:rPr>
        <w:t xml:space="preserve"> </w:t>
      </w:r>
      <w:r>
        <w:rPr>
          <w:sz w:val="24"/>
        </w:rPr>
        <w:t>4.10-2</w:t>
      </w:r>
      <w:r>
        <w:rPr>
          <w:rFonts w:hint="eastAsia"/>
          <w:spacing w:val="-10"/>
          <w:sz w:val="24"/>
        </w:rPr>
        <w:t>“材料和工程设备暂估表”。</w:t>
      </w:r>
    </w:p>
    <w:p>
      <w:pPr>
        <w:pStyle w:val="58"/>
        <w:numPr>
          <w:ilvl w:val="2"/>
          <w:numId w:val="5"/>
        </w:numPr>
        <w:tabs>
          <w:tab w:val="left" w:pos="1405"/>
        </w:tabs>
        <w:spacing w:line="360" w:lineRule="auto"/>
        <w:ind w:left="324" w:right="1641" w:firstLine="479"/>
        <w:rPr>
          <w:sz w:val="24"/>
        </w:rPr>
      </w:pPr>
      <w:r>
        <w:rPr>
          <w:rFonts w:hint="eastAsia"/>
          <w:spacing w:val="-7"/>
          <w:sz w:val="24"/>
        </w:rPr>
        <w:t>上述暂估价工程与本节第</w:t>
      </w:r>
      <w:r>
        <w:rPr>
          <w:spacing w:val="-7"/>
          <w:sz w:val="24"/>
        </w:rPr>
        <w:t xml:space="preserve"> </w:t>
      </w:r>
      <w:r>
        <w:rPr>
          <w:sz w:val="24"/>
        </w:rPr>
        <w:t>2.1.1</w:t>
      </w:r>
      <w:r>
        <w:rPr>
          <w:rFonts w:hint="eastAsia"/>
          <w:spacing w:val="-1"/>
          <w:sz w:val="24"/>
        </w:rPr>
        <w:t>项承包人自行施工范围的工作界面划分如</w:t>
      </w:r>
      <w:r>
        <w:rPr>
          <w:rFonts w:hint="eastAsia"/>
          <w:sz w:val="24"/>
        </w:rPr>
        <w:t>下：</w:t>
      </w:r>
    </w:p>
    <w:p>
      <w:pPr>
        <w:pStyle w:val="18"/>
        <w:spacing w:line="360" w:lineRule="auto"/>
        <w:ind w:left="324"/>
      </w:pPr>
      <w:r>
        <w:rPr>
          <w:sz w:val="10"/>
          <w:u w:val="single"/>
        </w:rPr>
        <w:t xml:space="preserve">                                                                                                                                                                      </w:t>
      </w:r>
      <w:r>
        <w:rPr>
          <w:rFonts w:hint="eastAsia"/>
        </w:rPr>
        <w:t>。</w:t>
      </w:r>
    </w:p>
    <w:p>
      <w:pPr>
        <w:pStyle w:val="7"/>
        <w:tabs>
          <w:tab w:val="left" w:pos="1467"/>
        </w:tabs>
        <w:spacing w:line="360" w:lineRule="auto"/>
        <w:ind w:left="805" w:firstLine="0"/>
        <w:jc w:val="both"/>
        <w:rPr>
          <w:rFonts w:ascii="宋体" w:hAnsi="宋体" w:eastAsia="宋体" w:cs="宋体"/>
        </w:rPr>
      </w:pPr>
      <w:r>
        <w:rPr>
          <w:rFonts w:ascii="宋体" w:hAnsi="宋体" w:eastAsia="宋体" w:cs="宋体"/>
          <w:lang w:val="en-US"/>
        </w:rPr>
        <w:t>2.4</w:t>
      </w:r>
      <w:r>
        <w:rPr>
          <w:rFonts w:hint="eastAsia" w:ascii="宋体" w:hAnsi="宋体" w:eastAsia="宋体" w:cs="宋体"/>
        </w:rPr>
        <w:t>承包范围内的暂列金额工程</w:t>
      </w:r>
    </w:p>
    <w:p>
      <w:pPr>
        <w:pStyle w:val="58"/>
        <w:numPr>
          <w:ilvl w:val="2"/>
          <w:numId w:val="5"/>
        </w:numPr>
        <w:tabs>
          <w:tab w:val="left" w:pos="1405"/>
        </w:tabs>
        <w:spacing w:line="360" w:lineRule="auto"/>
        <w:ind w:left="324" w:right="1640" w:firstLine="479"/>
        <w:jc w:val="both"/>
        <w:rPr>
          <w:sz w:val="24"/>
        </w:rPr>
      </w:pPr>
      <w:r>
        <w:rPr>
          <w:rFonts w:hint="eastAsia"/>
          <w:spacing w:val="-7"/>
          <w:sz w:val="24"/>
        </w:rPr>
        <w:t>以暂列金额方式实施的工程见第五章“招标工程量清单”表</w:t>
      </w:r>
      <w:r>
        <w:rPr>
          <w:spacing w:val="-7"/>
          <w:sz w:val="24"/>
        </w:rPr>
        <w:t xml:space="preserve"> </w:t>
      </w:r>
      <w:r>
        <w:rPr>
          <w:spacing w:val="-5"/>
          <w:sz w:val="24"/>
        </w:rPr>
        <w:t>4.10-1</w:t>
      </w:r>
      <w:r>
        <w:rPr>
          <w:rFonts w:hint="eastAsia"/>
          <w:spacing w:val="-7"/>
          <w:sz w:val="24"/>
        </w:rPr>
        <w:t>“暂列</w:t>
      </w:r>
      <w:r>
        <w:rPr>
          <w:rFonts w:hint="eastAsia"/>
          <w:spacing w:val="-18"/>
          <w:sz w:val="24"/>
        </w:rPr>
        <w:t>金额明细表”。</w:t>
      </w:r>
    </w:p>
    <w:p>
      <w:pPr>
        <w:pStyle w:val="58"/>
        <w:numPr>
          <w:ilvl w:val="2"/>
          <w:numId w:val="5"/>
        </w:numPr>
        <w:tabs>
          <w:tab w:val="left" w:pos="1407"/>
        </w:tabs>
        <w:spacing w:line="360" w:lineRule="auto"/>
        <w:ind w:left="324" w:right="1641" w:firstLine="479"/>
        <w:jc w:val="both"/>
        <w:rPr>
          <w:sz w:val="24"/>
        </w:rPr>
      </w:pPr>
      <w:r>
        <w:rPr>
          <w:rFonts w:hint="eastAsia"/>
          <w:sz w:val="24"/>
        </w:rPr>
        <w:t>暂列金额明细表中所列暂列金额可能不发生，也可能部分发生。即便发</w:t>
      </w:r>
      <w:r>
        <w:rPr>
          <w:rFonts w:hint="eastAsia"/>
          <w:spacing w:val="-6"/>
          <w:sz w:val="24"/>
        </w:rPr>
        <w:t>生，监理人按照合同约定发出的使用暂列金额的指示也不限于只能用于表中所列子</w:t>
      </w:r>
      <w:r>
        <w:rPr>
          <w:rFonts w:hint="eastAsia"/>
          <w:sz w:val="24"/>
        </w:rPr>
        <w:t>目。</w:t>
      </w:r>
    </w:p>
    <w:p>
      <w:pPr>
        <w:pStyle w:val="58"/>
        <w:numPr>
          <w:ilvl w:val="2"/>
          <w:numId w:val="5"/>
        </w:numPr>
        <w:tabs>
          <w:tab w:val="left" w:pos="1407"/>
        </w:tabs>
        <w:spacing w:line="360" w:lineRule="auto"/>
        <w:ind w:left="324" w:right="1651" w:firstLine="479"/>
        <w:jc w:val="both"/>
        <w:rPr>
          <w:sz w:val="24"/>
        </w:rPr>
      </w:pPr>
      <w:r>
        <w:rPr>
          <w:rFonts w:hint="eastAsia"/>
          <w:sz w:val="24"/>
        </w:rPr>
        <w:t>暂列金额是否实际发生、其再分和合并等均不应成为承包人要求任何追加费用和</w:t>
      </w:r>
      <w:r>
        <w:rPr>
          <w:sz w:val="24"/>
        </w:rPr>
        <w:t>(</w:t>
      </w:r>
      <w:r>
        <w:rPr>
          <w:rFonts w:hint="eastAsia"/>
          <w:sz w:val="24"/>
        </w:rPr>
        <w:t>或</w:t>
      </w:r>
      <w:r>
        <w:rPr>
          <w:sz w:val="24"/>
        </w:rPr>
        <w:t>)</w:t>
      </w:r>
      <w:r>
        <w:rPr>
          <w:rFonts w:hint="eastAsia"/>
          <w:sz w:val="24"/>
        </w:rPr>
        <w:t>延长工期的理由。</w:t>
      </w:r>
    </w:p>
    <w:p>
      <w:pPr>
        <w:pStyle w:val="58"/>
        <w:numPr>
          <w:ilvl w:val="2"/>
          <w:numId w:val="5"/>
        </w:numPr>
        <w:tabs>
          <w:tab w:val="left" w:pos="1405"/>
        </w:tabs>
        <w:spacing w:line="360" w:lineRule="auto"/>
        <w:ind w:left="1404" w:hanging="601"/>
        <w:jc w:val="both"/>
        <w:rPr>
          <w:sz w:val="24"/>
        </w:rPr>
      </w:pPr>
      <w:r>
        <w:rPr>
          <w:rFonts w:hint="eastAsia"/>
          <w:sz w:val="24"/>
        </w:rPr>
        <w:t>关于暂列金额的其他说明：</w:t>
      </w:r>
    </w:p>
    <w:p>
      <w:pPr>
        <w:pStyle w:val="7"/>
        <w:numPr>
          <w:ilvl w:val="1"/>
          <w:numId w:val="5"/>
        </w:numPr>
        <w:tabs>
          <w:tab w:val="left" w:pos="1467"/>
        </w:tabs>
        <w:spacing w:line="360" w:lineRule="auto"/>
        <w:ind w:left="1466" w:hanging="661"/>
        <w:rPr>
          <w:rFonts w:ascii="宋体" w:hAnsi="宋体" w:eastAsia="宋体" w:cs="宋体"/>
        </w:rPr>
      </w:pPr>
      <w:r>
        <w:rPr>
          <w:rFonts w:ascii="宋体" w:hAnsi="宋体" w:eastAsia="宋体" w:cs="宋体"/>
          <w:sz w:val="10"/>
          <w:u w:val="single"/>
        </w:rPr>
        <w:t xml:space="preserve">                                                                                                                                                                      </w:t>
      </w:r>
      <w:r>
        <w:rPr>
          <w:rFonts w:hint="eastAsia" w:ascii="宋体" w:hAnsi="宋体" w:eastAsia="宋体" w:cs="宋体"/>
        </w:rPr>
        <w:t>。</w:t>
      </w:r>
    </w:p>
    <w:p>
      <w:pPr>
        <w:pStyle w:val="7"/>
        <w:tabs>
          <w:tab w:val="left" w:pos="1467"/>
        </w:tabs>
        <w:spacing w:before="108" w:line="360" w:lineRule="auto"/>
        <w:ind w:left="805" w:firstLine="0"/>
        <w:rPr>
          <w:rFonts w:ascii="宋体" w:hAnsi="宋体" w:eastAsia="宋体" w:cs="宋体"/>
        </w:rPr>
      </w:pPr>
      <w:r>
        <w:rPr>
          <w:rFonts w:ascii="宋体" w:hAnsi="宋体" w:eastAsia="宋体" w:cs="宋体"/>
          <w:lang w:val="en-US"/>
        </w:rPr>
        <w:t>2.6</w:t>
      </w:r>
      <w:r>
        <w:rPr>
          <w:rFonts w:hint="eastAsia" w:ascii="宋体" w:hAnsi="宋体" w:eastAsia="宋体" w:cs="宋体"/>
        </w:rPr>
        <w:t>承包范围外的计日工工程</w:t>
      </w:r>
    </w:p>
    <w:p>
      <w:pPr>
        <w:pStyle w:val="58"/>
        <w:numPr>
          <w:ilvl w:val="2"/>
          <w:numId w:val="5"/>
        </w:numPr>
        <w:tabs>
          <w:tab w:val="left" w:pos="1345"/>
        </w:tabs>
        <w:spacing w:line="360" w:lineRule="auto"/>
        <w:ind w:left="1344" w:hanging="541"/>
        <w:rPr>
          <w:sz w:val="24"/>
        </w:rPr>
      </w:pPr>
      <w:r>
        <w:rPr>
          <w:rFonts w:hint="eastAsia"/>
          <w:spacing w:val="-5"/>
          <w:sz w:val="24"/>
        </w:rPr>
        <w:t>以计日工方式实施的工程见第五章“工程量清单”表</w:t>
      </w:r>
      <w:r>
        <w:rPr>
          <w:spacing w:val="-5"/>
          <w:sz w:val="24"/>
        </w:rPr>
        <w:t xml:space="preserve"> </w:t>
      </w:r>
      <w:r>
        <w:rPr>
          <w:sz w:val="24"/>
        </w:rPr>
        <w:t>4.10-4</w:t>
      </w:r>
      <w:r>
        <w:rPr>
          <w:rFonts w:hint="eastAsia"/>
          <w:spacing w:val="-18"/>
          <w:sz w:val="24"/>
        </w:rPr>
        <w:t>“计日工表”。</w:t>
      </w:r>
    </w:p>
    <w:p>
      <w:pPr>
        <w:pStyle w:val="58"/>
        <w:numPr>
          <w:ilvl w:val="2"/>
          <w:numId w:val="5"/>
        </w:numPr>
        <w:tabs>
          <w:tab w:val="left" w:pos="1345"/>
        </w:tabs>
        <w:spacing w:line="360" w:lineRule="auto"/>
        <w:ind w:left="324" w:right="1641" w:firstLine="479"/>
        <w:jc w:val="both"/>
        <w:rPr>
          <w:sz w:val="24"/>
        </w:rPr>
      </w:pPr>
      <w:r>
        <w:rPr>
          <w:rFonts w:hint="eastAsia"/>
          <w:spacing w:val="-4"/>
          <w:sz w:val="24"/>
        </w:rPr>
        <w:t>计日工适用的零星工作一般指合同约定之外的或者因变更而产生的、工程</w:t>
      </w:r>
      <w:r>
        <w:rPr>
          <w:rFonts w:hint="eastAsia"/>
          <w:spacing w:val="-3"/>
          <w:sz w:val="24"/>
        </w:rPr>
        <w:t>量清单中没有设立相应子目的额外工作，尤其是那些时间不允许事先商定价格的额</w:t>
      </w:r>
      <w:r>
        <w:rPr>
          <w:rFonts w:hint="eastAsia"/>
          <w:sz w:val="24"/>
        </w:rPr>
        <w:t>外工作。</w:t>
      </w:r>
    </w:p>
    <w:p>
      <w:pPr>
        <w:pStyle w:val="58"/>
        <w:numPr>
          <w:ilvl w:val="2"/>
          <w:numId w:val="5"/>
        </w:numPr>
        <w:tabs>
          <w:tab w:val="left" w:pos="1352"/>
        </w:tabs>
        <w:spacing w:line="360" w:lineRule="auto"/>
        <w:ind w:left="324" w:right="1637" w:firstLine="479"/>
        <w:jc w:val="both"/>
        <w:rPr>
          <w:sz w:val="24"/>
        </w:rPr>
      </w:pPr>
      <w:r>
        <w:rPr>
          <w:rFonts w:hint="eastAsia"/>
          <w:sz w:val="24"/>
        </w:rPr>
        <w:t>计日工劳务按工日（</w:t>
      </w:r>
      <w:r>
        <w:rPr>
          <w:sz w:val="24"/>
        </w:rPr>
        <w:t>8</w:t>
      </w:r>
      <w:r>
        <w:rPr>
          <w:rFonts w:hint="eastAsia"/>
          <w:sz w:val="24"/>
        </w:rPr>
        <w:t>小时）</w:t>
      </w:r>
      <w:r>
        <w:rPr>
          <w:rFonts w:hint="eastAsia"/>
          <w:spacing w:val="-9"/>
          <w:sz w:val="24"/>
        </w:rPr>
        <w:t>计量，单次</w:t>
      </w:r>
      <w:r>
        <w:rPr>
          <w:spacing w:val="-9"/>
          <w:sz w:val="24"/>
        </w:rPr>
        <w:t xml:space="preserve"> </w:t>
      </w:r>
      <w:r>
        <w:rPr>
          <w:sz w:val="24"/>
        </w:rPr>
        <w:t>4</w:t>
      </w:r>
      <w:r>
        <w:rPr>
          <w:rFonts w:hint="eastAsia"/>
          <w:spacing w:val="-9"/>
          <w:sz w:val="24"/>
        </w:rPr>
        <w:t>小时以内按</w:t>
      </w:r>
      <w:r>
        <w:rPr>
          <w:spacing w:val="-9"/>
          <w:sz w:val="24"/>
        </w:rPr>
        <w:t xml:space="preserve"> </w:t>
      </w:r>
      <w:r>
        <w:rPr>
          <w:sz w:val="24"/>
        </w:rPr>
        <w:t>0.5</w:t>
      </w:r>
      <w:r>
        <w:rPr>
          <w:rFonts w:hint="eastAsia"/>
          <w:spacing w:val="-4"/>
          <w:sz w:val="24"/>
        </w:rPr>
        <w:t>个工日，单次</w:t>
      </w:r>
      <w:r>
        <w:rPr>
          <w:sz w:val="24"/>
        </w:rPr>
        <w:t>4</w:t>
      </w:r>
      <w:r>
        <w:rPr>
          <w:rFonts w:hint="eastAsia"/>
          <w:spacing w:val="-14"/>
          <w:sz w:val="24"/>
        </w:rPr>
        <w:t>小时至</w:t>
      </w:r>
      <w:r>
        <w:rPr>
          <w:spacing w:val="-14"/>
          <w:sz w:val="24"/>
        </w:rPr>
        <w:t xml:space="preserve"> </w:t>
      </w:r>
      <w:r>
        <w:rPr>
          <w:sz w:val="24"/>
        </w:rPr>
        <w:t>8</w:t>
      </w:r>
      <w:r>
        <w:rPr>
          <w:rFonts w:hint="eastAsia"/>
          <w:spacing w:val="-14"/>
          <w:sz w:val="24"/>
        </w:rPr>
        <w:t>小时按</w:t>
      </w:r>
      <w:r>
        <w:rPr>
          <w:spacing w:val="-14"/>
          <w:sz w:val="24"/>
        </w:rPr>
        <w:t xml:space="preserve"> </w:t>
      </w:r>
      <w:r>
        <w:rPr>
          <w:sz w:val="24"/>
        </w:rPr>
        <w:t>1</w:t>
      </w:r>
      <w:r>
        <w:rPr>
          <w:rFonts w:hint="eastAsia"/>
          <w:spacing w:val="-1"/>
          <w:sz w:val="24"/>
        </w:rPr>
        <w:t>个工日，加班时间按照国家劳动法律法规的规定办理。实施计</w:t>
      </w:r>
      <w:r>
        <w:rPr>
          <w:rFonts w:hint="eastAsia"/>
          <w:spacing w:val="2"/>
          <w:sz w:val="24"/>
        </w:rPr>
        <w:t>日工的劳务人员仅应包括直接从事计日工工作的工人和班组长</w:t>
      </w:r>
      <w:r>
        <w:rPr>
          <w:rFonts w:hint="eastAsia"/>
          <w:spacing w:val="4"/>
          <w:sz w:val="24"/>
        </w:rPr>
        <w:t>（</w:t>
      </w:r>
      <w:r>
        <w:rPr>
          <w:rFonts w:hint="eastAsia"/>
          <w:spacing w:val="2"/>
          <w:sz w:val="24"/>
        </w:rPr>
        <w:t>如果有</w:t>
      </w:r>
      <w:r>
        <w:rPr>
          <w:rFonts w:hint="eastAsia"/>
          <w:spacing w:val="-118"/>
          <w:sz w:val="24"/>
        </w:rPr>
        <w:t>）</w:t>
      </w:r>
      <w:r>
        <w:rPr>
          <w:rFonts w:hint="eastAsia"/>
          <w:spacing w:val="2"/>
          <w:sz w:val="24"/>
        </w:rPr>
        <w:t>，不应包</w:t>
      </w:r>
      <w:r>
        <w:rPr>
          <w:rFonts w:hint="eastAsia"/>
          <w:sz w:val="24"/>
        </w:rPr>
        <w:t>括工长及其以上管理人员。</w:t>
      </w:r>
    </w:p>
    <w:p>
      <w:pPr>
        <w:pStyle w:val="58"/>
        <w:numPr>
          <w:ilvl w:val="2"/>
          <w:numId w:val="5"/>
        </w:numPr>
        <w:tabs>
          <w:tab w:val="left" w:pos="1345"/>
        </w:tabs>
        <w:spacing w:line="360" w:lineRule="auto"/>
        <w:ind w:left="324" w:right="1640" w:firstLine="479"/>
        <w:jc w:val="both"/>
      </w:pPr>
      <w:r>
        <w:rPr>
          <w:rFonts w:hint="eastAsia"/>
          <w:spacing w:val="-4"/>
          <w:sz w:val="24"/>
        </w:rPr>
        <w:t>施工机械按台班计量</w:t>
      </w:r>
      <w:r>
        <w:rPr>
          <w:rFonts w:hint="eastAsia"/>
          <w:sz w:val="24"/>
        </w:rPr>
        <w:t>（</w:t>
      </w:r>
      <w:r>
        <w:rPr>
          <w:sz w:val="24"/>
        </w:rPr>
        <w:t xml:space="preserve">8 </w:t>
      </w:r>
      <w:r>
        <w:rPr>
          <w:rFonts w:hint="eastAsia"/>
          <w:sz w:val="24"/>
        </w:rPr>
        <w:t>小时</w:t>
      </w:r>
      <w:r>
        <w:rPr>
          <w:rFonts w:hint="eastAsia"/>
          <w:spacing w:val="-74"/>
          <w:sz w:val="24"/>
        </w:rPr>
        <w:t>）</w:t>
      </w:r>
      <w:r>
        <w:rPr>
          <w:rFonts w:hint="eastAsia"/>
          <w:spacing w:val="-34"/>
          <w:sz w:val="24"/>
        </w:rPr>
        <w:t>，单次</w:t>
      </w:r>
      <w:r>
        <w:rPr>
          <w:spacing w:val="-34"/>
          <w:sz w:val="24"/>
        </w:rPr>
        <w:t xml:space="preserve"> </w:t>
      </w:r>
      <w:r>
        <w:rPr>
          <w:sz w:val="24"/>
        </w:rPr>
        <w:t>4</w:t>
      </w:r>
      <w:r>
        <w:rPr>
          <w:rFonts w:hint="eastAsia"/>
          <w:spacing w:val="-10"/>
          <w:sz w:val="24"/>
        </w:rPr>
        <w:t>小时以内按</w:t>
      </w:r>
      <w:r>
        <w:rPr>
          <w:spacing w:val="-10"/>
          <w:sz w:val="24"/>
        </w:rPr>
        <w:t xml:space="preserve"> </w:t>
      </w:r>
      <w:r>
        <w:rPr>
          <w:sz w:val="24"/>
        </w:rPr>
        <w:t xml:space="preserve">0.5 </w:t>
      </w:r>
      <w:r>
        <w:rPr>
          <w:rFonts w:hint="eastAsia"/>
          <w:spacing w:val="-13"/>
          <w:sz w:val="24"/>
        </w:rPr>
        <w:t>个台班，单次</w:t>
      </w:r>
      <w:r>
        <w:rPr>
          <w:spacing w:val="-13"/>
          <w:sz w:val="24"/>
        </w:rPr>
        <w:t xml:space="preserve"> </w:t>
      </w:r>
      <w:r>
        <w:rPr>
          <w:sz w:val="24"/>
        </w:rPr>
        <w:t xml:space="preserve">4 </w:t>
      </w:r>
      <w:r>
        <w:rPr>
          <w:rFonts w:hint="eastAsia"/>
          <w:spacing w:val="-13"/>
          <w:sz w:val="24"/>
        </w:rPr>
        <w:t>小</w:t>
      </w:r>
      <w:r>
        <w:rPr>
          <w:rFonts w:hint="eastAsia"/>
          <w:spacing w:val="-21"/>
          <w:sz w:val="24"/>
        </w:rPr>
        <w:t>时至</w:t>
      </w:r>
      <w:r>
        <w:rPr>
          <w:spacing w:val="-21"/>
          <w:sz w:val="24"/>
        </w:rPr>
        <w:t xml:space="preserve"> </w:t>
      </w:r>
      <w:r>
        <w:rPr>
          <w:sz w:val="24"/>
        </w:rPr>
        <w:t xml:space="preserve">8 </w:t>
      </w:r>
      <w:r>
        <w:rPr>
          <w:rFonts w:hint="eastAsia"/>
          <w:spacing w:val="-15"/>
          <w:sz w:val="24"/>
        </w:rPr>
        <w:t>小时按</w:t>
      </w:r>
      <w:r>
        <w:rPr>
          <w:spacing w:val="-15"/>
          <w:sz w:val="24"/>
        </w:rPr>
        <w:t xml:space="preserve"> </w:t>
      </w:r>
      <w:r>
        <w:rPr>
          <w:sz w:val="24"/>
        </w:rPr>
        <w:t xml:space="preserve">1 </w:t>
      </w:r>
      <w:r>
        <w:rPr>
          <w:rFonts w:hint="eastAsia"/>
          <w:spacing w:val="-5"/>
          <w:sz w:val="24"/>
        </w:rPr>
        <w:t>个台班，操作人员加班时间按照国家劳动法律法规的规定办理。计</w:t>
      </w:r>
      <w:r>
        <w:rPr>
          <w:rFonts w:hint="eastAsia"/>
        </w:rPr>
        <w:t>日工如果需要使用场外施工机械，台班费用和进出场费用按市场平均价格，由承包人事后报监理人审批。</w:t>
      </w:r>
    </w:p>
    <w:p>
      <w:pPr>
        <w:pStyle w:val="58"/>
        <w:numPr>
          <w:ilvl w:val="2"/>
          <w:numId w:val="5"/>
        </w:numPr>
        <w:tabs>
          <w:tab w:val="left" w:pos="1345"/>
        </w:tabs>
        <w:spacing w:line="360" w:lineRule="auto"/>
        <w:ind w:left="1344" w:hanging="541"/>
      </w:pPr>
      <w:r>
        <w:rPr>
          <w:rFonts w:hint="eastAsia"/>
          <w:sz w:val="24"/>
        </w:rPr>
        <w:t>关于计日工的其他约定：</w:t>
      </w:r>
    </w:p>
    <w:p>
      <w:pPr>
        <w:pStyle w:val="18"/>
        <w:spacing w:line="360" w:lineRule="auto"/>
      </w:pPr>
      <w:r>
        <w:rPr>
          <w:sz w:val="10"/>
          <w:u w:val="single"/>
        </w:rPr>
        <w:t xml:space="preserve">                                                                                                                                                                      </w:t>
      </w:r>
      <w:r>
        <w:rPr>
          <w:rFonts w:hint="eastAsia"/>
        </w:rPr>
        <w:t>。</w:t>
      </w:r>
    </w:p>
    <w:p>
      <w:pPr>
        <w:pStyle w:val="7"/>
        <w:tabs>
          <w:tab w:val="left" w:pos="1467"/>
        </w:tabs>
        <w:spacing w:line="360" w:lineRule="auto"/>
        <w:ind w:left="805" w:firstLine="0"/>
        <w:rPr>
          <w:rFonts w:ascii="宋体" w:hAnsi="宋体" w:eastAsia="宋体" w:cs="宋体"/>
        </w:rPr>
      </w:pPr>
      <w:r>
        <w:rPr>
          <w:rFonts w:ascii="宋体" w:hAnsi="宋体" w:eastAsia="宋体" w:cs="宋体"/>
          <w:lang w:val="en-US"/>
        </w:rPr>
        <w:t>2.7</w:t>
      </w:r>
      <w:r>
        <w:rPr>
          <w:rFonts w:hint="eastAsia" w:ascii="宋体" w:hAnsi="宋体" w:eastAsia="宋体" w:cs="宋体"/>
        </w:rPr>
        <w:t>发包人发包专业工程和发包人供应的材料和工程设备</w:t>
      </w:r>
    </w:p>
    <w:p>
      <w:pPr>
        <w:pStyle w:val="58"/>
        <w:numPr>
          <w:ilvl w:val="2"/>
          <w:numId w:val="5"/>
        </w:numPr>
        <w:tabs>
          <w:tab w:val="left" w:pos="1407"/>
        </w:tabs>
        <w:spacing w:line="360" w:lineRule="auto"/>
        <w:ind w:left="324" w:right="1651" w:firstLine="479"/>
        <w:rPr>
          <w:sz w:val="24"/>
        </w:rPr>
      </w:pPr>
      <w:r>
        <w:rPr>
          <w:rFonts w:hint="eastAsia"/>
          <w:sz w:val="24"/>
        </w:rPr>
        <w:t>由发包人发包的专业工程属于与本工程有关的其他工程，不属于承包人的承包范围。发包人发包的专业工程如下：</w:t>
      </w:r>
    </w:p>
    <w:p>
      <w:pPr>
        <w:pStyle w:val="18"/>
        <w:spacing w:line="360" w:lineRule="auto"/>
        <w:ind w:left="324"/>
      </w:pPr>
      <w:r>
        <w:rPr>
          <w:sz w:val="10"/>
          <w:u w:val="single"/>
        </w:rPr>
        <w:t xml:space="preserve">                                                                                                                                                                      </w:t>
      </w:r>
      <w:r>
        <w:rPr>
          <w:rFonts w:hint="eastAsia"/>
        </w:rPr>
        <w:t>。</w:t>
      </w:r>
    </w:p>
    <w:p>
      <w:pPr>
        <w:pStyle w:val="58"/>
        <w:numPr>
          <w:ilvl w:val="2"/>
          <w:numId w:val="5"/>
        </w:numPr>
        <w:tabs>
          <w:tab w:val="left" w:pos="1407"/>
        </w:tabs>
        <w:spacing w:line="360" w:lineRule="auto"/>
        <w:ind w:left="324" w:right="1651" w:firstLine="479"/>
        <w:rPr>
          <w:sz w:val="24"/>
        </w:rPr>
      </w:pPr>
      <w:r>
        <w:rPr>
          <w:rFonts w:hint="eastAsia"/>
          <w:sz w:val="24"/>
        </w:rPr>
        <w:t>由发包人供应的材料和工程设备不属于承包人的承包范围。发包人供应</w:t>
      </w:r>
      <w:r>
        <w:rPr>
          <w:rFonts w:hint="eastAsia"/>
          <w:spacing w:val="-4"/>
          <w:sz w:val="24"/>
        </w:rPr>
        <w:t>的材料和工程设备见合同附件二“发包人供应的材料和工程设备一览表”。</w:t>
      </w:r>
    </w:p>
    <w:p>
      <w:pPr>
        <w:pStyle w:val="7"/>
        <w:tabs>
          <w:tab w:val="left" w:pos="1467"/>
        </w:tabs>
        <w:spacing w:line="360" w:lineRule="auto"/>
        <w:ind w:left="805" w:firstLine="0"/>
        <w:rPr>
          <w:rFonts w:ascii="宋体" w:hAnsi="宋体" w:eastAsia="宋体" w:cs="宋体"/>
        </w:rPr>
      </w:pPr>
      <w:r>
        <w:rPr>
          <w:rFonts w:ascii="宋体" w:hAnsi="宋体" w:eastAsia="宋体" w:cs="宋体"/>
          <w:lang w:val="en-US"/>
        </w:rPr>
        <w:t>2.8</w:t>
      </w:r>
      <w:r>
        <w:rPr>
          <w:rFonts w:hint="eastAsia" w:ascii="宋体" w:hAnsi="宋体" w:eastAsia="宋体" w:cs="宋体"/>
        </w:rPr>
        <w:t>承包人与发包人发包专业工程承包人的工作界面</w:t>
      </w:r>
    </w:p>
    <w:p>
      <w:pPr>
        <w:pStyle w:val="18"/>
        <w:spacing w:line="360" w:lineRule="auto"/>
        <w:ind w:left="324" w:right="1629" w:firstLine="479"/>
      </w:pPr>
      <w:r>
        <w:rPr>
          <w:rFonts w:hint="eastAsia"/>
        </w:rPr>
        <w:t>承包人与发包人发包专业工程承包人以及与发包人供应的材料和设备的供应商之间的工作界面划分如下：</w:t>
      </w:r>
    </w:p>
    <w:p>
      <w:pPr>
        <w:pStyle w:val="18"/>
        <w:spacing w:line="360" w:lineRule="auto"/>
        <w:ind w:left="324"/>
      </w:pPr>
      <w:r>
        <w:rPr>
          <w:sz w:val="10"/>
          <w:u w:val="single"/>
        </w:rPr>
        <w:t xml:space="preserve">                                                                                                                                                                      </w:t>
      </w:r>
      <w:r>
        <w:rPr>
          <w:rFonts w:hint="eastAsia"/>
        </w:rPr>
        <w:t>。</w:t>
      </w:r>
    </w:p>
    <w:p>
      <w:pPr>
        <w:pStyle w:val="7"/>
        <w:tabs>
          <w:tab w:val="left" w:pos="1467"/>
        </w:tabs>
        <w:spacing w:line="360" w:lineRule="auto"/>
        <w:ind w:left="805" w:firstLine="0"/>
        <w:rPr>
          <w:rFonts w:ascii="宋体" w:hAnsi="宋体" w:eastAsia="宋体" w:cs="宋体"/>
        </w:rPr>
      </w:pPr>
      <w:r>
        <w:rPr>
          <w:rFonts w:ascii="宋体" w:hAnsi="宋体" w:eastAsia="宋体" w:cs="宋体"/>
          <w:lang w:val="en-US"/>
        </w:rPr>
        <w:t>2.9</w:t>
      </w:r>
      <w:r>
        <w:rPr>
          <w:rFonts w:hint="eastAsia" w:ascii="宋体" w:hAnsi="宋体" w:eastAsia="宋体" w:cs="宋体"/>
        </w:rPr>
        <w:t>承包人需要为发包人和监理人提供的现场办公条件和设施</w:t>
      </w:r>
    </w:p>
    <w:p>
      <w:pPr>
        <w:pStyle w:val="18"/>
        <w:spacing w:line="360" w:lineRule="auto"/>
        <w:ind w:right="1621"/>
        <w:jc w:val="right"/>
      </w:pPr>
      <w:r>
        <w:rPr>
          <w:rFonts w:hint="eastAsia"/>
        </w:rPr>
        <w:t>承包人需要为发包人和监理人提供的现场办公条件和设施及其详细要求如下：</w:t>
      </w:r>
    </w:p>
    <w:p>
      <w:pPr>
        <w:pStyle w:val="18"/>
        <w:spacing w:line="360" w:lineRule="auto"/>
        <w:ind w:left="324"/>
        <w:rPr>
          <w:sz w:val="20"/>
        </w:rPr>
      </w:pPr>
      <w:r>
        <w:rPr>
          <w:sz w:val="10"/>
          <w:u w:val="single"/>
        </w:rPr>
        <w:t xml:space="preserve">                                                                                                                                                                      </w:t>
      </w:r>
      <w:r>
        <w:rPr>
          <w:rFonts w:hint="eastAsia"/>
        </w:rPr>
        <w:t>。</w:t>
      </w:r>
    </w:p>
    <w:p>
      <w:pPr>
        <w:pStyle w:val="7"/>
        <w:numPr>
          <w:ilvl w:val="0"/>
          <w:numId w:val="5"/>
        </w:numPr>
        <w:tabs>
          <w:tab w:val="left" w:pos="568"/>
        </w:tabs>
        <w:spacing w:line="360" w:lineRule="auto"/>
        <w:rPr>
          <w:rFonts w:ascii="宋体" w:hAnsi="宋体" w:eastAsia="宋体" w:cs="宋体"/>
        </w:rPr>
      </w:pPr>
      <w:r>
        <w:rPr>
          <w:rFonts w:hint="eastAsia" w:ascii="宋体" w:hAnsi="宋体" w:eastAsia="宋体" w:cs="宋体"/>
        </w:rPr>
        <w:t>工期要求</w:t>
      </w:r>
    </w:p>
    <w:p>
      <w:pPr>
        <w:pStyle w:val="7"/>
        <w:numPr>
          <w:ilvl w:val="1"/>
          <w:numId w:val="5"/>
        </w:numPr>
        <w:tabs>
          <w:tab w:val="left" w:pos="690"/>
        </w:tabs>
        <w:spacing w:line="360" w:lineRule="auto"/>
        <w:ind w:left="689" w:hanging="366"/>
        <w:rPr>
          <w:rFonts w:ascii="宋体" w:hAnsi="宋体" w:eastAsia="宋体" w:cs="宋体"/>
          <w:b w:val="0"/>
        </w:rPr>
      </w:pPr>
      <w:r>
        <w:rPr>
          <w:rFonts w:hint="eastAsia" w:ascii="宋体" w:hAnsi="宋体" w:eastAsia="宋体" w:cs="宋体"/>
        </w:rPr>
        <w:t>合同工期</w:t>
      </w:r>
    </w:p>
    <w:p>
      <w:pPr>
        <w:pStyle w:val="18"/>
        <w:spacing w:line="360" w:lineRule="auto"/>
        <w:ind w:left="324" w:right="1594" w:firstLine="479"/>
      </w:pPr>
      <w:r>
        <w:rPr>
          <w:rFonts w:hint="eastAsia"/>
        </w:rPr>
        <w:t>本工程合同工期和计划开、竣工日期为承包人在投标函附录中承诺的工期和计划开、竣工日期，并在合同协议书中载明。</w:t>
      </w:r>
      <w:r>
        <w:t xml:space="preserve"> </w:t>
      </w:r>
    </w:p>
    <w:p>
      <w:pPr>
        <w:pStyle w:val="7"/>
        <w:numPr>
          <w:ilvl w:val="1"/>
          <w:numId w:val="5"/>
        </w:numPr>
        <w:tabs>
          <w:tab w:val="left" w:pos="688"/>
        </w:tabs>
        <w:spacing w:line="360" w:lineRule="auto"/>
        <w:ind w:left="687" w:hanging="364"/>
        <w:rPr>
          <w:rFonts w:ascii="宋体" w:hAnsi="宋体" w:eastAsia="宋体" w:cs="宋体"/>
        </w:rPr>
      </w:pPr>
      <w:r>
        <w:rPr>
          <w:rFonts w:hint="eastAsia" w:ascii="宋体" w:hAnsi="宋体" w:eastAsia="宋体" w:cs="宋体"/>
        </w:rPr>
        <w:t>关于工期的一般规定</w:t>
      </w:r>
    </w:p>
    <w:p>
      <w:pPr>
        <w:pStyle w:val="58"/>
        <w:numPr>
          <w:ilvl w:val="2"/>
          <w:numId w:val="5"/>
        </w:numPr>
        <w:tabs>
          <w:tab w:val="left" w:pos="1406"/>
        </w:tabs>
        <w:spacing w:line="360" w:lineRule="auto"/>
        <w:ind w:left="324" w:right="1640" w:firstLine="479"/>
        <w:jc w:val="both"/>
      </w:pPr>
      <w:r>
        <w:rPr>
          <w:rFonts w:hint="eastAsia"/>
          <w:spacing w:val="-3"/>
          <w:sz w:val="24"/>
          <w:szCs w:val="24"/>
        </w:rPr>
        <w:t>承包人在投标函中承诺的工期和计划开、竣工日期之间发生矛盾或者不</w:t>
      </w:r>
      <w:r>
        <w:rPr>
          <w:rFonts w:hint="eastAsia"/>
          <w:spacing w:val="-1"/>
          <w:sz w:val="24"/>
          <w:szCs w:val="24"/>
        </w:rPr>
        <w:t>一致时，以承包人承诺的工期为准。实际开工日期以合同条款第</w:t>
      </w:r>
      <w:r>
        <w:rPr>
          <w:spacing w:val="-1"/>
          <w:sz w:val="24"/>
          <w:szCs w:val="24"/>
        </w:rPr>
        <w:t xml:space="preserve"> </w:t>
      </w:r>
      <w:r>
        <w:rPr>
          <w:sz w:val="24"/>
          <w:szCs w:val="24"/>
        </w:rPr>
        <w:t>10</w:t>
      </w:r>
      <w:r>
        <w:rPr>
          <w:spacing w:val="-5"/>
          <w:sz w:val="24"/>
          <w:szCs w:val="24"/>
        </w:rPr>
        <w:t xml:space="preserve"> </w:t>
      </w:r>
      <w:r>
        <w:rPr>
          <w:rFonts w:hint="eastAsia"/>
          <w:spacing w:val="-5"/>
          <w:sz w:val="24"/>
          <w:szCs w:val="24"/>
        </w:rPr>
        <w:t>条约定的开工</w:t>
      </w:r>
      <w:r>
        <w:rPr>
          <w:rFonts w:hint="eastAsia"/>
          <w:spacing w:val="-3"/>
          <w:sz w:val="24"/>
          <w:szCs w:val="24"/>
        </w:rPr>
        <w:t>日期或监理人发出的开工通知中载明的开工日期为准。合同没有约定的，以进场后</w:t>
      </w:r>
      <w:r>
        <w:rPr>
          <w:rFonts w:hint="eastAsia"/>
          <w:sz w:val="24"/>
          <w:szCs w:val="24"/>
        </w:rPr>
        <w:t>发包人正式通知的监理人为准。</w:t>
      </w:r>
      <w:r>
        <w:rPr>
          <w:sz w:val="24"/>
        </w:rPr>
        <w:t xml:space="preserve"> </w:t>
      </w:r>
    </w:p>
    <w:p>
      <w:pPr>
        <w:spacing w:line="360" w:lineRule="auto"/>
        <w:jc w:val="both"/>
        <w:sectPr>
          <w:pgSz w:w="11910" w:h="16840"/>
          <w:pgMar w:top="1300" w:right="0" w:bottom="1100" w:left="1320" w:header="0" w:footer="918" w:gutter="0"/>
          <w:cols w:space="720" w:num="1"/>
        </w:sectPr>
      </w:pPr>
    </w:p>
    <w:p>
      <w:pPr>
        <w:pStyle w:val="58"/>
        <w:numPr>
          <w:ilvl w:val="2"/>
          <w:numId w:val="5"/>
        </w:numPr>
        <w:tabs>
          <w:tab w:val="left" w:pos="1406"/>
        </w:tabs>
        <w:spacing w:line="360" w:lineRule="auto"/>
        <w:ind w:left="324" w:right="1636" w:firstLine="479"/>
        <w:jc w:val="both"/>
        <w:rPr>
          <w:sz w:val="24"/>
          <w:szCs w:val="24"/>
        </w:rPr>
      </w:pPr>
      <w:r>
        <w:rPr>
          <w:rFonts w:hint="eastAsia"/>
          <w:spacing w:val="7"/>
          <w:sz w:val="24"/>
          <w:szCs w:val="24"/>
        </w:rPr>
        <w:t>如果承包人在投标函附录中承诺的工期提前于发包人在本工程招标文</w:t>
      </w:r>
      <w:r>
        <w:rPr>
          <w:rFonts w:hint="eastAsia"/>
          <w:spacing w:val="-3"/>
          <w:sz w:val="24"/>
          <w:szCs w:val="24"/>
        </w:rPr>
        <w:t>件中所要求的工期，承包人在施工组织设计中应当制定相应的工期保证措施，由此</w:t>
      </w:r>
      <w:r>
        <w:rPr>
          <w:rFonts w:hint="eastAsia"/>
          <w:spacing w:val="-5"/>
          <w:sz w:val="24"/>
          <w:szCs w:val="24"/>
        </w:rPr>
        <w:t>而增加的费用应当被认为已经包括在投标总价中。除合同另有约定外，合同履约过</w:t>
      </w:r>
      <w:r>
        <w:rPr>
          <w:rFonts w:hint="eastAsia"/>
          <w:spacing w:val="-7"/>
          <w:sz w:val="24"/>
          <w:szCs w:val="24"/>
        </w:rPr>
        <w:t>程中发包人不会因此再向承包人支付任何性质的技术措施费用、赶工费用或其他任</w:t>
      </w:r>
      <w:r>
        <w:rPr>
          <w:rFonts w:hint="eastAsia"/>
          <w:sz w:val="24"/>
          <w:szCs w:val="24"/>
        </w:rPr>
        <w:t>何性质的提前完工奖励等费用。</w:t>
      </w:r>
      <w:r>
        <w:rPr>
          <w:sz w:val="24"/>
          <w:szCs w:val="24"/>
        </w:rPr>
        <w:t xml:space="preserve"> </w:t>
      </w:r>
    </w:p>
    <w:p>
      <w:pPr>
        <w:pStyle w:val="58"/>
        <w:numPr>
          <w:ilvl w:val="2"/>
          <w:numId w:val="5"/>
        </w:numPr>
        <w:tabs>
          <w:tab w:val="left" w:pos="1406"/>
        </w:tabs>
        <w:spacing w:line="360" w:lineRule="auto"/>
        <w:ind w:left="1405" w:hanging="602"/>
        <w:rPr>
          <w:sz w:val="24"/>
          <w:szCs w:val="24"/>
        </w:rPr>
      </w:pPr>
      <w:r>
        <w:rPr>
          <w:rFonts w:hint="eastAsia"/>
          <w:spacing w:val="13"/>
          <w:sz w:val="24"/>
          <w:szCs w:val="24"/>
        </w:rPr>
        <w:t>承包人在投标函附录中所承诺的工期应当包括实施并完成本节上述</w:t>
      </w:r>
    </w:p>
    <w:p>
      <w:pPr>
        <w:pStyle w:val="18"/>
        <w:spacing w:line="360" w:lineRule="auto"/>
        <w:ind w:left="324" w:right="1641"/>
      </w:pPr>
      <w:r>
        <w:t>2.1.2</w:t>
      </w:r>
      <w:r>
        <w:rPr>
          <w:spacing w:val="-11"/>
        </w:rPr>
        <w:t xml:space="preserve"> </w:t>
      </w:r>
      <w:r>
        <w:rPr>
          <w:rFonts w:hint="eastAsia"/>
          <w:spacing w:val="-11"/>
        </w:rPr>
        <w:t>项规定的暂估价工程和上述</w:t>
      </w:r>
      <w:r>
        <w:rPr>
          <w:spacing w:val="-11"/>
        </w:rPr>
        <w:t xml:space="preserve"> </w:t>
      </w:r>
      <w:r>
        <w:t>2.1.3</w:t>
      </w:r>
      <w:r>
        <w:rPr>
          <w:spacing w:val="-8"/>
        </w:rPr>
        <w:t xml:space="preserve"> </w:t>
      </w:r>
      <w:r>
        <w:rPr>
          <w:rFonts w:hint="eastAsia"/>
          <w:spacing w:val="-8"/>
        </w:rPr>
        <w:t>项规定的实际可能发生的暂列金额在内的</w:t>
      </w:r>
      <w:r>
        <w:rPr>
          <w:rFonts w:hint="eastAsia"/>
        </w:rPr>
        <w:t>所有工作的工期。</w:t>
      </w:r>
      <w:r>
        <w:t xml:space="preserve"> </w:t>
      </w:r>
    </w:p>
    <w:p>
      <w:pPr>
        <w:pStyle w:val="7"/>
        <w:numPr>
          <w:ilvl w:val="0"/>
          <w:numId w:val="5"/>
        </w:numPr>
        <w:tabs>
          <w:tab w:val="left" w:pos="568"/>
        </w:tabs>
        <w:spacing w:line="360" w:lineRule="auto"/>
        <w:rPr>
          <w:rFonts w:ascii="宋体" w:hAnsi="宋体" w:eastAsia="宋体" w:cs="宋体"/>
        </w:rPr>
      </w:pPr>
      <w:r>
        <w:rPr>
          <w:rFonts w:hint="eastAsia" w:ascii="宋体" w:hAnsi="宋体" w:eastAsia="宋体" w:cs="宋体"/>
        </w:rPr>
        <w:t>质量要求</w:t>
      </w:r>
    </w:p>
    <w:p>
      <w:pPr>
        <w:pStyle w:val="7"/>
        <w:numPr>
          <w:ilvl w:val="1"/>
          <w:numId w:val="5"/>
        </w:numPr>
        <w:tabs>
          <w:tab w:val="left" w:pos="690"/>
        </w:tabs>
        <w:spacing w:line="360" w:lineRule="auto"/>
        <w:ind w:left="689" w:hanging="366"/>
        <w:rPr>
          <w:rFonts w:ascii="宋体" w:hAnsi="宋体" w:eastAsia="宋体" w:cs="宋体"/>
          <w:b w:val="0"/>
        </w:rPr>
      </w:pPr>
      <w:r>
        <w:rPr>
          <w:rFonts w:hint="eastAsia" w:ascii="宋体" w:hAnsi="宋体" w:eastAsia="宋体" w:cs="宋体"/>
        </w:rPr>
        <w:t>质量标准</w:t>
      </w:r>
    </w:p>
    <w:p>
      <w:pPr>
        <w:pStyle w:val="18"/>
        <w:tabs>
          <w:tab w:val="right" w:pos="9846"/>
        </w:tabs>
        <w:spacing w:line="360" w:lineRule="auto"/>
        <w:ind w:right="1642" w:firstLine="744" w:firstLineChars="300"/>
        <w:rPr>
          <w:spacing w:val="-220"/>
          <w:u w:val="single"/>
        </w:rPr>
      </w:pPr>
      <w:r>
        <w:rPr>
          <w:rFonts w:hint="eastAsia"/>
          <w:spacing w:val="4"/>
        </w:rPr>
        <w:t>本工程要求的质量标准为</w:t>
      </w:r>
      <w:r>
        <w:rPr>
          <w:rFonts w:hint="eastAsia"/>
          <w:spacing w:val="3"/>
          <w:u w:val="single"/>
        </w:rPr>
        <w:t>符合现行国家有关工程施工验收规范和标准的</w:t>
      </w:r>
      <w:r>
        <w:rPr>
          <w:rFonts w:hint="eastAsia"/>
          <w:spacing w:val="3"/>
          <w:u w:val="single"/>
          <w:lang w:val="en-US"/>
        </w:rPr>
        <w:t>要求（合格）</w:t>
      </w:r>
      <w:r>
        <w:rPr>
          <w:rFonts w:hint="eastAsia"/>
          <w:spacing w:val="3"/>
          <w:lang w:val="en-US"/>
        </w:rPr>
        <w:t>。</w:t>
      </w:r>
    </w:p>
    <w:p>
      <w:pPr>
        <w:pStyle w:val="7"/>
        <w:numPr>
          <w:ilvl w:val="1"/>
          <w:numId w:val="5"/>
        </w:numPr>
        <w:tabs>
          <w:tab w:val="left" w:pos="690"/>
        </w:tabs>
        <w:spacing w:line="360" w:lineRule="auto"/>
        <w:ind w:left="689" w:hanging="366"/>
        <w:rPr>
          <w:rFonts w:ascii="宋体" w:hAnsi="宋体" w:eastAsia="宋体" w:cs="宋体"/>
        </w:rPr>
      </w:pPr>
      <w:r>
        <w:rPr>
          <w:rFonts w:hint="eastAsia" w:ascii="宋体" w:hAnsi="宋体" w:eastAsia="宋体" w:cs="宋体"/>
        </w:rPr>
        <w:t>特殊质量要求</w:t>
      </w:r>
    </w:p>
    <w:p>
      <w:pPr>
        <w:pStyle w:val="58"/>
        <w:numPr>
          <w:ilvl w:val="2"/>
          <w:numId w:val="5"/>
        </w:numPr>
        <w:tabs>
          <w:tab w:val="left" w:pos="926"/>
        </w:tabs>
        <w:spacing w:line="360" w:lineRule="auto"/>
        <w:ind w:left="925" w:hanging="602"/>
        <w:rPr>
          <w:sz w:val="24"/>
          <w:szCs w:val="24"/>
        </w:rPr>
      </w:pPr>
      <w:r>
        <w:rPr>
          <w:rFonts w:hint="eastAsia"/>
          <w:sz w:val="24"/>
          <w:szCs w:val="24"/>
        </w:rPr>
        <w:t>园林绿化工程所需植株的质量要求</w:t>
      </w:r>
      <w:r>
        <w:rPr>
          <w:sz w:val="24"/>
          <w:szCs w:val="24"/>
        </w:rPr>
        <w:t xml:space="preserve"> </w:t>
      </w:r>
    </w:p>
    <w:p>
      <w:pPr>
        <w:pStyle w:val="58"/>
        <w:numPr>
          <w:ilvl w:val="3"/>
          <w:numId w:val="5"/>
        </w:numPr>
        <w:tabs>
          <w:tab w:val="left" w:pos="1225"/>
        </w:tabs>
        <w:spacing w:line="360" w:lineRule="auto"/>
        <w:ind w:hanging="901"/>
        <w:rPr>
          <w:sz w:val="24"/>
          <w:szCs w:val="24"/>
        </w:rPr>
      </w:pPr>
      <w:r>
        <w:rPr>
          <w:rFonts w:hint="eastAsia"/>
          <w:sz w:val="24"/>
          <w:szCs w:val="24"/>
        </w:rPr>
        <w:t>木本苗应符合</w:t>
      </w:r>
      <w:r>
        <w:rPr>
          <w:sz w:val="24"/>
          <w:szCs w:val="24"/>
        </w:rPr>
        <w:t xml:space="preserve"> DB11/T 211 </w:t>
      </w:r>
      <w:r>
        <w:rPr>
          <w:rFonts w:hint="eastAsia"/>
          <w:sz w:val="24"/>
          <w:szCs w:val="24"/>
        </w:rPr>
        <w:t>的有关要求。</w:t>
      </w:r>
      <w:r>
        <w:rPr>
          <w:sz w:val="24"/>
          <w:szCs w:val="24"/>
        </w:rPr>
        <w:t xml:space="preserve"> </w:t>
      </w:r>
    </w:p>
    <w:p>
      <w:pPr>
        <w:pStyle w:val="58"/>
        <w:numPr>
          <w:ilvl w:val="3"/>
          <w:numId w:val="5"/>
        </w:numPr>
        <w:tabs>
          <w:tab w:val="left" w:pos="1225"/>
        </w:tabs>
        <w:spacing w:line="360" w:lineRule="auto"/>
        <w:ind w:hanging="901"/>
        <w:rPr>
          <w:sz w:val="24"/>
          <w:szCs w:val="24"/>
        </w:rPr>
      </w:pPr>
      <w:r>
        <w:rPr>
          <w:rFonts w:hint="eastAsia"/>
          <w:sz w:val="24"/>
          <w:szCs w:val="24"/>
        </w:rPr>
        <w:t>露地栽培花卉应符合下列规定：</w:t>
      </w:r>
      <w:r>
        <w:rPr>
          <w:sz w:val="24"/>
          <w:szCs w:val="24"/>
        </w:rPr>
        <w:t xml:space="preserve"> </w:t>
      </w:r>
    </w:p>
    <w:p>
      <w:pPr>
        <w:pStyle w:val="58"/>
        <w:numPr>
          <w:ilvl w:val="4"/>
          <w:numId w:val="5"/>
        </w:numPr>
        <w:tabs>
          <w:tab w:val="left" w:pos="1218"/>
        </w:tabs>
        <w:spacing w:line="360" w:lineRule="auto"/>
        <w:ind w:right="1635" w:hanging="874"/>
        <w:rPr>
          <w:sz w:val="24"/>
          <w:szCs w:val="24"/>
        </w:rPr>
      </w:pPr>
      <w:r>
        <w:rPr>
          <w:rFonts w:hint="eastAsia"/>
          <w:sz w:val="24"/>
          <w:szCs w:val="24"/>
        </w:rPr>
        <w:t>一、</w:t>
      </w:r>
      <w:r>
        <w:rPr>
          <w:sz w:val="24"/>
          <w:szCs w:val="24"/>
        </w:rPr>
        <w:t xml:space="preserve"> </w:t>
      </w:r>
      <w:r>
        <w:rPr>
          <w:rFonts w:hint="eastAsia"/>
          <w:sz w:val="24"/>
          <w:szCs w:val="24"/>
        </w:rPr>
        <w:t>二年生花卉，株高一般为</w:t>
      </w:r>
      <w:r>
        <w:rPr>
          <w:sz w:val="24"/>
          <w:szCs w:val="24"/>
        </w:rPr>
        <w:t xml:space="preserve"> 10cm</w:t>
      </w:r>
      <w:r>
        <w:rPr>
          <w:rFonts w:hint="eastAsia"/>
          <w:sz w:val="24"/>
          <w:szCs w:val="24"/>
        </w:rPr>
        <w:t>～</w:t>
      </w:r>
      <w:r>
        <w:rPr>
          <w:sz w:val="24"/>
          <w:szCs w:val="24"/>
        </w:rPr>
        <w:t>50cm</w:t>
      </w:r>
      <w:r>
        <w:rPr>
          <w:rFonts w:hint="eastAsia"/>
          <w:spacing w:val="2"/>
          <w:sz w:val="24"/>
          <w:szCs w:val="24"/>
        </w:rPr>
        <w:t>，冠径为</w:t>
      </w:r>
      <w:r>
        <w:rPr>
          <w:spacing w:val="2"/>
          <w:sz w:val="24"/>
          <w:szCs w:val="24"/>
        </w:rPr>
        <w:t xml:space="preserve"> </w:t>
      </w:r>
      <w:r>
        <w:rPr>
          <w:sz w:val="24"/>
          <w:szCs w:val="24"/>
        </w:rPr>
        <w:t>15cm</w:t>
      </w:r>
      <w:r>
        <w:rPr>
          <w:rFonts w:hint="eastAsia"/>
          <w:sz w:val="24"/>
          <w:szCs w:val="24"/>
        </w:rPr>
        <w:t>～</w:t>
      </w:r>
      <w:r>
        <w:rPr>
          <w:sz w:val="24"/>
          <w:szCs w:val="24"/>
        </w:rPr>
        <w:t>35cm</w:t>
      </w:r>
      <w:r>
        <w:rPr>
          <w:rFonts w:hint="eastAsia"/>
          <w:sz w:val="24"/>
          <w:szCs w:val="24"/>
        </w:rPr>
        <w:t>，分枝不少于</w:t>
      </w:r>
      <w:r>
        <w:rPr>
          <w:sz w:val="24"/>
          <w:szCs w:val="24"/>
        </w:rPr>
        <w:t xml:space="preserve"> 3</w:t>
      </w:r>
      <w:r>
        <w:rPr>
          <w:rFonts w:hint="eastAsia"/>
          <w:sz w:val="24"/>
          <w:szCs w:val="24"/>
        </w:rPr>
        <w:t>～</w:t>
      </w:r>
      <w:r>
        <w:rPr>
          <w:sz w:val="24"/>
          <w:szCs w:val="24"/>
        </w:rPr>
        <w:t xml:space="preserve">4 </w:t>
      </w:r>
      <w:r>
        <w:rPr>
          <w:rFonts w:hint="eastAsia"/>
          <w:sz w:val="24"/>
          <w:szCs w:val="24"/>
        </w:rPr>
        <w:t>个，植株健壮，色泽明亮，无病虫害。</w:t>
      </w:r>
      <w:r>
        <w:rPr>
          <w:sz w:val="24"/>
          <w:szCs w:val="24"/>
        </w:rPr>
        <w:t xml:space="preserve"> </w:t>
      </w:r>
    </w:p>
    <w:p>
      <w:pPr>
        <w:pStyle w:val="58"/>
        <w:numPr>
          <w:ilvl w:val="4"/>
          <w:numId w:val="5"/>
        </w:numPr>
        <w:tabs>
          <w:tab w:val="left" w:pos="1211"/>
        </w:tabs>
        <w:spacing w:line="360" w:lineRule="auto"/>
        <w:ind w:left="1211" w:hanging="601"/>
        <w:rPr>
          <w:sz w:val="24"/>
          <w:szCs w:val="24"/>
        </w:rPr>
      </w:pPr>
      <w:r>
        <w:rPr>
          <w:rFonts w:hint="eastAsia"/>
          <w:sz w:val="24"/>
          <w:szCs w:val="24"/>
        </w:rPr>
        <w:t>宿根花卉，根系应完整，无腐烂变质。</w:t>
      </w:r>
      <w:r>
        <w:rPr>
          <w:sz w:val="24"/>
          <w:szCs w:val="24"/>
        </w:rPr>
        <w:t xml:space="preserve"> </w:t>
      </w:r>
    </w:p>
    <w:p>
      <w:pPr>
        <w:pStyle w:val="58"/>
        <w:numPr>
          <w:ilvl w:val="4"/>
          <w:numId w:val="5"/>
        </w:numPr>
        <w:tabs>
          <w:tab w:val="left" w:pos="1211"/>
        </w:tabs>
        <w:spacing w:line="360" w:lineRule="auto"/>
        <w:ind w:left="1211" w:hanging="601"/>
        <w:rPr>
          <w:sz w:val="24"/>
          <w:szCs w:val="24"/>
        </w:rPr>
      </w:pPr>
      <w:r>
        <w:rPr>
          <w:rFonts w:hint="eastAsia"/>
          <w:sz w:val="24"/>
          <w:szCs w:val="24"/>
        </w:rPr>
        <w:t>球根花卉，球根应茁壮、无损伤，幼芽饱满。</w:t>
      </w:r>
      <w:r>
        <w:rPr>
          <w:sz w:val="24"/>
          <w:szCs w:val="24"/>
        </w:rPr>
        <w:t xml:space="preserve"> </w:t>
      </w:r>
    </w:p>
    <w:p>
      <w:pPr>
        <w:pStyle w:val="58"/>
        <w:tabs>
          <w:tab w:val="left" w:pos="1211"/>
        </w:tabs>
        <w:spacing w:line="360" w:lineRule="auto"/>
        <w:ind w:left="610" w:firstLine="0"/>
        <w:rPr>
          <w:b/>
          <w:sz w:val="24"/>
          <w:szCs w:val="24"/>
        </w:rPr>
      </w:pPr>
      <w:r>
        <w:rPr>
          <w:rFonts w:hint="eastAsia"/>
          <w:sz w:val="24"/>
          <w:szCs w:val="24"/>
        </w:rPr>
        <w:t>（</w:t>
      </w:r>
      <w:r>
        <w:rPr>
          <w:sz w:val="24"/>
          <w:szCs w:val="24"/>
          <w:lang w:val="en-US"/>
        </w:rPr>
        <w:t>4</w:t>
      </w:r>
      <w:r>
        <w:rPr>
          <w:rFonts w:hint="eastAsia"/>
          <w:sz w:val="24"/>
          <w:szCs w:val="24"/>
        </w:rPr>
        <w:t>）观叶植物，叶片分布均匀，排列整齐，形状完好，色泽正常。</w:t>
      </w:r>
    </w:p>
    <w:p>
      <w:pPr>
        <w:pStyle w:val="58"/>
        <w:numPr>
          <w:ilvl w:val="3"/>
          <w:numId w:val="5"/>
        </w:numPr>
        <w:tabs>
          <w:tab w:val="left" w:pos="1225"/>
        </w:tabs>
        <w:spacing w:line="360" w:lineRule="auto"/>
        <w:ind w:left="324" w:right="4679" w:firstLine="0"/>
        <w:rPr>
          <w:sz w:val="24"/>
          <w:szCs w:val="24"/>
        </w:rPr>
      </w:pPr>
      <w:r>
        <w:rPr>
          <w:rFonts w:hint="eastAsia"/>
          <w:sz w:val="24"/>
          <w:szCs w:val="24"/>
        </w:rPr>
        <w:t>水生植物根、茎、叶发育良好，植株健壮。</w:t>
      </w:r>
      <w:r>
        <w:rPr>
          <w:sz w:val="24"/>
          <w:szCs w:val="24"/>
        </w:rPr>
        <w:t>4.2.2</w:t>
      </w:r>
      <w:r>
        <w:rPr>
          <w:spacing w:val="2"/>
          <w:sz w:val="24"/>
          <w:szCs w:val="24"/>
        </w:rPr>
        <w:t xml:space="preserve"> </w:t>
      </w:r>
      <w:r>
        <w:rPr>
          <w:rFonts w:hint="eastAsia"/>
          <w:spacing w:val="2"/>
          <w:sz w:val="24"/>
          <w:szCs w:val="24"/>
        </w:rPr>
        <w:t>有关本工程质量方面的特殊要求如下：</w:t>
      </w:r>
      <w:r>
        <w:rPr>
          <w:spacing w:val="2"/>
          <w:sz w:val="24"/>
          <w:szCs w:val="24"/>
        </w:rPr>
        <w:t xml:space="preserve"> </w:t>
      </w:r>
    </w:p>
    <w:p>
      <w:pPr>
        <w:pStyle w:val="18"/>
        <w:spacing w:before="5" w:line="360" w:lineRule="auto"/>
        <w:rPr>
          <w:sz w:val="21"/>
        </w:rPr>
      </w:pPr>
      <w:r>
        <w:rPr>
          <w:sz w:val="10"/>
          <w:u w:val="single"/>
        </w:rPr>
        <w:t xml:space="preserve">                                                                                                                                                                      </w:t>
      </w:r>
      <w:r>
        <w:rPr>
          <w:rFonts w:hint="eastAsia"/>
        </w:rPr>
        <w:t>。</w:t>
      </w:r>
    </w:p>
    <w:p>
      <w:pPr>
        <w:pStyle w:val="7"/>
        <w:numPr>
          <w:ilvl w:val="0"/>
          <w:numId w:val="5"/>
        </w:numPr>
        <w:tabs>
          <w:tab w:val="left" w:pos="568"/>
        </w:tabs>
        <w:spacing w:line="360" w:lineRule="auto"/>
        <w:rPr>
          <w:rFonts w:ascii="宋体" w:hAnsi="宋体" w:eastAsia="宋体" w:cs="宋体"/>
        </w:rPr>
      </w:pPr>
      <w:r>
        <w:rPr>
          <w:rFonts w:hint="eastAsia" w:ascii="宋体" w:hAnsi="宋体" w:eastAsia="宋体" w:cs="宋体"/>
        </w:rPr>
        <w:t>适用规范和标准</w:t>
      </w:r>
    </w:p>
    <w:p>
      <w:pPr>
        <w:pStyle w:val="7"/>
        <w:numPr>
          <w:ilvl w:val="1"/>
          <w:numId w:val="5"/>
        </w:numPr>
        <w:tabs>
          <w:tab w:val="left" w:pos="688"/>
        </w:tabs>
        <w:spacing w:line="360" w:lineRule="auto"/>
        <w:ind w:left="687" w:hanging="364"/>
        <w:rPr>
          <w:rFonts w:ascii="宋体" w:hAnsi="宋体" w:eastAsia="宋体" w:cs="宋体"/>
          <w:b w:val="0"/>
        </w:rPr>
      </w:pPr>
      <w:r>
        <w:rPr>
          <w:rFonts w:hint="eastAsia" w:ascii="宋体" w:hAnsi="宋体" w:eastAsia="宋体" w:cs="宋体"/>
        </w:rPr>
        <w:t>适用的规范、标准和规程</w:t>
      </w:r>
    </w:p>
    <w:p>
      <w:pPr>
        <w:pStyle w:val="58"/>
        <w:numPr>
          <w:ilvl w:val="2"/>
          <w:numId w:val="5"/>
        </w:numPr>
        <w:tabs>
          <w:tab w:val="left" w:pos="926"/>
        </w:tabs>
        <w:spacing w:line="360" w:lineRule="auto"/>
        <w:ind w:left="1043" w:right="1621" w:hanging="720"/>
      </w:pPr>
      <w:r>
        <w:rPr>
          <w:rFonts w:hint="eastAsia"/>
          <w:spacing w:val="-1"/>
          <w:sz w:val="24"/>
          <w:szCs w:val="24"/>
        </w:rPr>
        <w:t>除合同另有约定外，本工程适用现行国家、行业和地方规范、标准和规程。</w:t>
      </w:r>
      <w:r>
        <w:rPr>
          <w:rFonts w:hint="eastAsia"/>
          <w:spacing w:val="-3"/>
          <w:sz w:val="24"/>
          <w:szCs w:val="24"/>
        </w:rPr>
        <w:t>适用于本工程的国家、行业和地方的规范、标准和规程等的名录见本章第三</w:t>
      </w:r>
    </w:p>
    <w:p>
      <w:pPr>
        <w:spacing w:line="360" w:lineRule="auto"/>
        <w:sectPr>
          <w:pgSz w:w="11910" w:h="16840"/>
          <w:pgMar w:top="1300" w:right="0" w:bottom="1100" w:left="1320" w:header="0" w:footer="918" w:gutter="0"/>
          <w:cols w:space="720" w:num="1"/>
        </w:sectPr>
      </w:pPr>
    </w:p>
    <w:p>
      <w:pPr>
        <w:pStyle w:val="18"/>
        <w:spacing w:before="45" w:line="360" w:lineRule="auto"/>
        <w:ind w:left="1044"/>
      </w:pPr>
      <w:r>
        <w:rPr>
          <w:rFonts w:hint="eastAsia"/>
        </w:rPr>
        <w:t>节。</w:t>
      </w:r>
      <w:r>
        <w:t xml:space="preserve"> </w:t>
      </w:r>
    </w:p>
    <w:p>
      <w:pPr>
        <w:pStyle w:val="58"/>
        <w:numPr>
          <w:ilvl w:val="2"/>
          <w:numId w:val="5"/>
        </w:numPr>
        <w:tabs>
          <w:tab w:val="left" w:pos="926"/>
        </w:tabs>
        <w:spacing w:line="360" w:lineRule="auto"/>
        <w:ind w:left="1044" w:right="1645" w:hanging="720"/>
        <w:jc w:val="both"/>
        <w:rPr>
          <w:sz w:val="24"/>
          <w:szCs w:val="24"/>
        </w:rPr>
      </w:pPr>
      <w:r>
        <w:rPr>
          <w:rFonts w:hint="eastAsia"/>
          <w:spacing w:val="-3"/>
          <w:sz w:val="24"/>
          <w:szCs w:val="24"/>
        </w:rPr>
        <w:t>构成合同文件的任何内容与适用的规范、标准和规程之间出现矛盾，承包人应书面要求监理人予以澄清，除监理人有特别指示外，承包人应按照其中要</w:t>
      </w:r>
      <w:r>
        <w:rPr>
          <w:rFonts w:hint="eastAsia"/>
          <w:sz w:val="24"/>
          <w:szCs w:val="24"/>
        </w:rPr>
        <w:t>求最严格的标准执行。</w:t>
      </w:r>
      <w:r>
        <w:rPr>
          <w:sz w:val="24"/>
          <w:szCs w:val="24"/>
        </w:rPr>
        <w:t xml:space="preserve"> </w:t>
      </w:r>
    </w:p>
    <w:p>
      <w:pPr>
        <w:pStyle w:val="58"/>
        <w:numPr>
          <w:ilvl w:val="2"/>
          <w:numId w:val="5"/>
        </w:numPr>
        <w:tabs>
          <w:tab w:val="left" w:pos="926"/>
        </w:tabs>
        <w:spacing w:line="360" w:lineRule="auto"/>
        <w:ind w:left="1044" w:right="1641" w:hanging="720"/>
        <w:rPr>
          <w:sz w:val="24"/>
          <w:szCs w:val="24"/>
        </w:rPr>
      </w:pPr>
      <w:r>
        <w:rPr>
          <w:rFonts w:hint="eastAsia"/>
          <w:spacing w:val="-4"/>
          <w:sz w:val="24"/>
          <w:szCs w:val="24"/>
        </w:rPr>
        <w:t>除合同另有约定外，材料、施工工艺和本工程都应依照本技术标准和要求以</w:t>
      </w:r>
      <w:r>
        <w:rPr>
          <w:rFonts w:hint="eastAsia"/>
          <w:sz w:val="24"/>
          <w:szCs w:val="24"/>
        </w:rPr>
        <w:t>及适用的现行规范、标准和规程的最新版本执行。</w:t>
      </w:r>
      <w:r>
        <w:rPr>
          <w:sz w:val="24"/>
          <w:szCs w:val="24"/>
        </w:rPr>
        <w:t xml:space="preserve"> </w:t>
      </w:r>
    </w:p>
    <w:p>
      <w:pPr>
        <w:pStyle w:val="7"/>
        <w:numPr>
          <w:ilvl w:val="1"/>
          <w:numId w:val="5"/>
        </w:numPr>
        <w:tabs>
          <w:tab w:val="left" w:pos="688"/>
        </w:tabs>
        <w:spacing w:line="360" w:lineRule="auto"/>
        <w:ind w:left="687" w:hanging="364"/>
        <w:rPr>
          <w:rFonts w:ascii="宋体" w:hAnsi="宋体" w:eastAsia="宋体" w:cs="宋体"/>
        </w:rPr>
      </w:pPr>
      <w:r>
        <w:rPr>
          <w:rFonts w:hint="eastAsia" w:ascii="宋体" w:hAnsi="宋体" w:eastAsia="宋体" w:cs="宋体"/>
        </w:rPr>
        <w:t>特殊技术标准和要求</w:t>
      </w:r>
    </w:p>
    <w:p>
      <w:pPr>
        <w:pStyle w:val="58"/>
        <w:numPr>
          <w:ilvl w:val="2"/>
          <w:numId w:val="5"/>
        </w:numPr>
        <w:tabs>
          <w:tab w:val="left" w:pos="1405"/>
        </w:tabs>
        <w:spacing w:line="360" w:lineRule="auto"/>
        <w:ind w:left="1404" w:hanging="601"/>
        <w:rPr>
          <w:sz w:val="24"/>
          <w:szCs w:val="24"/>
        </w:rPr>
      </w:pPr>
      <w:r>
        <w:rPr>
          <w:rFonts w:hint="eastAsia"/>
          <w:sz w:val="24"/>
          <w:szCs w:val="24"/>
        </w:rPr>
        <w:t>适用本工程的特殊技术标准和要求见本章第二节。</w:t>
      </w:r>
    </w:p>
    <w:p>
      <w:pPr>
        <w:pStyle w:val="58"/>
        <w:numPr>
          <w:ilvl w:val="2"/>
          <w:numId w:val="5"/>
        </w:numPr>
        <w:tabs>
          <w:tab w:val="left" w:pos="1407"/>
        </w:tabs>
        <w:spacing w:line="360" w:lineRule="auto"/>
        <w:ind w:left="324" w:right="1651" w:firstLine="479"/>
        <w:rPr>
          <w:sz w:val="24"/>
          <w:szCs w:val="24"/>
        </w:rPr>
      </w:pPr>
      <w:r>
        <w:rPr>
          <w:rFonts w:hint="eastAsia"/>
          <w:sz w:val="24"/>
          <w:szCs w:val="24"/>
        </w:rPr>
        <w:t>有合同约束力的图纸和其他设计文件中的有关文字说明是本节的组成内容。</w:t>
      </w:r>
    </w:p>
    <w:p>
      <w:pPr>
        <w:pStyle w:val="7"/>
        <w:numPr>
          <w:ilvl w:val="0"/>
          <w:numId w:val="5"/>
        </w:numPr>
        <w:tabs>
          <w:tab w:val="left" w:pos="568"/>
        </w:tabs>
        <w:spacing w:line="360" w:lineRule="auto"/>
        <w:rPr>
          <w:rFonts w:ascii="宋体" w:hAnsi="宋体" w:eastAsia="宋体" w:cs="宋体"/>
        </w:rPr>
      </w:pPr>
      <w:r>
        <w:rPr>
          <w:rFonts w:hint="eastAsia" w:ascii="宋体" w:hAnsi="宋体" w:eastAsia="宋体" w:cs="宋体"/>
        </w:rPr>
        <w:t>安全文明施工</w:t>
      </w:r>
    </w:p>
    <w:p>
      <w:pPr>
        <w:pStyle w:val="7"/>
        <w:numPr>
          <w:ilvl w:val="1"/>
          <w:numId w:val="5"/>
        </w:numPr>
        <w:tabs>
          <w:tab w:val="left" w:pos="688"/>
        </w:tabs>
        <w:spacing w:line="360" w:lineRule="auto"/>
        <w:ind w:left="687" w:hanging="364"/>
        <w:rPr>
          <w:rFonts w:ascii="宋体" w:hAnsi="宋体" w:eastAsia="宋体" w:cs="宋体"/>
        </w:rPr>
      </w:pPr>
      <w:r>
        <w:rPr>
          <w:rFonts w:hint="eastAsia" w:ascii="宋体" w:hAnsi="宋体" w:eastAsia="宋体" w:cs="宋体"/>
        </w:rPr>
        <w:t>安全防护一般要求</w:t>
      </w:r>
    </w:p>
    <w:p>
      <w:pPr>
        <w:pStyle w:val="58"/>
        <w:numPr>
          <w:ilvl w:val="2"/>
          <w:numId w:val="5"/>
        </w:numPr>
        <w:tabs>
          <w:tab w:val="left" w:pos="926"/>
        </w:tabs>
        <w:spacing w:line="360" w:lineRule="auto"/>
        <w:ind w:left="1133" w:right="1642" w:hanging="809"/>
        <w:jc w:val="both"/>
        <w:rPr>
          <w:sz w:val="24"/>
          <w:szCs w:val="24"/>
        </w:rPr>
      </w:pPr>
      <w:r>
        <w:rPr>
          <w:rFonts w:hint="eastAsia"/>
          <w:sz w:val="24"/>
          <w:szCs w:val="24"/>
        </w:rPr>
        <w:t>在工程施工、竣工、交付及修补任何缺陷的过程中，承包人应当始终遵守国</w:t>
      </w:r>
      <w:r>
        <w:rPr>
          <w:rFonts w:hint="eastAsia"/>
          <w:spacing w:val="-9"/>
          <w:sz w:val="24"/>
          <w:szCs w:val="24"/>
        </w:rPr>
        <w:t>家和地方有关安全生产的法律、法规、规范、标准和规程等，按照合同条款的约定履行其安全施工职责。</w:t>
      </w:r>
      <w:r>
        <w:rPr>
          <w:spacing w:val="-9"/>
          <w:sz w:val="24"/>
          <w:szCs w:val="24"/>
        </w:rPr>
        <w:t xml:space="preserve"> </w:t>
      </w:r>
    </w:p>
    <w:p>
      <w:pPr>
        <w:pStyle w:val="58"/>
        <w:numPr>
          <w:ilvl w:val="2"/>
          <w:numId w:val="5"/>
        </w:numPr>
        <w:tabs>
          <w:tab w:val="left" w:pos="926"/>
        </w:tabs>
        <w:spacing w:line="360" w:lineRule="auto"/>
        <w:ind w:left="1133" w:right="1641" w:hanging="809"/>
        <w:rPr>
          <w:sz w:val="24"/>
          <w:szCs w:val="24"/>
        </w:rPr>
      </w:pPr>
      <w:r>
        <w:rPr>
          <w:rFonts w:hint="eastAsia"/>
          <w:sz w:val="24"/>
          <w:szCs w:val="24"/>
        </w:rPr>
        <w:t>承包人应坚持“安全第一，预防为主”的方针，建立、健全安全生产责任制</w:t>
      </w:r>
      <w:r>
        <w:rPr>
          <w:rFonts w:hint="eastAsia"/>
          <w:spacing w:val="-9"/>
          <w:sz w:val="24"/>
          <w:szCs w:val="24"/>
        </w:rPr>
        <w:t>度和安全生产教育培训制度。在整个工程施工期间，承包人应在施工场地</w:t>
      </w:r>
    </w:p>
    <w:p>
      <w:pPr>
        <w:pStyle w:val="18"/>
        <w:spacing w:line="360" w:lineRule="auto"/>
        <w:ind w:left="1133"/>
      </w:pPr>
      <w:r>
        <w:rPr>
          <w:rFonts w:hint="eastAsia"/>
        </w:rPr>
        <w:t>（现场）设立、提供和维护并在有关工作完成或竣工后撤除：</w:t>
      </w:r>
      <w:r>
        <w:t xml:space="preserve"> </w:t>
      </w:r>
    </w:p>
    <w:p>
      <w:pPr>
        <w:pStyle w:val="58"/>
        <w:numPr>
          <w:ilvl w:val="0"/>
          <w:numId w:val="8"/>
        </w:numPr>
        <w:tabs>
          <w:tab w:val="left" w:pos="926"/>
        </w:tabs>
        <w:spacing w:line="360" w:lineRule="auto"/>
        <w:ind w:right="1641" w:hanging="720"/>
        <w:jc w:val="both"/>
        <w:rPr>
          <w:sz w:val="24"/>
          <w:szCs w:val="24"/>
        </w:rPr>
      </w:pPr>
      <w:r>
        <w:rPr>
          <w:rFonts w:hint="eastAsia"/>
          <w:spacing w:val="-4"/>
          <w:sz w:val="24"/>
          <w:szCs w:val="24"/>
        </w:rPr>
        <w:t>设立在现场入口显著位置的现场施工总平面图、总平面管理、安全生产、文</w:t>
      </w:r>
      <w:r>
        <w:rPr>
          <w:rFonts w:hint="eastAsia"/>
          <w:spacing w:val="-5"/>
          <w:sz w:val="24"/>
          <w:szCs w:val="24"/>
        </w:rPr>
        <w:t>明施工、环境保护、质量控制、材料管理等的规章制度和主要参建单位名称</w:t>
      </w:r>
      <w:r>
        <w:rPr>
          <w:rFonts w:hint="eastAsia"/>
          <w:sz w:val="24"/>
          <w:szCs w:val="24"/>
        </w:rPr>
        <w:t>和工程概况等说明的图板；</w:t>
      </w:r>
      <w:r>
        <w:rPr>
          <w:sz w:val="24"/>
          <w:szCs w:val="24"/>
        </w:rPr>
        <w:t xml:space="preserve"> </w:t>
      </w:r>
    </w:p>
    <w:p>
      <w:pPr>
        <w:pStyle w:val="58"/>
        <w:numPr>
          <w:ilvl w:val="0"/>
          <w:numId w:val="8"/>
        </w:numPr>
        <w:tabs>
          <w:tab w:val="left" w:pos="926"/>
        </w:tabs>
        <w:spacing w:line="360" w:lineRule="auto"/>
        <w:ind w:right="1521" w:hanging="720"/>
        <w:rPr>
          <w:sz w:val="24"/>
          <w:szCs w:val="24"/>
        </w:rPr>
      </w:pPr>
      <w:r>
        <w:rPr>
          <w:rFonts w:hint="eastAsia"/>
          <w:spacing w:val="-8"/>
          <w:sz w:val="24"/>
          <w:szCs w:val="24"/>
        </w:rPr>
        <w:t>为确保工程安全施工须设立的足够的标志、宣传画、标语、指示牌、警告牌、</w:t>
      </w:r>
      <w:r>
        <w:rPr>
          <w:rFonts w:hint="eastAsia"/>
          <w:sz w:val="24"/>
          <w:szCs w:val="24"/>
        </w:rPr>
        <w:t>火警、匪警和急救电话提示牌等等；</w:t>
      </w:r>
      <w:r>
        <w:rPr>
          <w:sz w:val="24"/>
          <w:szCs w:val="24"/>
        </w:rPr>
        <w:t xml:space="preserve"> </w:t>
      </w:r>
    </w:p>
    <w:p>
      <w:pPr>
        <w:pStyle w:val="58"/>
        <w:numPr>
          <w:ilvl w:val="0"/>
          <w:numId w:val="8"/>
        </w:numPr>
        <w:tabs>
          <w:tab w:val="left" w:pos="926"/>
        </w:tabs>
        <w:spacing w:line="360" w:lineRule="auto"/>
        <w:ind w:right="1642" w:hanging="720"/>
        <w:rPr>
          <w:sz w:val="24"/>
          <w:szCs w:val="24"/>
        </w:rPr>
      </w:pPr>
      <w:r>
        <w:rPr>
          <w:rFonts w:hint="eastAsia"/>
          <w:spacing w:val="-5"/>
          <w:sz w:val="24"/>
          <w:szCs w:val="24"/>
        </w:rPr>
        <w:t>安全带、安全绳、安全帽、安全网、绝缘鞋、绝缘杆、绝缘手套、防护口罩</w:t>
      </w:r>
      <w:r>
        <w:rPr>
          <w:rFonts w:hint="eastAsia"/>
          <w:sz w:val="24"/>
          <w:szCs w:val="24"/>
        </w:rPr>
        <w:t>和防护衣等安全生产用品；</w:t>
      </w:r>
      <w:r>
        <w:rPr>
          <w:sz w:val="24"/>
          <w:szCs w:val="24"/>
        </w:rPr>
        <w:t xml:space="preserve"> </w:t>
      </w:r>
    </w:p>
    <w:p>
      <w:pPr>
        <w:pStyle w:val="58"/>
        <w:numPr>
          <w:ilvl w:val="0"/>
          <w:numId w:val="8"/>
        </w:numPr>
        <w:tabs>
          <w:tab w:val="left" w:pos="926"/>
        </w:tabs>
        <w:spacing w:line="360" w:lineRule="auto"/>
        <w:ind w:left="925" w:hanging="602"/>
        <w:rPr>
          <w:sz w:val="24"/>
          <w:szCs w:val="24"/>
        </w:rPr>
      </w:pPr>
      <w:r>
        <w:rPr>
          <w:rFonts w:hint="eastAsia"/>
          <w:sz w:val="24"/>
          <w:szCs w:val="24"/>
        </w:rPr>
        <w:t>所有机械设备包括各类电动工具的安全保护和接地装置和操作说明；</w:t>
      </w:r>
      <w:r>
        <w:rPr>
          <w:sz w:val="24"/>
          <w:szCs w:val="24"/>
        </w:rPr>
        <w:t xml:space="preserve"> </w:t>
      </w:r>
    </w:p>
    <w:p>
      <w:pPr>
        <w:pStyle w:val="58"/>
        <w:numPr>
          <w:ilvl w:val="0"/>
          <w:numId w:val="8"/>
        </w:numPr>
        <w:tabs>
          <w:tab w:val="left" w:pos="926"/>
        </w:tabs>
        <w:spacing w:line="360" w:lineRule="auto"/>
        <w:ind w:left="925" w:hanging="602"/>
        <w:rPr>
          <w:sz w:val="24"/>
          <w:szCs w:val="24"/>
        </w:rPr>
      </w:pPr>
      <w:r>
        <w:rPr>
          <w:rFonts w:hint="eastAsia"/>
          <w:sz w:val="24"/>
          <w:szCs w:val="24"/>
        </w:rPr>
        <w:t>配备适量的临时急救药品和担架。</w:t>
      </w:r>
      <w:r>
        <w:rPr>
          <w:sz w:val="24"/>
          <w:szCs w:val="24"/>
        </w:rPr>
        <w:t xml:space="preserve"> </w:t>
      </w:r>
    </w:p>
    <w:p>
      <w:pPr>
        <w:pStyle w:val="58"/>
        <w:numPr>
          <w:ilvl w:val="0"/>
          <w:numId w:val="8"/>
        </w:numPr>
        <w:tabs>
          <w:tab w:val="left" w:pos="926"/>
        </w:tabs>
        <w:spacing w:line="360" w:lineRule="auto"/>
        <w:ind w:left="925" w:hanging="602"/>
        <w:rPr>
          <w:sz w:val="24"/>
          <w:szCs w:val="24"/>
        </w:rPr>
      </w:pPr>
      <w:r>
        <w:rPr>
          <w:rFonts w:hint="eastAsia"/>
          <w:sz w:val="24"/>
          <w:szCs w:val="24"/>
        </w:rPr>
        <w:t>足够数量的和合格的手提灭火器；</w:t>
      </w:r>
      <w:r>
        <w:rPr>
          <w:sz w:val="24"/>
          <w:szCs w:val="24"/>
        </w:rPr>
        <w:t xml:space="preserve"> </w:t>
      </w:r>
    </w:p>
    <w:p>
      <w:pPr>
        <w:pStyle w:val="58"/>
        <w:numPr>
          <w:ilvl w:val="0"/>
          <w:numId w:val="8"/>
        </w:numPr>
        <w:tabs>
          <w:tab w:val="left" w:pos="926"/>
        </w:tabs>
        <w:spacing w:line="360" w:lineRule="auto"/>
        <w:ind w:left="925" w:hanging="602"/>
        <w:rPr>
          <w:sz w:val="24"/>
          <w:szCs w:val="24"/>
        </w:rPr>
      </w:pPr>
      <w:r>
        <w:rPr>
          <w:rFonts w:hint="eastAsia"/>
          <w:sz w:val="24"/>
          <w:szCs w:val="24"/>
        </w:rPr>
        <w:t>装备良好的易燃易爆物品仓库和相应的使用管理制度；</w:t>
      </w:r>
      <w:r>
        <w:rPr>
          <w:sz w:val="24"/>
          <w:szCs w:val="24"/>
        </w:rPr>
        <w:t xml:space="preserve"> </w:t>
      </w:r>
    </w:p>
    <w:p>
      <w:pPr>
        <w:pStyle w:val="18"/>
        <w:spacing w:line="360" w:lineRule="auto"/>
        <w:ind w:left="324"/>
      </w:pPr>
      <w:r>
        <w:rPr>
          <w:rFonts w:hint="eastAsia"/>
        </w:rPr>
        <w:t>（</w:t>
      </w:r>
      <w:r>
        <w:t>8</w:t>
      </w:r>
      <w:r>
        <w:rPr>
          <w:rFonts w:hint="eastAsia"/>
        </w:rPr>
        <w:t>）其他</w:t>
      </w:r>
      <w:r>
        <w:t xml:space="preserve"> </w:t>
      </w:r>
      <w:r>
        <w:rPr>
          <w:rFonts w:hint="eastAsia"/>
        </w:rPr>
        <w:t>：。</w:t>
      </w:r>
      <w:r>
        <w:t xml:space="preserve"> </w:t>
      </w:r>
    </w:p>
    <w:p>
      <w:pPr>
        <w:spacing w:line="360" w:lineRule="auto"/>
        <w:rPr>
          <w:sz w:val="24"/>
          <w:szCs w:val="24"/>
        </w:rPr>
        <w:sectPr>
          <w:footerReference r:id="rId26" w:type="default"/>
          <w:pgSz w:w="11910" w:h="16840"/>
          <w:pgMar w:top="1300" w:right="0" w:bottom="1100" w:left="1320" w:header="0" w:footer="918" w:gutter="0"/>
          <w:pgNumType w:start="90"/>
          <w:cols w:space="720" w:num="1"/>
        </w:sectPr>
      </w:pPr>
    </w:p>
    <w:p>
      <w:pPr>
        <w:pStyle w:val="58"/>
        <w:tabs>
          <w:tab w:val="left" w:pos="926"/>
        </w:tabs>
        <w:spacing w:line="360" w:lineRule="auto"/>
        <w:ind w:left="0" w:right="1653" w:firstLine="480" w:firstLineChars="200"/>
        <w:rPr>
          <w:sz w:val="24"/>
          <w:szCs w:val="24"/>
        </w:rPr>
      </w:pPr>
      <w:r>
        <w:rPr>
          <w:sz w:val="24"/>
          <w:szCs w:val="24"/>
          <w:lang w:val="en-US"/>
        </w:rPr>
        <w:t xml:space="preserve">6.1.3 </w:t>
      </w:r>
      <w:r>
        <w:rPr>
          <w:rFonts w:hint="eastAsia"/>
          <w:sz w:val="24"/>
          <w:szCs w:val="24"/>
        </w:rPr>
        <w:t>安全文明施工费用必须专款专用，承包人应对其由于安全文明施工费用和施工安全措施不到位而发生的安全事故承担全部责任。</w:t>
      </w:r>
    </w:p>
    <w:p>
      <w:pPr>
        <w:pStyle w:val="58"/>
        <w:tabs>
          <w:tab w:val="left" w:pos="926"/>
        </w:tabs>
        <w:spacing w:line="360" w:lineRule="auto"/>
        <w:ind w:left="0" w:right="1653" w:firstLine="480" w:firstLineChars="200"/>
        <w:rPr>
          <w:spacing w:val="-16"/>
          <w:sz w:val="24"/>
          <w:szCs w:val="24"/>
        </w:rPr>
      </w:pPr>
      <w:r>
        <w:rPr>
          <w:sz w:val="24"/>
          <w:szCs w:val="24"/>
          <w:lang w:val="en-US"/>
        </w:rPr>
        <w:t>6.1.4</w:t>
      </w:r>
      <w:r>
        <w:rPr>
          <w:rFonts w:hint="eastAsia"/>
          <w:sz w:val="24"/>
          <w:szCs w:val="24"/>
        </w:rPr>
        <w:t>承包人应建立专门的施工场地（</w:t>
      </w:r>
      <w:r>
        <w:rPr>
          <w:rFonts w:hint="eastAsia"/>
          <w:spacing w:val="2"/>
          <w:sz w:val="24"/>
          <w:szCs w:val="24"/>
        </w:rPr>
        <w:t>现场</w:t>
      </w:r>
      <w:r>
        <w:rPr>
          <w:rFonts w:hint="eastAsia"/>
          <w:sz w:val="24"/>
          <w:szCs w:val="24"/>
        </w:rPr>
        <w:t>）安全生产管理机构，配备足够数量的</w:t>
      </w:r>
      <w:r>
        <w:rPr>
          <w:rFonts w:hint="eastAsia"/>
          <w:spacing w:val="-7"/>
          <w:sz w:val="24"/>
          <w:szCs w:val="24"/>
        </w:rPr>
        <w:t>和符合有关规定的专职安全生产管理人员，一个工程不少于一名园林施工专</w:t>
      </w:r>
      <w:r>
        <w:rPr>
          <w:rFonts w:hint="eastAsia"/>
          <w:spacing w:val="-14"/>
          <w:sz w:val="24"/>
          <w:szCs w:val="24"/>
        </w:rPr>
        <w:t>职安全员，负责日常安全生产巡查和专项检查，召集和主持现场全体人员参加的安全生产例会</w:t>
      </w:r>
      <w:r>
        <w:rPr>
          <w:rFonts w:hint="eastAsia"/>
          <w:spacing w:val="2"/>
          <w:sz w:val="24"/>
          <w:szCs w:val="24"/>
        </w:rPr>
        <w:t>（</w:t>
      </w:r>
      <w:r>
        <w:rPr>
          <w:rFonts w:hint="eastAsia"/>
          <w:sz w:val="24"/>
          <w:szCs w:val="24"/>
        </w:rPr>
        <w:t>每周至少一次</w:t>
      </w:r>
      <w:r>
        <w:rPr>
          <w:rFonts w:hint="eastAsia"/>
          <w:spacing w:val="-120"/>
          <w:sz w:val="24"/>
          <w:szCs w:val="24"/>
        </w:rPr>
        <w:t>）</w:t>
      </w:r>
      <w:r>
        <w:rPr>
          <w:rFonts w:hint="eastAsia"/>
          <w:spacing w:val="-1"/>
          <w:sz w:val="24"/>
          <w:szCs w:val="24"/>
        </w:rPr>
        <w:t>，负责安全技术交底和技术方案的安全</w:t>
      </w:r>
      <w:r>
        <w:rPr>
          <w:rFonts w:hint="eastAsia"/>
          <w:spacing w:val="-11"/>
          <w:sz w:val="24"/>
          <w:szCs w:val="24"/>
        </w:rPr>
        <w:t>把关，负责制定或审核安全隐患的整改措施并监督落实，负责安全资料的整</w:t>
      </w:r>
      <w:r>
        <w:rPr>
          <w:rFonts w:hint="eastAsia"/>
          <w:spacing w:val="-14"/>
          <w:sz w:val="24"/>
          <w:szCs w:val="24"/>
        </w:rPr>
        <w:t>理和管理，及时消除安全隐患，做好安全检查记录，确保所有的安全设施都</w:t>
      </w:r>
      <w:r>
        <w:rPr>
          <w:rFonts w:hint="eastAsia"/>
          <w:spacing w:val="-16"/>
          <w:sz w:val="24"/>
          <w:szCs w:val="24"/>
        </w:rPr>
        <w:t>处于良好的运转状态。承包人项目负责人和专职安全生产管理人员均应当具备有效的安全生产考核合格证书。</w:t>
      </w:r>
    </w:p>
    <w:p>
      <w:pPr>
        <w:pStyle w:val="58"/>
        <w:tabs>
          <w:tab w:val="left" w:pos="926"/>
        </w:tabs>
        <w:spacing w:line="360" w:lineRule="auto"/>
        <w:ind w:left="0" w:right="1653" w:firstLine="416" w:firstLineChars="200"/>
        <w:rPr>
          <w:sz w:val="24"/>
          <w:szCs w:val="24"/>
        </w:rPr>
      </w:pPr>
      <w:r>
        <w:rPr>
          <w:spacing w:val="-16"/>
          <w:sz w:val="24"/>
          <w:szCs w:val="24"/>
          <w:lang w:val="en-US"/>
        </w:rPr>
        <w:t>6.1.5</w:t>
      </w:r>
      <w:r>
        <w:rPr>
          <w:rFonts w:hint="eastAsia"/>
          <w:sz w:val="24"/>
          <w:szCs w:val="24"/>
        </w:rPr>
        <w:t>承包人应遵照有关法规要求，编印安全防护手册发给进场施工人员，做好进</w:t>
      </w:r>
      <w:r>
        <w:rPr>
          <w:rFonts w:hint="eastAsia"/>
          <w:spacing w:val="-5"/>
          <w:sz w:val="24"/>
          <w:szCs w:val="24"/>
        </w:rPr>
        <w:t>场施工人员上岗前的安全教育和培训工作，并建立考核制度，只有考核合格</w:t>
      </w:r>
      <w:r>
        <w:rPr>
          <w:rFonts w:hint="eastAsia"/>
          <w:spacing w:val="-6"/>
          <w:sz w:val="24"/>
          <w:szCs w:val="24"/>
        </w:rPr>
        <w:t>的人员才能进场施工作业。特种作业人员还应经过专门的安全作业培训，并取得特种作业操作资格证书后方可上岗。在任何分部分项工程开始施工前，</w:t>
      </w:r>
      <w:r>
        <w:rPr>
          <w:spacing w:val="-6"/>
          <w:sz w:val="24"/>
          <w:szCs w:val="24"/>
        </w:rPr>
        <w:t xml:space="preserve"> </w:t>
      </w:r>
      <w:r>
        <w:rPr>
          <w:rFonts w:hint="eastAsia"/>
          <w:sz w:val="24"/>
          <w:szCs w:val="24"/>
        </w:rPr>
        <w:t>承包人应当就有关安全施工的技术要求向施工作业班组和作业人员等进行安全交底，并由双方签字确认。</w:t>
      </w:r>
      <w:r>
        <w:rPr>
          <w:sz w:val="24"/>
          <w:szCs w:val="24"/>
        </w:rPr>
        <w:t xml:space="preserve"> </w:t>
      </w:r>
    </w:p>
    <w:p>
      <w:pPr>
        <w:pStyle w:val="58"/>
        <w:tabs>
          <w:tab w:val="left" w:pos="926"/>
        </w:tabs>
        <w:spacing w:line="360" w:lineRule="auto"/>
        <w:ind w:left="0" w:right="1653" w:firstLine="480" w:firstLineChars="200"/>
        <w:rPr>
          <w:spacing w:val="-14"/>
          <w:sz w:val="24"/>
          <w:szCs w:val="24"/>
        </w:rPr>
      </w:pPr>
      <w:r>
        <w:rPr>
          <w:sz w:val="24"/>
          <w:szCs w:val="24"/>
          <w:lang w:val="en-US"/>
        </w:rPr>
        <w:t>6.1.6</w:t>
      </w:r>
      <w:r>
        <w:rPr>
          <w:rFonts w:hint="eastAsia"/>
          <w:sz w:val="24"/>
          <w:szCs w:val="24"/>
        </w:rPr>
        <w:t>承包人应为其进场施工人员配备必需的安全防护设施和设备，承包人还应为</w:t>
      </w:r>
      <w:r>
        <w:rPr>
          <w:rFonts w:hint="eastAsia"/>
          <w:spacing w:val="-8"/>
          <w:sz w:val="24"/>
          <w:szCs w:val="24"/>
        </w:rPr>
        <w:t>施工场地</w:t>
      </w:r>
      <w:r>
        <w:rPr>
          <w:rFonts w:hint="eastAsia"/>
          <w:sz w:val="24"/>
          <w:szCs w:val="24"/>
        </w:rPr>
        <w:t>（现场</w:t>
      </w:r>
      <w:r>
        <w:rPr>
          <w:rFonts w:hint="eastAsia"/>
          <w:spacing w:val="-29"/>
          <w:sz w:val="24"/>
          <w:szCs w:val="24"/>
        </w:rPr>
        <w:t>）</w:t>
      </w:r>
      <w:r>
        <w:rPr>
          <w:rFonts w:hint="eastAsia"/>
          <w:spacing w:val="-6"/>
          <w:sz w:val="24"/>
          <w:szCs w:val="24"/>
        </w:rPr>
        <w:t>邻近地区的所有者和占有者、公众和其他人员，提供一切</w:t>
      </w:r>
      <w:r>
        <w:rPr>
          <w:rFonts w:hint="eastAsia"/>
          <w:spacing w:val="-14"/>
          <w:sz w:val="24"/>
          <w:szCs w:val="24"/>
        </w:rPr>
        <w:t>必要的临时道路、人行道、防护棚、围栏及警告等，以确保财产和人身安全以及最大程度地降低施工可能造成的不便。</w:t>
      </w:r>
      <w:r>
        <w:rPr>
          <w:spacing w:val="-14"/>
          <w:sz w:val="24"/>
          <w:szCs w:val="24"/>
        </w:rPr>
        <w:t xml:space="preserve"> </w:t>
      </w:r>
    </w:p>
    <w:p>
      <w:pPr>
        <w:pStyle w:val="58"/>
        <w:tabs>
          <w:tab w:val="left" w:pos="926"/>
        </w:tabs>
        <w:spacing w:line="360" w:lineRule="auto"/>
        <w:ind w:left="0" w:right="1653" w:firstLine="424" w:firstLineChars="200"/>
        <w:rPr>
          <w:sz w:val="24"/>
          <w:szCs w:val="24"/>
        </w:rPr>
      </w:pPr>
      <w:r>
        <w:rPr>
          <w:spacing w:val="-14"/>
          <w:sz w:val="24"/>
          <w:szCs w:val="24"/>
          <w:lang w:val="en-US"/>
        </w:rPr>
        <w:t>6.1.7</w:t>
      </w:r>
      <w:r>
        <w:rPr>
          <w:rFonts w:hint="eastAsia"/>
          <w:sz w:val="24"/>
          <w:szCs w:val="24"/>
        </w:rPr>
        <w:t>承包人应在施工场地（</w:t>
      </w:r>
      <w:r>
        <w:rPr>
          <w:rFonts w:hint="eastAsia"/>
          <w:spacing w:val="2"/>
          <w:sz w:val="24"/>
          <w:szCs w:val="24"/>
        </w:rPr>
        <w:t>现场</w:t>
      </w:r>
      <w:r>
        <w:rPr>
          <w:rFonts w:hint="eastAsia"/>
          <w:sz w:val="24"/>
          <w:szCs w:val="24"/>
        </w:rPr>
        <w:t>）入口处、施工起重机械、临时用电设施、脚手</w:t>
      </w:r>
      <w:r>
        <w:rPr>
          <w:rFonts w:hint="eastAsia"/>
          <w:spacing w:val="-17"/>
          <w:sz w:val="24"/>
          <w:szCs w:val="24"/>
        </w:rPr>
        <w:t>架、出入通道口、危险品存放处等危险部位设置一切必需的安全警示标志，包括但不限于标准道路标志、报警标志、危险标志、控制标志、安全标志、指</w:t>
      </w:r>
      <w:r>
        <w:rPr>
          <w:rFonts w:hint="eastAsia"/>
          <w:spacing w:val="-13"/>
          <w:sz w:val="24"/>
          <w:szCs w:val="24"/>
        </w:rPr>
        <w:t>示标志、警告标志等，并配备必要的照明、防护和看守。承包人应当按监理人的指示，经常补充或更换失效的警示和标志。</w:t>
      </w:r>
      <w:r>
        <w:rPr>
          <w:spacing w:val="-13"/>
          <w:sz w:val="24"/>
          <w:szCs w:val="24"/>
        </w:rPr>
        <w:t xml:space="preserve"> </w:t>
      </w:r>
    </w:p>
    <w:p>
      <w:pPr>
        <w:pStyle w:val="58"/>
        <w:tabs>
          <w:tab w:val="left" w:pos="926"/>
        </w:tabs>
        <w:spacing w:line="360" w:lineRule="auto"/>
        <w:ind w:left="0" w:right="1641" w:firstLine="480" w:firstLineChars="200"/>
        <w:jc w:val="both"/>
        <w:rPr>
          <w:sz w:val="24"/>
          <w:szCs w:val="24"/>
        </w:rPr>
      </w:pPr>
      <w:r>
        <w:rPr>
          <w:sz w:val="24"/>
          <w:szCs w:val="24"/>
          <w:lang w:val="en-US"/>
        </w:rPr>
        <w:t>6.1.8</w:t>
      </w:r>
      <w:r>
        <w:rPr>
          <w:rFonts w:hint="eastAsia"/>
          <w:sz w:val="24"/>
          <w:szCs w:val="24"/>
        </w:rPr>
        <w:t>承包人应对所有用于提升的吊装带、挂钩、挂环、钢丝绳、铁扁担等进行定</w:t>
      </w:r>
      <w:r>
        <w:rPr>
          <w:rFonts w:hint="eastAsia"/>
          <w:spacing w:val="-12"/>
          <w:sz w:val="24"/>
          <w:szCs w:val="24"/>
        </w:rPr>
        <w:t>期检测、检查和标定；如果监理人认为，任何此类设施已经损坏或有使用不当之处，承包人应立即以合格的产品进行更换。</w:t>
      </w:r>
      <w:r>
        <w:rPr>
          <w:spacing w:val="-12"/>
          <w:sz w:val="24"/>
          <w:szCs w:val="24"/>
        </w:rPr>
        <w:t xml:space="preserve">  </w:t>
      </w:r>
    </w:p>
    <w:p>
      <w:pPr>
        <w:pStyle w:val="58"/>
        <w:tabs>
          <w:tab w:val="left" w:pos="926"/>
        </w:tabs>
        <w:spacing w:line="360" w:lineRule="auto"/>
        <w:ind w:left="0" w:right="1641" w:firstLine="480" w:firstLineChars="200"/>
        <w:jc w:val="both"/>
        <w:rPr>
          <w:sz w:val="24"/>
          <w:szCs w:val="24"/>
        </w:rPr>
      </w:pPr>
      <w:r>
        <w:rPr>
          <w:sz w:val="24"/>
          <w:szCs w:val="24"/>
          <w:lang w:val="en-US"/>
        </w:rPr>
        <w:t>6.1.9</w:t>
      </w:r>
      <w:r>
        <w:rPr>
          <w:rFonts w:hint="eastAsia"/>
          <w:sz w:val="24"/>
          <w:szCs w:val="24"/>
        </w:rPr>
        <w:t>所有机械和工器具应定期保养、校核和维护，以保证它们处于良好和安全的</w:t>
      </w:r>
      <w:r>
        <w:rPr>
          <w:rFonts w:hint="eastAsia"/>
          <w:spacing w:val="-11"/>
          <w:sz w:val="24"/>
          <w:szCs w:val="24"/>
        </w:rPr>
        <w:t>工作状态。保养、校核和维护工作应尽可能安排在非工作时间进行，并为上</w:t>
      </w:r>
      <w:r>
        <w:rPr>
          <w:rFonts w:hint="eastAsia"/>
          <w:spacing w:val="-5"/>
          <w:sz w:val="24"/>
          <w:szCs w:val="24"/>
        </w:rPr>
        <w:t>述机械和工器具准备足够的备用配件，以确保工程的施工能不间断地进行。</w:t>
      </w:r>
      <w:r>
        <w:rPr>
          <w:spacing w:val="-5"/>
          <w:sz w:val="24"/>
          <w:szCs w:val="24"/>
        </w:rPr>
        <w:t xml:space="preserve"> </w:t>
      </w:r>
    </w:p>
    <w:p>
      <w:pPr>
        <w:pStyle w:val="58"/>
        <w:tabs>
          <w:tab w:val="left" w:pos="1105"/>
        </w:tabs>
        <w:spacing w:line="360" w:lineRule="auto"/>
        <w:ind w:left="0" w:right="1640" w:firstLine="452" w:firstLineChars="200"/>
        <w:jc w:val="both"/>
        <w:rPr>
          <w:sz w:val="24"/>
          <w:szCs w:val="24"/>
        </w:rPr>
      </w:pPr>
      <w:r>
        <w:rPr>
          <w:spacing w:val="-7"/>
          <w:sz w:val="24"/>
          <w:szCs w:val="24"/>
          <w:lang w:val="en-US"/>
        </w:rPr>
        <w:t>6.1.10</w:t>
      </w:r>
      <w:r>
        <w:rPr>
          <w:rFonts w:hint="eastAsia"/>
          <w:spacing w:val="-7"/>
          <w:sz w:val="24"/>
          <w:szCs w:val="24"/>
        </w:rPr>
        <w:t>承包人应成立应急救援小组，配备必要的应急救援器材和设备，制定灾害和生产安全事故的应急救援预案，并将应急救援预案报送监理人。应急救援预</w:t>
      </w:r>
      <w:r>
        <w:rPr>
          <w:rFonts w:hint="eastAsia"/>
          <w:sz w:val="24"/>
          <w:szCs w:val="24"/>
        </w:rPr>
        <w:t>案应能随时组织应救专职人员、并定期组织演练。</w:t>
      </w:r>
      <w:r>
        <w:rPr>
          <w:sz w:val="24"/>
          <w:szCs w:val="24"/>
        </w:rPr>
        <w:t xml:space="preserve"> </w:t>
      </w:r>
    </w:p>
    <w:p>
      <w:pPr>
        <w:pStyle w:val="58"/>
        <w:tabs>
          <w:tab w:val="left" w:pos="1105"/>
        </w:tabs>
        <w:spacing w:line="360" w:lineRule="auto"/>
        <w:ind w:left="0" w:right="1640" w:firstLine="480" w:firstLineChars="200"/>
        <w:jc w:val="both"/>
        <w:rPr>
          <w:sz w:val="24"/>
          <w:szCs w:val="24"/>
        </w:rPr>
      </w:pPr>
      <w:r>
        <w:rPr>
          <w:sz w:val="24"/>
          <w:szCs w:val="24"/>
          <w:lang w:val="en-US"/>
        </w:rPr>
        <w:t>6.1.11</w:t>
      </w:r>
      <w:r>
        <w:rPr>
          <w:rFonts w:hint="eastAsia"/>
          <w:spacing w:val="-4"/>
          <w:sz w:val="24"/>
          <w:szCs w:val="24"/>
        </w:rPr>
        <w:t>承包人应按照合同条款的约定处理本工程施工过程中发生的事故。发生施工</w:t>
      </w:r>
      <w:r>
        <w:rPr>
          <w:rFonts w:hint="eastAsia"/>
          <w:spacing w:val="-12"/>
          <w:sz w:val="24"/>
          <w:szCs w:val="24"/>
        </w:rPr>
        <w:t>安全事故后，承包人必须立即报告监理人和发包人，并在事故发生后一小时</w:t>
      </w:r>
      <w:r>
        <w:rPr>
          <w:rFonts w:hint="eastAsia"/>
          <w:spacing w:val="-8"/>
          <w:sz w:val="24"/>
          <w:szCs w:val="24"/>
        </w:rPr>
        <w:t>内向发包人提交事故情况书面报告，并根据《生产安全事故报告和调查处理</w:t>
      </w:r>
      <w:r>
        <w:rPr>
          <w:rFonts w:hint="eastAsia"/>
          <w:spacing w:val="-12"/>
          <w:sz w:val="24"/>
          <w:szCs w:val="24"/>
        </w:rPr>
        <w:t>条例》的规定，及时向工程所在地县级以上地方人民政府安全生产监督管理</w:t>
      </w:r>
      <w:r>
        <w:rPr>
          <w:rFonts w:hint="eastAsia"/>
          <w:spacing w:val="-8"/>
          <w:sz w:val="24"/>
          <w:szCs w:val="24"/>
        </w:rPr>
        <w:t>部门和建设行政主管部门报告。情况紧急时，事故现场有关人员可以直接向</w:t>
      </w:r>
      <w:r>
        <w:rPr>
          <w:rFonts w:hint="eastAsia"/>
          <w:sz w:val="24"/>
          <w:szCs w:val="24"/>
        </w:rPr>
        <w:t>工程所在地县级以上地方人民政府安全生产监督管理部门和建设行政主管部门报告。</w:t>
      </w:r>
      <w:r>
        <w:rPr>
          <w:sz w:val="24"/>
          <w:szCs w:val="24"/>
        </w:rPr>
        <w:t xml:space="preserve"> </w:t>
      </w:r>
    </w:p>
    <w:p>
      <w:pPr>
        <w:pStyle w:val="58"/>
        <w:tabs>
          <w:tab w:val="left" w:pos="1105"/>
        </w:tabs>
        <w:spacing w:line="360" w:lineRule="auto"/>
        <w:ind w:left="0" w:right="1640" w:firstLine="480" w:firstLineChars="200"/>
        <w:jc w:val="both"/>
        <w:rPr>
          <w:sz w:val="24"/>
          <w:szCs w:val="24"/>
        </w:rPr>
      </w:pPr>
      <w:r>
        <w:rPr>
          <w:sz w:val="24"/>
          <w:szCs w:val="24"/>
          <w:lang w:val="en-US"/>
        </w:rPr>
        <w:t>6.1.12</w:t>
      </w:r>
      <w:r>
        <w:rPr>
          <w:rFonts w:hint="eastAsia"/>
          <w:sz w:val="24"/>
          <w:szCs w:val="24"/>
        </w:rPr>
        <w:t>承包人还应根据有关法律、法规、规定和条例等的要求，制定一套安全生</w:t>
      </w:r>
      <w:r>
        <w:rPr>
          <w:rFonts w:hint="eastAsia"/>
          <w:spacing w:val="-8"/>
          <w:sz w:val="24"/>
          <w:szCs w:val="24"/>
        </w:rPr>
        <w:t>产应急措施和程序，保证一旦出现任何安全事故，能立即保护好现场，抢救</w:t>
      </w:r>
      <w:r>
        <w:rPr>
          <w:rFonts w:hint="eastAsia"/>
          <w:sz w:val="24"/>
          <w:szCs w:val="24"/>
        </w:rPr>
        <w:t>伤员和财产，保证施工生产的正常进行，防止损失扩大。</w:t>
      </w:r>
      <w:r>
        <w:rPr>
          <w:sz w:val="24"/>
          <w:szCs w:val="24"/>
        </w:rPr>
        <w:t xml:space="preserve"> </w:t>
      </w:r>
    </w:p>
    <w:p>
      <w:pPr>
        <w:pStyle w:val="58"/>
        <w:tabs>
          <w:tab w:val="left" w:pos="1105"/>
        </w:tabs>
        <w:spacing w:line="360" w:lineRule="auto"/>
        <w:ind w:left="0" w:right="1640" w:firstLine="480" w:firstLineChars="200"/>
        <w:jc w:val="both"/>
        <w:rPr>
          <w:sz w:val="24"/>
          <w:szCs w:val="24"/>
        </w:rPr>
      </w:pPr>
      <w:r>
        <w:rPr>
          <w:sz w:val="24"/>
          <w:szCs w:val="24"/>
          <w:lang w:val="en-US"/>
        </w:rPr>
        <w:t>6.1.13</w:t>
      </w:r>
      <w:r>
        <w:rPr>
          <w:rFonts w:hint="eastAsia"/>
          <w:sz w:val="24"/>
          <w:szCs w:val="24"/>
        </w:rPr>
        <w:t>安全防护方面的其他要求如下</w:t>
      </w:r>
      <w:r>
        <w:rPr>
          <w:sz w:val="24"/>
          <w:szCs w:val="24"/>
        </w:rPr>
        <w:t xml:space="preserve">: </w:t>
      </w:r>
    </w:p>
    <w:p>
      <w:pPr>
        <w:pStyle w:val="18"/>
        <w:spacing w:line="360" w:lineRule="auto"/>
      </w:pPr>
      <w:r>
        <w:rPr>
          <w:u w:val="single"/>
        </w:rPr>
        <w:t xml:space="preserve">                                                                                                                                                                      </w:t>
      </w:r>
      <w:r>
        <w:rPr>
          <w:rFonts w:hint="eastAsia"/>
        </w:rPr>
        <w:t>。</w:t>
      </w:r>
    </w:p>
    <w:p>
      <w:pPr>
        <w:pStyle w:val="7"/>
        <w:numPr>
          <w:ilvl w:val="1"/>
          <w:numId w:val="5"/>
        </w:numPr>
        <w:tabs>
          <w:tab w:val="left" w:pos="688"/>
        </w:tabs>
        <w:spacing w:line="360" w:lineRule="auto"/>
        <w:ind w:left="687" w:hanging="364"/>
        <w:rPr>
          <w:rFonts w:ascii="宋体" w:hAnsi="宋体" w:eastAsia="宋体" w:cs="宋体"/>
        </w:rPr>
      </w:pPr>
      <w:r>
        <w:rPr>
          <w:rFonts w:hint="eastAsia" w:ascii="宋体" w:hAnsi="宋体" w:eastAsia="宋体" w:cs="宋体"/>
        </w:rPr>
        <w:t>园林绿化工程安全管理要求</w:t>
      </w:r>
    </w:p>
    <w:p>
      <w:pPr>
        <w:pStyle w:val="7"/>
        <w:tabs>
          <w:tab w:val="left" w:pos="688"/>
        </w:tabs>
        <w:spacing w:line="360" w:lineRule="auto"/>
        <w:ind w:left="0" w:firstLine="480" w:firstLineChars="200"/>
        <w:rPr>
          <w:rFonts w:ascii="宋体" w:hAnsi="宋体" w:eastAsia="宋体" w:cs="宋体"/>
          <w:b w:val="0"/>
          <w:bCs w:val="0"/>
        </w:rPr>
      </w:pPr>
      <w:r>
        <w:rPr>
          <w:rFonts w:ascii="宋体" w:hAnsi="宋体" w:eastAsia="宋体" w:cs="宋体"/>
          <w:b w:val="0"/>
          <w:bCs w:val="0"/>
          <w:lang w:val="en-US"/>
        </w:rPr>
        <w:t>6.2.1</w:t>
      </w:r>
      <w:r>
        <w:rPr>
          <w:rFonts w:hint="eastAsia" w:ascii="宋体" w:hAnsi="宋体" w:eastAsia="宋体" w:cs="宋体"/>
          <w:b w:val="0"/>
          <w:bCs w:val="0"/>
          <w:spacing w:val="-13"/>
        </w:rPr>
        <w:t>园林绿化用苗</w:t>
      </w:r>
      <w:r>
        <w:rPr>
          <w:rFonts w:hint="eastAsia" w:ascii="宋体" w:hAnsi="宋体" w:eastAsia="宋体" w:cs="宋体"/>
          <w:b w:val="0"/>
          <w:bCs w:val="0"/>
        </w:rPr>
        <w:t>（主要指乔木</w:t>
      </w:r>
      <w:r>
        <w:rPr>
          <w:rFonts w:hint="eastAsia" w:ascii="宋体" w:hAnsi="宋体" w:eastAsia="宋体" w:cs="宋体"/>
          <w:b w:val="0"/>
          <w:bCs w:val="0"/>
          <w:spacing w:val="-72"/>
        </w:rPr>
        <w:t>）</w:t>
      </w:r>
      <w:r>
        <w:rPr>
          <w:rFonts w:hint="eastAsia" w:ascii="宋体" w:hAnsi="宋体" w:eastAsia="宋体" w:cs="宋体"/>
          <w:b w:val="0"/>
          <w:bCs w:val="0"/>
          <w:spacing w:val="-6"/>
        </w:rPr>
        <w:t>规格较大的苗木土球挖掘前应该先支撑牢固。</w:t>
      </w:r>
    </w:p>
    <w:p>
      <w:pPr>
        <w:pStyle w:val="58"/>
        <w:tabs>
          <w:tab w:val="left" w:pos="926"/>
        </w:tabs>
        <w:spacing w:line="360" w:lineRule="auto"/>
        <w:ind w:left="0" w:right="1644" w:firstLine="476" w:firstLineChars="200"/>
        <w:rPr>
          <w:sz w:val="24"/>
          <w:szCs w:val="24"/>
        </w:rPr>
      </w:pPr>
      <w:r>
        <w:rPr>
          <w:spacing w:val="-1"/>
          <w:sz w:val="24"/>
          <w:szCs w:val="24"/>
          <w:lang w:val="en-US"/>
        </w:rPr>
        <w:t>6.2.2</w:t>
      </w:r>
      <w:r>
        <w:rPr>
          <w:rFonts w:hint="eastAsia"/>
          <w:spacing w:val="-1"/>
          <w:sz w:val="24"/>
          <w:szCs w:val="24"/>
        </w:rPr>
        <w:t>园林绿化用苗</w:t>
      </w:r>
      <w:r>
        <w:rPr>
          <w:rFonts w:hint="eastAsia"/>
          <w:sz w:val="24"/>
          <w:szCs w:val="24"/>
        </w:rPr>
        <w:t>（主要指乔木</w:t>
      </w:r>
      <w:r>
        <w:rPr>
          <w:rFonts w:hint="eastAsia"/>
          <w:spacing w:val="-5"/>
          <w:sz w:val="24"/>
          <w:szCs w:val="24"/>
        </w:rPr>
        <w:t>）</w:t>
      </w:r>
      <w:r>
        <w:rPr>
          <w:rFonts w:hint="eastAsia"/>
          <w:spacing w:val="-4"/>
          <w:sz w:val="24"/>
          <w:szCs w:val="24"/>
        </w:rPr>
        <w:t>装、卸、栽植使用吊车</w:t>
      </w:r>
      <w:r>
        <w:rPr>
          <w:rFonts w:hint="eastAsia"/>
          <w:sz w:val="24"/>
          <w:szCs w:val="24"/>
        </w:rPr>
        <w:t>（起重机</w:t>
      </w:r>
      <w:r>
        <w:rPr>
          <w:rFonts w:hint="eastAsia"/>
          <w:spacing w:val="-5"/>
          <w:sz w:val="24"/>
          <w:szCs w:val="24"/>
        </w:rPr>
        <w:t>）</w:t>
      </w:r>
      <w:r>
        <w:rPr>
          <w:rFonts w:hint="eastAsia"/>
          <w:spacing w:val="-4"/>
          <w:sz w:val="24"/>
          <w:szCs w:val="24"/>
        </w:rPr>
        <w:t>应该遵守吊车（起重机）操作安全规程的要求。</w:t>
      </w:r>
      <w:r>
        <w:rPr>
          <w:spacing w:val="-4"/>
          <w:sz w:val="24"/>
          <w:szCs w:val="24"/>
        </w:rPr>
        <w:t xml:space="preserve"> </w:t>
      </w:r>
    </w:p>
    <w:p>
      <w:pPr>
        <w:pStyle w:val="58"/>
        <w:tabs>
          <w:tab w:val="left" w:pos="926"/>
        </w:tabs>
        <w:spacing w:line="360" w:lineRule="auto"/>
        <w:ind w:left="0" w:right="1521" w:firstLine="468" w:firstLineChars="200"/>
        <w:rPr>
          <w:spacing w:val="-12"/>
          <w:sz w:val="24"/>
          <w:szCs w:val="24"/>
        </w:rPr>
      </w:pPr>
      <w:r>
        <w:rPr>
          <w:spacing w:val="-3"/>
          <w:sz w:val="24"/>
          <w:szCs w:val="24"/>
          <w:lang w:val="en-US"/>
        </w:rPr>
        <w:t>6.2.3</w:t>
      </w:r>
      <w:r>
        <w:rPr>
          <w:rFonts w:hint="eastAsia"/>
          <w:spacing w:val="-3"/>
          <w:sz w:val="24"/>
          <w:szCs w:val="24"/>
        </w:rPr>
        <w:t>园林绿化用苗在运输前、过程中、到达现场后都应该对苗木采取必要的保鲜处</w:t>
      </w:r>
      <w:r>
        <w:rPr>
          <w:rFonts w:hint="eastAsia"/>
          <w:spacing w:val="-6"/>
          <w:sz w:val="24"/>
          <w:szCs w:val="24"/>
        </w:rPr>
        <w:t>理，土球苗木装运数量不宜过多，码放不宜多层。每层的土球苗木应该码</w:t>
      </w:r>
      <w:r>
        <w:rPr>
          <w:rFonts w:hint="eastAsia"/>
          <w:spacing w:val="-16"/>
          <w:sz w:val="24"/>
          <w:szCs w:val="24"/>
        </w:rPr>
        <w:t>放稳定牢固。在运输押运过程中，押运人员应该穿绝缘服装和绝缘鞋，遇到</w:t>
      </w:r>
      <w:r>
        <w:rPr>
          <w:rFonts w:hint="eastAsia"/>
          <w:spacing w:val="-12"/>
          <w:sz w:val="24"/>
          <w:szCs w:val="24"/>
        </w:rPr>
        <w:t>有线路障碍，应该使用绝缘杆。车辆运输的装载高度、宽度应该符合交通法的规定。</w:t>
      </w:r>
      <w:r>
        <w:rPr>
          <w:spacing w:val="-12"/>
          <w:sz w:val="24"/>
          <w:szCs w:val="24"/>
        </w:rPr>
        <w:t xml:space="preserve"> </w:t>
      </w:r>
    </w:p>
    <w:p>
      <w:pPr>
        <w:pStyle w:val="58"/>
        <w:tabs>
          <w:tab w:val="left" w:pos="926"/>
        </w:tabs>
        <w:spacing w:line="360" w:lineRule="auto"/>
        <w:ind w:left="0" w:right="1521" w:firstLine="432" w:firstLineChars="200"/>
        <w:rPr>
          <w:spacing w:val="-2"/>
          <w:sz w:val="24"/>
          <w:szCs w:val="24"/>
        </w:rPr>
      </w:pPr>
      <w:r>
        <w:rPr>
          <w:spacing w:val="-12"/>
          <w:sz w:val="24"/>
          <w:szCs w:val="24"/>
          <w:lang w:val="en-US"/>
        </w:rPr>
        <w:t>6.2.4</w:t>
      </w:r>
      <w:r>
        <w:rPr>
          <w:rFonts w:hint="eastAsia"/>
          <w:spacing w:val="-3"/>
          <w:sz w:val="24"/>
          <w:szCs w:val="24"/>
        </w:rPr>
        <w:t>园林苗木栽植应该保证一定的劳动组合，使栽植工作顺利按程序进行。作业</w:t>
      </w:r>
      <w:r>
        <w:rPr>
          <w:rFonts w:hint="eastAsia"/>
          <w:spacing w:val="-7"/>
          <w:sz w:val="24"/>
          <w:szCs w:val="24"/>
        </w:rPr>
        <w:t>人员应该佩戴安全帽，现场配备绝缘杆，应该有专职人员指挥吊车和高空</w:t>
      </w:r>
      <w:r>
        <w:rPr>
          <w:rFonts w:hint="eastAsia"/>
          <w:spacing w:val="-9"/>
          <w:sz w:val="24"/>
          <w:szCs w:val="24"/>
        </w:rPr>
        <w:t>修剪车各种操作。园林苗木</w:t>
      </w:r>
      <w:r>
        <w:rPr>
          <w:rFonts w:hint="eastAsia"/>
          <w:sz w:val="24"/>
          <w:szCs w:val="24"/>
        </w:rPr>
        <w:t>（主要指乔木</w:t>
      </w:r>
      <w:r>
        <w:rPr>
          <w:rFonts w:hint="eastAsia"/>
          <w:spacing w:val="-10"/>
          <w:sz w:val="24"/>
          <w:szCs w:val="24"/>
        </w:rPr>
        <w:t>）</w:t>
      </w:r>
      <w:r>
        <w:rPr>
          <w:rFonts w:hint="eastAsia"/>
          <w:spacing w:val="-2"/>
          <w:sz w:val="24"/>
          <w:szCs w:val="24"/>
        </w:rPr>
        <w:t>土球苗木扶正后应该做好支持，裸根苗木栽植后浇水前应该做好支撑。</w:t>
      </w:r>
      <w:r>
        <w:rPr>
          <w:spacing w:val="-2"/>
          <w:sz w:val="24"/>
          <w:szCs w:val="24"/>
        </w:rPr>
        <w:t xml:space="preserve"> </w:t>
      </w:r>
    </w:p>
    <w:p>
      <w:pPr>
        <w:pStyle w:val="58"/>
        <w:tabs>
          <w:tab w:val="left" w:pos="926"/>
        </w:tabs>
        <w:spacing w:line="360" w:lineRule="auto"/>
        <w:ind w:left="0" w:right="1521" w:firstLine="472" w:firstLineChars="200"/>
        <w:rPr>
          <w:spacing w:val="-1"/>
          <w:sz w:val="24"/>
          <w:szCs w:val="24"/>
        </w:rPr>
      </w:pPr>
      <w:r>
        <w:rPr>
          <w:spacing w:val="-2"/>
          <w:sz w:val="24"/>
          <w:szCs w:val="24"/>
          <w:lang w:val="en-US"/>
        </w:rPr>
        <w:t>6.2.5</w:t>
      </w:r>
      <w:r>
        <w:rPr>
          <w:rFonts w:hint="eastAsia"/>
          <w:spacing w:val="-2"/>
          <w:sz w:val="24"/>
          <w:szCs w:val="24"/>
        </w:rPr>
        <w:t>园林绿化用苗</w:t>
      </w:r>
      <w:r>
        <w:rPr>
          <w:rFonts w:hint="eastAsia"/>
          <w:sz w:val="24"/>
          <w:szCs w:val="24"/>
        </w:rPr>
        <w:t>（主要指乔木</w:t>
      </w:r>
      <w:r>
        <w:rPr>
          <w:rFonts w:hint="eastAsia"/>
          <w:spacing w:val="-12"/>
          <w:sz w:val="24"/>
          <w:szCs w:val="24"/>
        </w:rPr>
        <w:t>）</w:t>
      </w:r>
      <w:r>
        <w:rPr>
          <w:rFonts w:hint="eastAsia"/>
          <w:spacing w:val="-1"/>
          <w:sz w:val="24"/>
          <w:szCs w:val="24"/>
        </w:rPr>
        <w:t>使用木箱板方式掘苗栽植的应该执行下列安全规定：</w:t>
      </w:r>
      <w:r>
        <w:rPr>
          <w:spacing w:val="-1"/>
          <w:sz w:val="24"/>
          <w:szCs w:val="24"/>
        </w:rPr>
        <w:t xml:space="preserve"> </w:t>
      </w:r>
    </w:p>
    <w:p>
      <w:pPr>
        <w:pStyle w:val="58"/>
        <w:tabs>
          <w:tab w:val="left" w:pos="926"/>
        </w:tabs>
        <w:spacing w:line="360" w:lineRule="auto"/>
        <w:ind w:left="0" w:right="1521" w:firstLine="476" w:firstLineChars="200"/>
        <w:rPr>
          <w:sz w:val="24"/>
          <w:szCs w:val="24"/>
        </w:rPr>
      </w:pPr>
      <w:r>
        <w:rPr>
          <w:rFonts w:hint="eastAsia"/>
          <w:spacing w:val="-1"/>
          <w:sz w:val="24"/>
          <w:szCs w:val="24"/>
        </w:rPr>
        <w:t>（</w:t>
      </w:r>
      <w:r>
        <w:rPr>
          <w:spacing w:val="-1"/>
          <w:sz w:val="24"/>
          <w:szCs w:val="24"/>
          <w:lang w:val="en-US"/>
        </w:rPr>
        <w:t>1</w:t>
      </w:r>
      <w:r>
        <w:rPr>
          <w:rFonts w:hint="eastAsia"/>
          <w:spacing w:val="-1"/>
          <w:sz w:val="24"/>
          <w:szCs w:val="24"/>
          <w:lang w:val="en-US"/>
        </w:rPr>
        <w:t>）</w:t>
      </w:r>
      <w:r>
        <w:rPr>
          <w:rFonts w:hint="eastAsia"/>
          <w:spacing w:val="-1"/>
          <w:sz w:val="24"/>
          <w:szCs w:val="24"/>
        </w:rPr>
        <w:t>木箱板移植工程应该事先编制专项施工方案和操作规程，制定相关安全措施。</w:t>
      </w:r>
      <w:r>
        <w:rPr>
          <w:spacing w:val="-1"/>
          <w:sz w:val="24"/>
          <w:szCs w:val="24"/>
        </w:rPr>
        <w:t xml:space="preserve"> </w:t>
      </w:r>
    </w:p>
    <w:p>
      <w:pPr>
        <w:spacing w:line="360" w:lineRule="auto"/>
        <w:rPr>
          <w:sz w:val="24"/>
          <w:szCs w:val="24"/>
        </w:rPr>
      </w:pPr>
    </w:p>
    <w:p>
      <w:pPr>
        <w:pStyle w:val="58"/>
        <w:tabs>
          <w:tab w:val="left" w:pos="926"/>
        </w:tabs>
        <w:spacing w:line="360" w:lineRule="auto"/>
        <w:ind w:left="0" w:right="1521" w:firstLine="480" w:firstLineChars="200"/>
        <w:rPr>
          <w:sz w:val="24"/>
          <w:szCs w:val="24"/>
        </w:rPr>
      </w:pPr>
      <w:r>
        <w:rPr>
          <w:rFonts w:hint="eastAsia"/>
          <w:sz w:val="24"/>
          <w:szCs w:val="24"/>
        </w:rPr>
        <w:t>（</w:t>
      </w:r>
      <w:r>
        <w:rPr>
          <w:sz w:val="24"/>
          <w:szCs w:val="24"/>
          <w:lang w:val="en-US"/>
        </w:rPr>
        <w:t>2</w:t>
      </w:r>
      <w:r>
        <w:rPr>
          <w:rFonts w:hint="eastAsia"/>
          <w:sz w:val="24"/>
          <w:szCs w:val="24"/>
          <w:lang w:val="en-US"/>
        </w:rPr>
        <w:t>）</w:t>
      </w:r>
      <w:r>
        <w:rPr>
          <w:rFonts w:hint="eastAsia"/>
          <w:sz w:val="24"/>
          <w:szCs w:val="24"/>
        </w:rPr>
        <w:t>作业前必须对现场环境（如）地下管线的种类、深度、架空线的种类及净空高度</w:t>
      </w:r>
      <w:r>
        <w:rPr>
          <w:rFonts w:hint="eastAsia"/>
          <w:spacing w:val="-120"/>
          <w:sz w:val="24"/>
          <w:szCs w:val="24"/>
        </w:rPr>
        <w:t>）</w:t>
      </w:r>
      <w:r>
        <w:rPr>
          <w:rFonts w:hint="eastAsia"/>
          <w:sz w:val="24"/>
          <w:szCs w:val="24"/>
        </w:rPr>
        <w:t>、运输宽度、路面质量、立体交叉的净空高度</w:t>
      </w:r>
      <w:r>
        <w:rPr>
          <w:rFonts w:hint="eastAsia"/>
          <w:spacing w:val="-120"/>
          <w:sz w:val="24"/>
          <w:szCs w:val="24"/>
        </w:rPr>
        <w:t>）</w:t>
      </w:r>
      <w:r>
        <w:rPr>
          <w:rFonts w:hint="eastAsia"/>
          <w:sz w:val="24"/>
          <w:szCs w:val="24"/>
        </w:rPr>
        <w:t>、其他障碍物、桥涵</w:t>
      </w:r>
      <w:r>
        <w:rPr>
          <w:rFonts w:hint="eastAsia"/>
          <w:spacing w:val="-6"/>
          <w:sz w:val="24"/>
          <w:szCs w:val="24"/>
        </w:rPr>
        <w:t>宽度、承载能力及有效的转弯半径等进行调查了解后，制定出安全措施，方可施工。</w:t>
      </w:r>
      <w:r>
        <w:rPr>
          <w:spacing w:val="-6"/>
          <w:sz w:val="24"/>
          <w:szCs w:val="24"/>
        </w:rPr>
        <w:t xml:space="preserve"> </w:t>
      </w:r>
    </w:p>
    <w:p>
      <w:pPr>
        <w:pStyle w:val="58"/>
        <w:tabs>
          <w:tab w:val="left" w:pos="926"/>
        </w:tabs>
        <w:spacing w:line="360" w:lineRule="auto"/>
        <w:ind w:left="0" w:right="1741" w:firstLine="476" w:firstLineChars="200"/>
        <w:rPr>
          <w:sz w:val="24"/>
          <w:szCs w:val="24"/>
        </w:rPr>
      </w:pPr>
      <w:r>
        <w:rPr>
          <w:rFonts w:hint="eastAsia"/>
          <w:spacing w:val="-1"/>
          <w:sz w:val="24"/>
          <w:szCs w:val="24"/>
        </w:rPr>
        <w:t>（</w:t>
      </w:r>
      <w:r>
        <w:rPr>
          <w:spacing w:val="-1"/>
          <w:sz w:val="24"/>
          <w:szCs w:val="24"/>
          <w:lang w:val="en-US"/>
        </w:rPr>
        <w:t>3</w:t>
      </w:r>
      <w:r>
        <w:rPr>
          <w:rFonts w:hint="eastAsia"/>
          <w:spacing w:val="-1"/>
          <w:sz w:val="24"/>
          <w:szCs w:val="24"/>
          <w:lang w:val="en-US"/>
        </w:rPr>
        <w:t>）</w:t>
      </w:r>
      <w:r>
        <w:rPr>
          <w:rFonts w:hint="eastAsia"/>
          <w:spacing w:val="-1"/>
          <w:sz w:val="24"/>
          <w:szCs w:val="24"/>
        </w:rPr>
        <w:t>工作实施前对实施人员进行操作规程培训和考试合格上岗，做好安全交底和签字确认工作。</w:t>
      </w:r>
      <w:r>
        <w:rPr>
          <w:spacing w:val="-1"/>
          <w:sz w:val="24"/>
          <w:szCs w:val="24"/>
        </w:rPr>
        <w:t xml:space="preserve"> </w:t>
      </w:r>
    </w:p>
    <w:p>
      <w:pPr>
        <w:pStyle w:val="58"/>
        <w:tabs>
          <w:tab w:val="left" w:pos="926"/>
        </w:tabs>
        <w:spacing w:line="360" w:lineRule="auto"/>
        <w:ind w:left="0" w:firstLine="480" w:firstLineChars="200"/>
        <w:rPr>
          <w:sz w:val="24"/>
          <w:szCs w:val="24"/>
        </w:rPr>
      </w:pPr>
      <w:r>
        <w:rPr>
          <w:rFonts w:hint="eastAsia"/>
          <w:sz w:val="24"/>
          <w:szCs w:val="24"/>
        </w:rPr>
        <w:t>（</w:t>
      </w:r>
      <w:r>
        <w:rPr>
          <w:sz w:val="24"/>
          <w:szCs w:val="24"/>
          <w:lang w:val="en-US"/>
        </w:rPr>
        <w:t>4</w:t>
      </w:r>
      <w:r>
        <w:rPr>
          <w:rFonts w:hint="eastAsia"/>
          <w:sz w:val="24"/>
          <w:szCs w:val="24"/>
          <w:lang w:val="en-US"/>
        </w:rPr>
        <w:t>）</w:t>
      </w:r>
      <w:r>
        <w:rPr>
          <w:rFonts w:hint="eastAsia"/>
          <w:sz w:val="24"/>
          <w:szCs w:val="24"/>
        </w:rPr>
        <w:t>根据现场应设置警示牌，环境特殊时应设置隔离区。</w:t>
      </w:r>
      <w:r>
        <w:rPr>
          <w:sz w:val="24"/>
          <w:szCs w:val="24"/>
        </w:rPr>
        <w:t xml:space="preserve"> </w:t>
      </w:r>
    </w:p>
    <w:p>
      <w:pPr>
        <w:pStyle w:val="58"/>
        <w:tabs>
          <w:tab w:val="left" w:pos="926"/>
        </w:tabs>
        <w:spacing w:line="360" w:lineRule="auto"/>
        <w:ind w:left="0" w:right="1741" w:firstLine="476" w:firstLineChars="200"/>
        <w:rPr>
          <w:spacing w:val="-1"/>
          <w:sz w:val="24"/>
          <w:szCs w:val="24"/>
        </w:rPr>
      </w:pPr>
      <w:r>
        <w:rPr>
          <w:rFonts w:hint="eastAsia"/>
          <w:spacing w:val="-1"/>
          <w:sz w:val="24"/>
          <w:szCs w:val="24"/>
        </w:rPr>
        <w:t>（</w:t>
      </w:r>
      <w:r>
        <w:rPr>
          <w:spacing w:val="-1"/>
          <w:sz w:val="24"/>
          <w:szCs w:val="24"/>
          <w:lang w:val="en-US"/>
        </w:rPr>
        <w:t>5</w:t>
      </w:r>
      <w:r>
        <w:rPr>
          <w:rFonts w:hint="eastAsia"/>
          <w:spacing w:val="-1"/>
          <w:sz w:val="24"/>
          <w:szCs w:val="24"/>
          <w:lang w:val="en-US"/>
        </w:rPr>
        <w:t>）</w:t>
      </w:r>
      <w:r>
        <w:rPr>
          <w:rFonts w:hint="eastAsia"/>
          <w:spacing w:val="-1"/>
          <w:sz w:val="24"/>
          <w:szCs w:val="24"/>
        </w:rPr>
        <w:t>应配备的安全防护物资物品，安全帽、革制手套、绝缘物品，并明确使用方法。</w:t>
      </w:r>
      <w:r>
        <w:rPr>
          <w:spacing w:val="-1"/>
          <w:sz w:val="24"/>
          <w:szCs w:val="24"/>
        </w:rPr>
        <w:t xml:space="preserve"> </w:t>
      </w:r>
    </w:p>
    <w:p>
      <w:pPr>
        <w:pStyle w:val="58"/>
        <w:tabs>
          <w:tab w:val="left" w:pos="926"/>
        </w:tabs>
        <w:spacing w:line="360" w:lineRule="auto"/>
        <w:ind w:left="0" w:right="1741" w:firstLine="476" w:firstLineChars="200"/>
        <w:rPr>
          <w:sz w:val="24"/>
          <w:szCs w:val="24"/>
        </w:rPr>
      </w:pPr>
      <w:r>
        <w:rPr>
          <w:rFonts w:hint="eastAsia"/>
          <w:spacing w:val="-1"/>
          <w:sz w:val="24"/>
          <w:szCs w:val="24"/>
        </w:rPr>
        <w:t>（</w:t>
      </w:r>
      <w:r>
        <w:rPr>
          <w:spacing w:val="-1"/>
          <w:sz w:val="24"/>
          <w:szCs w:val="24"/>
          <w:lang w:val="en-US"/>
        </w:rPr>
        <w:t>6</w:t>
      </w:r>
      <w:r>
        <w:rPr>
          <w:rFonts w:hint="eastAsia"/>
          <w:spacing w:val="-1"/>
          <w:sz w:val="24"/>
          <w:szCs w:val="24"/>
          <w:lang w:val="en-US"/>
        </w:rPr>
        <w:t>）</w:t>
      </w:r>
      <w:r>
        <w:rPr>
          <w:rFonts w:hint="eastAsia"/>
          <w:sz w:val="24"/>
          <w:szCs w:val="24"/>
        </w:rPr>
        <w:t>机械状况及操作人员资质（岗位）检查。</w:t>
      </w:r>
      <w:r>
        <w:rPr>
          <w:sz w:val="24"/>
          <w:szCs w:val="24"/>
        </w:rPr>
        <w:t xml:space="preserve"> </w:t>
      </w:r>
    </w:p>
    <w:p>
      <w:pPr>
        <w:pStyle w:val="58"/>
        <w:tabs>
          <w:tab w:val="left" w:pos="926"/>
        </w:tabs>
        <w:spacing w:line="360" w:lineRule="auto"/>
        <w:ind w:left="0" w:firstLine="480" w:firstLineChars="200"/>
        <w:rPr>
          <w:sz w:val="24"/>
          <w:szCs w:val="24"/>
        </w:rPr>
      </w:pPr>
      <w:r>
        <w:rPr>
          <w:rFonts w:hint="eastAsia"/>
          <w:sz w:val="24"/>
          <w:szCs w:val="24"/>
        </w:rPr>
        <w:t>（</w:t>
      </w:r>
      <w:r>
        <w:rPr>
          <w:sz w:val="24"/>
          <w:szCs w:val="24"/>
          <w:lang w:val="en-US"/>
        </w:rPr>
        <w:t>7</w:t>
      </w:r>
      <w:r>
        <w:rPr>
          <w:rFonts w:hint="eastAsia"/>
          <w:sz w:val="24"/>
          <w:szCs w:val="24"/>
          <w:lang w:val="en-US"/>
        </w:rPr>
        <w:t>）</w:t>
      </w:r>
      <w:r>
        <w:rPr>
          <w:rFonts w:hint="eastAsia"/>
          <w:sz w:val="24"/>
          <w:szCs w:val="24"/>
        </w:rPr>
        <w:t>专职安全员现场监督</w:t>
      </w:r>
      <w:r>
        <w:rPr>
          <w:sz w:val="24"/>
          <w:szCs w:val="24"/>
        </w:rPr>
        <w:t xml:space="preserve"> </w:t>
      </w:r>
    </w:p>
    <w:p>
      <w:pPr>
        <w:pStyle w:val="58"/>
        <w:tabs>
          <w:tab w:val="left" w:pos="926"/>
        </w:tabs>
        <w:spacing w:line="360" w:lineRule="auto"/>
        <w:ind w:left="0" w:firstLine="480" w:firstLineChars="200"/>
        <w:rPr>
          <w:spacing w:val="-1"/>
          <w:sz w:val="24"/>
          <w:szCs w:val="24"/>
        </w:rPr>
      </w:pPr>
      <w:r>
        <w:rPr>
          <w:rFonts w:hint="eastAsia"/>
          <w:sz w:val="24"/>
          <w:szCs w:val="24"/>
        </w:rPr>
        <w:t>（</w:t>
      </w:r>
      <w:r>
        <w:rPr>
          <w:spacing w:val="-1"/>
          <w:sz w:val="24"/>
          <w:szCs w:val="24"/>
          <w:lang w:val="en-US"/>
        </w:rPr>
        <w:t>8</w:t>
      </w:r>
      <w:r>
        <w:rPr>
          <w:rFonts w:hint="eastAsia"/>
          <w:spacing w:val="-1"/>
          <w:sz w:val="24"/>
          <w:szCs w:val="24"/>
          <w:lang w:val="en-US"/>
        </w:rPr>
        <w:t>）</w:t>
      </w:r>
      <w:r>
        <w:rPr>
          <w:rFonts w:hint="eastAsia"/>
          <w:spacing w:val="-1"/>
          <w:sz w:val="24"/>
          <w:szCs w:val="24"/>
        </w:rPr>
        <w:t>箱板苗挖掘、吊装、运输、栽植过程的安全必修符合木箱板苗移植专项方案</w:t>
      </w:r>
    </w:p>
    <w:p>
      <w:pPr>
        <w:pStyle w:val="58"/>
        <w:tabs>
          <w:tab w:val="left" w:pos="926"/>
        </w:tabs>
        <w:spacing w:line="360" w:lineRule="auto"/>
        <w:ind w:left="0" w:firstLine="476" w:firstLineChars="200"/>
        <w:rPr>
          <w:spacing w:val="-1"/>
          <w:sz w:val="24"/>
          <w:szCs w:val="24"/>
        </w:rPr>
      </w:pPr>
      <w:r>
        <w:rPr>
          <w:rFonts w:hint="eastAsia"/>
          <w:spacing w:val="-1"/>
          <w:sz w:val="24"/>
          <w:szCs w:val="24"/>
        </w:rPr>
        <w:t>和操作规程中相关安全防护措施的要求。</w:t>
      </w:r>
      <w:r>
        <w:rPr>
          <w:spacing w:val="-1"/>
          <w:sz w:val="24"/>
          <w:szCs w:val="24"/>
        </w:rPr>
        <w:t xml:space="preserve"> </w:t>
      </w:r>
    </w:p>
    <w:p>
      <w:pPr>
        <w:pStyle w:val="58"/>
        <w:tabs>
          <w:tab w:val="left" w:pos="1406"/>
        </w:tabs>
        <w:spacing w:line="360" w:lineRule="auto"/>
        <w:ind w:left="803" w:right="1650" w:firstLine="0"/>
        <w:rPr>
          <w:sz w:val="24"/>
          <w:szCs w:val="24"/>
        </w:rPr>
      </w:pPr>
      <w:r>
        <w:rPr>
          <w:sz w:val="24"/>
          <w:szCs w:val="24"/>
          <w:lang w:val="en-US"/>
        </w:rPr>
        <w:t>6.2.6</w:t>
      </w:r>
      <w:r>
        <w:rPr>
          <w:rFonts w:hint="eastAsia"/>
          <w:sz w:val="24"/>
          <w:szCs w:val="24"/>
        </w:rPr>
        <w:t>园林绿化工程施工和养护对树木修剪（含移伐死树</w:t>
      </w:r>
      <w:r>
        <w:rPr>
          <w:rFonts w:hint="eastAsia"/>
          <w:spacing w:val="4"/>
          <w:sz w:val="24"/>
          <w:szCs w:val="24"/>
        </w:rPr>
        <w:t>）</w:t>
      </w:r>
      <w:r>
        <w:rPr>
          <w:rFonts w:hint="eastAsia"/>
          <w:sz w:val="24"/>
          <w:szCs w:val="24"/>
        </w:rPr>
        <w:t>安全作业应该按下列要求执行。</w:t>
      </w:r>
      <w:r>
        <w:rPr>
          <w:sz w:val="24"/>
          <w:szCs w:val="24"/>
        </w:rPr>
        <w:t xml:space="preserve"> </w:t>
      </w:r>
    </w:p>
    <w:p>
      <w:pPr>
        <w:pStyle w:val="58"/>
        <w:tabs>
          <w:tab w:val="left" w:pos="1406"/>
        </w:tabs>
        <w:spacing w:line="360" w:lineRule="auto"/>
        <w:ind w:left="803" w:right="1650" w:firstLine="480" w:firstLineChars="200"/>
        <w:rPr>
          <w:sz w:val="24"/>
          <w:szCs w:val="24"/>
        </w:rPr>
      </w:pPr>
      <w:r>
        <w:rPr>
          <w:rFonts w:hint="eastAsia"/>
          <w:sz w:val="24"/>
          <w:szCs w:val="24"/>
        </w:rPr>
        <w:t>工作实施前对实施人员进行修剪操作规程培训和考试合格上岗，做好安全交底和签字确认工作。</w:t>
      </w:r>
    </w:p>
    <w:p>
      <w:pPr>
        <w:pStyle w:val="58"/>
        <w:tabs>
          <w:tab w:val="left" w:pos="1406"/>
        </w:tabs>
        <w:spacing w:line="360" w:lineRule="auto"/>
        <w:ind w:left="803" w:right="1650" w:firstLine="480" w:firstLineChars="200"/>
        <w:rPr>
          <w:sz w:val="24"/>
          <w:szCs w:val="24"/>
        </w:rPr>
      </w:pPr>
      <w:r>
        <w:rPr>
          <w:rFonts w:hint="eastAsia"/>
          <w:sz w:val="24"/>
          <w:szCs w:val="24"/>
        </w:rPr>
        <w:t>根据现场应设置警示牌，环境特殊时应设置隔离区。</w:t>
      </w:r>
    </w:p>
    <w:p>
      <w:pPr>
        <w:pStyle w:val="58"/>
        <w:tabs>
          <w:tab w:val="left" w:pos="1406"/>
        </w:tabs>
        <w:spacing w:line="360" w:lineRule="auto"/>
        <w:ind w:left="803" w:right="1650" w:firstLine="480" w:firstLineChars="200"/>
        <w:rPr>
          <w:sz w:val="24"/>
          <w:szCs w:val="24"/>
        </w:rPr>
      </w:pPr>
      <w:r>
        <w:rPr>
          <w:rFonts w:hint="eastAsia"/>
          <w:sz w:val="24"/>
          <w:szCs w:val="24"/>
        </w:rPr>
        <w:t>使用修剪车修剪，应检查车辆部件，支放平稳，操作过程中，应有专人负责，有问题及时处理。</w:t>
      </w:r>
      <w:r>
        <w:rPr>
          <w:sz w:val="24"/>
          <w:szCs w:val="24"/>
        </w:rPr>
        <w:t xml:space="preserve"> </w:t>
      </w:r>
    </w:p>
    <w:p>
      <w:pPr>
        <w:pStyle w:val="58"/>
        <w:tabs>
          <w:tab w:val="left" w:pos="1406"/>
        </w:tabs>
        <w:spacing w:line="360" w:lineRule="auto"/>
        <w:ind w:left="719" w:leftChars="327" w:right="1650" w:firstLine="480" w:firstLineChars="200"/>
        <w:rPr>
          <w:sz w:val="24"/>
          <w:szCs w:val="24"/>
        </w:rPr>
      </w:pPr>
      <w:r>
        <w:rPr>
          <w:rFonts w:hint="eastAsia"/>
          <w:sz w:val="24"/>
          <w:szCs w:val="24"/>
        </w:rPr>
        <w:t>在高压线附近作业，应注意安全，避免触电，需要时请供电部门配合。应选任有实践经验的、专职安全人员担任安全质量检查员，负责安全、技术指导、质量检查及宣传工作。</w:t>
      </w:r>
    </w:p>
    <w:p>
      <w:pPr>
        <w:pStyle w:val="58"/>
        <w:tabs>
          <w:tab w:val="left" w:pos="1406"/>
        </w:tabs>
        <w:spacing w:line="360" w:lineRule="auto"/>
        <w:ind w:left="719" w:leftChars="327" w:right="1650" w:firstLine="480" w:firstLineChars="200"/>
        <w:rPr>
          <w:sz w:val="24"/>
          <w:szCs w:val="24"/>
        </w:rPr>
      </w:pPr>
      <w:r>
        <w:rPr>
          <w:rFonts w:hint="eastAsia"/>
          <w:sz w:val="24"/>
          <w:szCs w:val="24"/>
        </w:rPr>
        <w:t>应有专人维护现场，树上树下互相配合，防止砸伤行人和过往车辆。</w:t>
      </w:r>
      <w:r>
        <w:rPr>
          <w:rFonts w:hint="eastAsia"/>
          <w:spacing w:val="-10"/>
          <w:sz w:val="24"/>
          <w:szCs w:val="24"/>
        </w:rPr>
        <w:t>注意天气变化，施工应选择无风晴朗天气，五级以上</w:t>
      </w:r>
      <w:r>
        <w:rPr>
          <w:rFonts w:hint="eastAsia"/>
          <w:sz w:val="24"/>
          <w:szCs w:val="24"/>
        </w:rPr>
        <w:t>（含五级</w:t>
      </w:r>
      <w:r>
        <w:rPr>
          <w:rFonts w:hint="eastAsia"/>
          <w:spacing w:val="-36"/>
          <w:sz w:val="24"/>
          <w:szCs w:val="24"/>
        </w:rPr>
        <w:t>）</w:t>
      </w:r>
      <w:r>
        <w:rPr>
          <w:rFonts w:hint="eastAsia"/>
          <w:spacing w:val="-3"/>
          <w:sz w:val="24"/>
          <w:szCs w:val="24"/>
        </w:rPr>
        <w:t>大风不可上</w:t>
      </w:r>
      <w:r>
        <w:rPr>
          <w:rFonts w:hint="eastAsia"/>
          <w:sz w:val="24"/>
          <w:szCs w:val="24"/>
        </w:rPr>
        <w:t>树作业。操作时应思想集中，不得打闹谈笑，上树前不得饮酒。</w:t>
      </w:r>
      <w:r>
        <w:rPr>
          <w:sz w:val="24"/>
          <w:szCs w:val="24"/>
        </w:rPr>
        <w:t xml:space="preserve"> </w:t>
      </w:r>
    </w:p>
    <w:p>
      <w:pPr>
        <w:pStyle w:val="18"/>
        <w:spacing w:line="360" w:lineRule="auto"/>
        <w:ind w:left="804"/>
      </w:pPr>
      <w:r>
        <w:t xml:space="preserve"> </w:t>
      </w:r>
      <w:r>
        <w:rPr>
          <w:lang w:val="en-US"/>
        </w:rPr>
        <w:t xml:space="preserve">  </w:t>
      </w:r>
      <w:r>
        <w:rPr>
          <w:rFonts w:hint="eastAsia"/>
        </w:rPr>
        <w:t>应按规定穿好工作服，戴好安全帽，系好安全绳和安全带等。</w:t>
      </w:r>
      <w:r>
        <w:t xml:space="preserve"> </w:t>
      </w:r>
    </w:p>
    <w:p>
      <w:pPr>
        <w:pStyle w:val="18"/>
        <w:spacing w:line="360" w:lineRule="auto"/>
        <w:ind w:left="719" w:leftChars="327" w:right="1593" w:firstLine="480" w:firstLineChars="200"/>
      </w:pPr>
      <w:r>
        <w:rPr>
          <w:rFonts w:hint="eastAsia"/>
        </w:rPr>
        <w:t>大树修剪使用梯子时应牢靠、立稳，单位梯应将上部横挡与树身捆牢，人字梯中腰拴绳，角度开张适中。</w:t>
      </w:r>
      <w:r>
        <w:t xml:space="preserve"> </w:t>
      </w:r>
    </w:p>
    <w:p>
      <w:pPr>
        <w:pStyle w:val="18"/>
        <w:spacing w:line="360" w:lineRule="auto"/>
        <w:ind w:firstLine="1200" w:firstLineChars="500"/>
      </w:pPr>
      <w:r>
        <w:rPr>
          <w:rFonts w:hint="eastAsia"/>
        </w:rPr>
        <w:t>树上作业应系好安全绳，手锯绳套拴在手腕上。</w:t>
      </w:r>
      <w:r>
        <w:t xml:space="preserve"> </w:t>
      </w:r>
    </w:p>
    <w:p>
      <w:pPr>
        <w:pStyle w:val="18"/>
        <w:spacing w:line="360" w:lineRule="auto"/>
        <w:ind w:left="719" w:leftChars="327" w:right="1593" w:firstLine="480" w:firstLineChars="200"/>
      </w:pPr>
      <w:r>
        <w:rPr>
          <w:rFonts w:hint="eastAsia"/>
        </w:rPr>
        <w:t>截除大枝应由有经验的人员指挥操作。修剪下来的枝条，及时拿掉，集体运走，保证环境整洁。</w:t>
      </w:r>
      <w:r>
        <w:t xml:space="preserve"> </w:t>
      </w:r>
    </w:p>
    <w:p>
      <w:pPr>
        <w:pStyle w:val="18"/>
        <w:spacing w:line="360" w:lineRule="auto"/>
        <w:ind w:firstLine="1200" w:firstLineChars="500"/>
      </w:pPr>
      <w:r>
        <w:rPr>
          <w:rFonts w:hint="eastAsia"/>
        </w:rPr>
        <w:t>有高血压和心脏病者，不得上树作业。树上作业不得两株或多株树体间攀爬。</w:t>
      </w:r>
      <w:r>
        <w:t xml:space="preserve"> </w:t>
      </w:r>
    </w:p>
    <w:p>
      <w:pPr>
        <w:pStyle w:val="18"/>
        <w:spacing w:line="360" w:lineRule="auto"/>
        <w:ind w:firstLine="720" w:firstLineChars="300"/>
      </w:pPr>
      <w:r>
        <w:rPr>
          <w:rFonts w:hint="eastAsia"/>
        </w:rPr>
        <w:t>多人同时在一株树上修剪，应有专人指挥，相互协作。</w:t>
      </w:r>
      <w:r>
        <w:t xml:space="preserve"> </w:t>
      </w:r>
    </w:p>
    <w:p>
      <w:pPr>
        <w:pStyle w:val="58"/>
        <w:tabs>
          <w:tab w:val="left" w:pos="1406"/>
        </w:tabs>
        <w:spacing w:line="360" w:lineRule="auto"/>
        <w:ind w:left="803" w:right="1650" w:firstLine="0"/>
        <w:rPr>
          <w:sz w:val="24"/>
          <w:szCs w:val="24"/>
        </w:rPr>
      </w:pPr>
      <w:r>
        <w:rPr>
          <w:sz w:val="24"/>
          <w:szCs w:val="24"/>
          <w:lang w:val="en-US"/>
        </w:rPr>
        <w:t>6.2.7</w:t>
      </w:r>
      <w:r>
        <w:rPr>
          <w:rFonts w:hint="eastAsia"/>
          <w:sz w:val="24"/>
          <w:szCs w:val="24"/>
        </w:rPr>
        <w:t>园林建筑、小品工程施工，安全规定应该执行建筑工程相关管理的规定，给水和排水、照明（含亮丽工程）施工应该执行相关专业工程的管理规定。</w:t>
      </w:r>
      <w:r>
        <w:rPr>
          <w:sz w:val="24"/>
          <w:szCs w:val="24"/>
        </w:rPr>
        <w:t xml:space="preserve"> </w:t>
      </w:r>
    </w:p>
    <w:p>
      <w:pPr>
        <w:pStyle w:val="58"/>
        <w:tabs>
          <w:tab w:val="left" w:pos="1406"/>
        </w:tabs>
        <w:spacing w:line="360" w:lineRule="auto"/>
        <w:ind w:left="803" w:firstLine="0"/>
        <w:rPr>
          <w:sz w:val="24"/>
          <w:szCs w:val="24"/>
        </w:rPr>
      </w:pPr>
      <w:r>
        <w:rPr>
          <w:sz w:val="24"/>
          <w:szCs w:val="24"/>
          <w:lang w:val="en-US"/>
        </w:rPr>
        <w:t>6.2.8</w:t>
      </w:r>
      <w:r>
        <w:rPr>
          <w:rFonts w:hint="eastAsia"/>
          <w:sz w:val="24"/>
          <w:szCs w:val="24"/>
        </w:rPr>
        <w:t>园林掇石、假山工程安全应按下列要求执行。</w:t>
      </w:r>
      <w:r>
        <w:rPr>
          <w:sz w:val="24"/>
          <w:szCs w:val="24"/>
        </w:rPr>
        <w:t xml:space="preserve"> </w:t>
      </w:r>
    </w:p>
    <w:p>
      <w:pPr>
        <w:pStyle w:val="18"/>
        <w:spacing w:line="360" w:lineRule="auto"/>
        <w:ind w:left="324" w:right="1594" w:firstLine="479"/>
      </w:pPr>
      <w:r>
        <w:rPr>
          <w:rFonts w:hint="eastAsia"/>
        </w:rPr>
        <w:t>选石的安全，在山林中或山石存放场选石，应该注意山体是否有滑坡，石块是否码放稳定。</w:t>
      </w:r>
      <w:r>
        <w:t xml:space="preserve"> </w:t>
      </w:r>
    </w:p>
    <w:p>
      <w:pPr>
        <w:pStyle w:val="18"/>
        <w:spacing w:line="360" w:lineRule="auto"/>
        <w:ind w:left="804" w:right="3178"/>
      </w:pPr>
      <w:r>
        <w:rPr>
          <w:rFonts w:hint="eastAsia"/>
        </w:rPr>
        <w:t>石料运输的安全，石料运输不许超重，应该采取中慢速行驶。假山基础安全，假山基础必须符合设计承载力的要求。</w:t>
      </w:r>
      <w:r>
        <w:t xml:space="preserve"> </w:t>
      </w:r>
    </w:p>
    <w:p>
      <w:pPr>
        <w:pStyle w:val="18"/>
        <w:spacing w:line="360" w:lineRule="auto"/>
        <w:ind w:left="324" w:right="1641" w:firstLine="479"/>
        <w:jc w:val="both"/>
      </w:pPr>
      <w:r>
        <w:rPr>
          <w:rFonts w:hint="eastAsia"/>
          <w:spacing w:val="-5"/>
        </w:rPr>
        <w:t>叠山时的安全，作业人员必须进行叠山安全施工教育，了解作业规程，掌握吊</w:t>
      </w:r>
      <w:r>
        <w:rPr>
          <w:rFonts w:hint="eastAsia"/>
          <w:spacing w:val="-6"/>
        </w:rPr>
        <w:t>车、钢丝绳、拴石头的方法，打刹的方法。保持石头重心稳定，码放牢固。作业人</w:t>
      </w:r>
      <w:r>
        <w:rPr>
          <w:rFonts w:hint="eastAsia"/>
        </w:rPr>
        <w:t>员应该佩戴安全帽、粗皮手套、和防滑鞋等防护用品。</w:t>
      </w:r>
      <w:r>
        <w:t xml:space="preserve"> </w:t>
      </w:r>
    </w:p>
    <w:p>
      <w:pPr>
        <w:pStyle w:val="18"/>
        <w:spacing w:line="360" w:lineRule="auto"/>
        <w:ind w:left="324" w:right="1638" w:firstLine="479"/>
        <w:jc w:val="both"/>
      </w:pPr>
      <w:r>
        <w:rPr>
          <w:rFonts w:hint="eastAsia"/>
          <w:spacing w:val="2"/>
        </w:rPr>
        <w:t>叠山艺术加工时的安全，在对山石进行艺术加工时（石缝处理</w:t>
      </w:r>
      <w:r>
        <w:rPr>
          <w:rFonts w:hint="eastAsia"/>
          <w:spacing w:val="-118"/>
        </w:rPr>
        <w:t>）</w:t>
      </w:r>
      <w:r>
        <w:rPr>
          <w:rFonts w:hint="eastAsia"/>
          <w:spacing w:val="1"/>
        </w:rPr>
        <w:t>，应搭设的牢</w:t>
      </w:r>
      <w:r>
        <w:rPr>
          <w:rFonts w:hint="eastAsia"/>
          <w:spacing w:val="-5"/>
        </w:rPr>
        <w:t>固的脚手架，上面横铺木跳板，木板厚度</w:t>
      </w:r>
      <w:r>
        <w:rPr>
          <w:spacing w:val="-5"/>
        </w:rPr>
        <w:t xml:space="preserve"> </w:t>
      </w:r>
      <w:r>
        <w:t>5cm</w:t>
      </w:r>
      <w:r>
        <w:rPr>
          <w:spacing w:val="-10"/>
        </w:rPr>
        <w:t xml:space="preserve"> </w:t>
      </w:r>
      <w:r>
        <w:rPr>
          <w:rFonts w:hint="eastAsia"/>
          <w:spacing w:val="-10"/>
        </w:rPr>
        <w:t>以上。假山艺术加工时，作业人员不</w:t>
      </w:r>
      <w:r>
        <w:rPr>
          <w:rFonts w:hint="eastAsia"/>
        </w:rPr>
        <w:t>得在空间上上下重叠。</w:t>
      </w:r>
      <w:r>
        <w:t xml:space="preserve"> </w:t>
      </w:r>
    </w:p>
    <w:p>
      <w:pPr>
        <w:pStyle w:val="7"/>
        <w:numPr>
          <w:ilvl w:val="1"/>
          <w:numId w:val="5"/>
        </w:numPr>
        <w:tabs>
          <w:tab w:val="left" w:pos="1170"/>
        </w:tabs>
        <w:spacing w:line="360" w:lineRule="auto"/>
        <w:ind w:left="1169" w:hanging="364"/>
        <w:rPr>
          <w:rFonts w:ascii="宋体" w:hAnsi="宋体" w:eastAsia="宋体" w:cs="宋体"/>
        </w:rPr>
      </w:pPr>
      <w:r>
        <w:rPr>
          <w:rFonts w:hint="eastAsia" w:ascii="宋体" w:hAnsi="宋体" w:eastAsia="宋体" w:cs="宋体"/>
        </w:rPr>
        <w:t>屋顶花园专项施工安全管理要求</w:t>
      </w:r>
    </w:p>
    <w:p>
      <w:pPr>
        <w:pStyle w:val="58"/>
        <w:numPr>
          <w:ilvl w:val="2"/>
          <w:numId w:val="5"/>
        </w:numPr>
        <w:tabs>
          <w:tab w:val="left" w:pos="1406"/>
        </w:tabs>
        <w:spacing w:line="360" w:lineRule="auto"/>
        <w:ind w:left="324" w:right="1645" w:firstLine="479"/>
        <w:rPr>
          <w:sz w:val="24"/>
          <w:szCs w:val="24"/>
        </w:rPr>
      </w:pPr>
      <w:r>
        <w:rPr>
          <w:rFonts w:hint="eastAsia"/>
          <w:spacing w:val="7"/>
          <w:sz w:val="24"/>
          <w:szCs w:val="24"/>
        </w:rPr>
        <w:t>屋顶花园建设的建筑物应在满足屋顶荷载的前提下进行屋顶绿化设计。</w:t>
      </w:r>
      <w:r>
        <w:rPr>
          <w:spacing w:val="7"/>
          <w:sz w:val="24"/>
          <w:szCs w:val="24"/>
        </w:rPr>
        <w:t xml:space="preserve"> </w:t>
      </w:r>
    </w:p>
    <w:p>
      <w:pPr>
        <w:pStyle w:val="58"/>
        <w:numPr>
          <w:ilvl w:val="2"/>
          <w:numId w:val="5"/>
        </w:numPr>
        <w:tabs>
          <w:tab w:val="left" w:pos="1406"/>
        </w:tabs>
        <w:spacing w:line="360" w:lineRule="auto"/>
        <w:ind w:left="324" w:right="1650" w:firstLine="479"/>
        <w:rPr>
          <w:sz w:val="24"/>
          <w:szCs w:val="24"/>
        </w:rPr>
      </w:pPr>
      <w:r>
        <w:rPr>
          <w:rFonts w:hint="eastAsia"/>
          <w:sz w:val="24"/>
          <w:szCs w:val="24"/>
        </w:rPr>
        <w:t>屋顶绿化的防水、防根穿刺、排水、防风、防雷、防护、防火等应符合《屋顶绿化》</w:t>
      </w:r>
      <w:r>
        <w:rPr>
          <w:sz w:val="24"/>
          <w:szCs w:val="24"/>
        </w:rPr>
        <w:t>DB11/T281-2016</w:t>
      </w:r>
      <w:r>
        <w:rPr>
          <w:spacing w:val="-10"/>
          <w:sz w:val="24"/>
          <w:szCs w:val="24"/>
        </w:rPr>
        <w:t xml:space="preserve"> </w:t>
      </w:r>
      <w:r>
        <w:rPr>
          <w:rFonts w:hint="eastAsia"/>
          <w:spacing w:val="-10"/>
          <w:sz w:val="24"/>
          <w:szCs w:val="24"/>
        </w:rPr>
        <w:t>规范的要求。</w:t>
      </w:r>
      <w:r>
        <w:rPr>
          <w:spacing w:val="-10"/>
          <w:sz w:val="24"/>
          <w:szCs w:val="24"/>
        </w:rPr>
        <w:t xml:space="preserve"> </w:t>
      </w:r>
    </w:p>
    <w:p>
      <w:pPr>
        <w:pStyle w:val="58"/>
        <w:numPr>
          <w:ilvl w:val="2"/>
          <w:numId w:val="5"/>
        </w:numPr>
        <w:tabs>
          <w:tab w:val="left" w:pos="1406"/>
        </w:tabs>
        <w:spacing w:line="360" w:lineRule="auto"/>
        <w:ind w:left="1405" w:hanging="602"/>
        <w:rPr>
          <w:sz w:val="24"/>
          <w:szCs w:val="24"/>
        </w:rPr>
      </w:pPr>
      <w:r>
        <w:rPr>
          <w:rFonts w:hint="eastAsia"/>
          <w:sz w:val="24"/>
          <w:szCs w:val="24"/>
        </w:rPr>
        <w:t>施工安全应符合下列规定：</w:t>
      </w:r>
      <w:r>
        <w:rPr>
          <w:sz w:val="24"/>
          <w:szCs w:val="24"/>
        </w:rPr>
        <w:t xml:space="preserve"> </w:t>
      </w:r>
    </w:p>
    <w:p>
      <w:pPr>
        <w:pStyle w:val="18"/>
        <w:spacing w:line="360" w:lineRule="auto"/>
        <w:ind w:left="804"/>
      </w:pPr>
      <w:r>
        <w:rPr>
          <w:rFonts w:hint="eastAsia"/>
        </w:rPr>
        <w:t>屋顶绿化施工现场应该优先进行临时（或永久性）围栏防护。</w:t>
      </w:r>
      <w:r>
        <w:t xml:space="preserve"> </w:t>
      </w:r>
    </w:p>
    <w:p>
      <w:pPr>
        <w:pStyle w:val="18"/>
        <w:spacing w:line="360" w:lineRule="auto"/>
        <w:ind w:left="804" w:right="2458"/>
      </w:pPr>
      <w:r>
        <w:rPr>
          <w:rFonts w:hint="eastAsia"/>
        </w:rPr>
        <w:t>高空垂直运输中，应采取确保人员安全和防止施工材料坠落的措施。屋顶绿化施工材料不得在屋顶集中码放；</w:t>
      </w:r>
      <w:r>
        <w:t xml:space="preserve"> </w:t>
      </w:r>
    </w:p>
    <w:p>
      <w:pPr>
        <w:pStyle w:val="18"/>
        <w:spacing w:line="360" w:lineRule="auto"/>
        <w:ind w:left="804"/>
      </w:pPr>
      <w:r>
        <w:rPr>
          <w:rFonts w:hint="eastAsia"/>
        </w:rPr>
        <w:t>施工中应注意成品保护；</w:t>
      </w:r>
      <w:r>
        <w:t xml:space="preserve"> </w:t>
      </w:r>
    </w:p>
    <w:p>
      <w:pPr>
        <w:pStyle w:val="18"/>
        <w:spacing w:line="360" w:lineRule="auto"/>
        <w:ind w:left="804"/>
      </w:pPr>
      <w:r>
        <w:rPr>
          <w:rFonts w:hint="eastAsia"/>
        </w:rPr>
        <w:t>屋顶周边和预留孔洞部位应设置安全防护；</w:t>
      </w:r>
      <w:r>
        <w:t xml:space="preserve"> </w:t>
      </w:r>
    </w:p>
    <w:p>
      <w:pPr>
        <w:pStyle w:val="18"/>
        <w:spacing w:line="360" w:lineRule="auto"/>
        <w:ind w:left="804" w:right="3659"/>
      </w:pPr>
      <w:r>
        <w:rPr>
          <w:rFonts w:hint="eastAsia"/>
        </w:rPr>
        <w:t>雷、雨、雪和风力</w:t>
      </w:r>
      <w:r>
        <w:t xml:space="preserve"> 4 </w:t>
      </w:r>
      <w:r>
        <w:rPr>
          <w:rFonts w:hint="eastAsia"/>
        </w:rPr>
        <w:t>级及以上天气时，屋顶施工应停止；</w:t>
      </w:r>
      <w:r>
        <w:t xml:space="preserve"> </w:t>
      </w:r>
      <w:r>
        <w:rPr>
          <w:rFonts w:hint="eastAsia"/>
        </w:rPr>
        <w:t>施工现场应设置必要的消防设施。</w:t>
      </w:r>
      <w:r>
        <w:t xml:space="preserve"> </w:t>
      </w:r>
    </w:p>
    <w:p>
      <w:pPr>
        <w:spacing w:line="360" w:lineRule="auto"/>
        <w:ind w:left="806" w:right="3659" w:hanging="3"/>
        <w:rPr>
          <w:b/>
          <w:sz w:val="24"/>
          <w:szCs w:val="24"/>
        </w:rPr>
      </w:pPr>
      <w:r>
        <w:rPr>
          <w:rFonts w:hint="eastAsia"/>
          <w:sz w:val="24"/>
          <w:szCs w:val="24"/>
        </w:rPr>
        <w:t>屋顶绿化使用的基质和施工产生的垃圾应使用容器运输。</w:t>
      </w:r>
      <w:r>
        <w:rPr>
          <w:b/>
          <w:w w:val="81"/>
          <w:sz w:val="24"/>
          <w:szCs w:val="24"/>
        </w:rPr>
        <w:t>6</w:t>
      </w:r>
      <w:r>
        <w:rPr>
          <w:b/>
          <w:w w:val="110"/>
          <w:sz w:val="24"/>
          <w:szCs w:val="24"/>
        </w:rPr>
        <w:t>.4</w:t>
      </w:r>
      <w:r>
        <w:rPr>
          <w:b/>
          <w:w w:val="175"/>
          <w:sz w:val="24"/>
          <w:szCs w:val="24"/>
        </w:rPr>
        <w:t>.</w:t>
      </w:r>
      <w:r>
        <w:rPr>
          <w:rFonts w:hint="eastAsia"/>
          <w:b/>
          <w:sz w:val="24"/>
          <w:szCs w:val="24"/>
        </w:rPr>
        <w:t>农药使用专项管理应该按照下列要求</w:t>
      </w:r>
    </w:p>
    <w:p>
      <w:pPr>
        <w:pStyle w:val="58"/>
        <w:numPr>
          <w:ilvl w:val="2"/>
          <w:numId w:val="9"/>
        </w:numPr>
        <w:tabs>
          <w:tab w:val="left" w:pos="1406"/>
        </w:tabs>
        <w:spacing w:line="360" w:lineRule="auto"/>
        <w:ind w:hanging="602"/>
        <w:rPr>
          <w:sz w:val="24"/>
          <w:szCs w:val="24"/>
        </w:rPr>
      </w:pPr>
      <w:r>
        <w:rPr>
          <w:rFonts w:hint="eastAsia"/>
          <w:sz w:val="24"/>
          <w:szCs w:val="24"/>
        </w:rPr>
        <w:t>园林绿化养护使用的农药应遵从低毒、环保的原则。</w:t>
      </w:r>
      <w:r>
        <w:rPr>
          <w:sz w:val="24"/>
          <w:szCs w:val="24"/>
        </w:rPr>
        <w:t xml:space="preserve"> </w:t>
      </w:r>
    </w:p>
    <w:p>
      <w:pPr>
        <w:pStyle w:val="58"/>
        <w:numPr>
          <w:ilvl w:val="2"/>
          <w:numId w:val="9"/>
        </w:numPr>
        <w:tabs>
          <w:tab w:val="left" w:pos="1406"/>
        </w:tabs>
        <w:spacing w:line="360" w:lineRule="auto"/>
        <w:ind w:left="324" w:right="1650" w:firstLine="479"/>
        <w:rPr>
          <w:sz w:val="24"/>
          <w:szCs w:val="24"/>
        </w:rPr>
      </w:pPr>
      <w:r>
        <w:rPr>
          <w:rFonts w:hint="eastAsia"/>
          <w:sz w:val="24"/>
          <w:szCs w:val="24"/>
        </w:rPr>
        <w:t>少量有毒农药需要在专有库房储存、专人看管，建立严格的出入库登记和旧瓶回收制度。</w:t>
      </w:r>
      <w:r>
        <w:rPr>
          <w:sz w:val="24"/>
          <w:szCs w:val="24"/>
        </w:rPr>
        <w:t xml:space="preserve"> </w:t>
      </w:r>
    </w:p>
    <w:p>
      <w:pPr>
        <w:pStyle w:val="58"/>
        <w:numPr>
          <w:ilvl w:val="2"/>
          <w:numId w:val="9"/>
        </w:numPr>
        <w:tabs>
          <w:tab w:val="left" w:pos="1406"/>
        </w:tabs>
        <w:spacing w:line="360" w:lineRule="auto"/>
        <w:ind w:left="324" w:right="1644" w:firstLine="479"/>
        <w:rPr>
          <w:sz w:val="24"/>
          <w:szCs w:val="24"/>
        </w:rPr>
      </w:pPr>
      <w:r>
        <w:rPr>
          <w:rFonts w:hint="eastAsia"/>
          <w:spacing w:val="-1"/>
          <w:sz w:val="24"/>
          <w:szCs w:val="24"/>
        </w:rPr>
        <w:t>在对绿地喷施有毒农药前需要提前</w:t>
      </w:r>
      <w:r>
        <w:rPr>
          <w:spacing w:val="-1"/>
          <w:sz w:val="24"/>
          <w:szCs w:val="24"/>
        </w:rPr>
        <w:t xml:space="preserve"> </w:t>
      </w:r>
      <w:r>
        <w:rPr>
          <w:sz w:val="24"/>
          <w:szCs w:val="24"/>
        </w:rPr>
        <w:t>1</w:t>
      </w:r>
      <w:r>
        <w:rPr>
          <w:spacing w:val="-4"/>
          <w:sz w:val="24"/>
          <w:szCs w:val="24"/>
        </w:rPr>
        <w:t xml:space="preserve"> </w:t>
      </w:r>
      <w:r>
        <w:rPr>
          <w:rFonts w:hint="eastAsia"/>
          <w:spacing w:val="-4"/>
          <w:sz w:val="24"/>
          <w:szCs w:val="24"/>
        </w:rPr>
        <w:t>天发布公示通知，喷施完成后应该在明显位置设立警示说明。</w:t>
      </w:r>
      <w:r>
        <w:rPr>
          <w:spacing w:val="-4"/>
          <w:sz w:val="24"/>
          <w:szCs w:val="24"/>
        </w:rPr>
        <w:t xml:space="preserve"> </w:t>
      </w:r>
    </w:p>
    <w:p>
      <w:pPr>
        <w:pStyle w:val="58"/>
        <w:numPr>
          <w:ilvl w:val="2"/>
          <w:numId w:val="9"/>
        </w:numPr>
        <w:tabs>
          <w:tab w:val="left" w:pos="1406"/>
        </w:tabs>
        <w:spacing w:line="360" w:lineRule="auto"/>
        <w:ind w:left="324" w:right="1639" w:firstLine="479"/>
        <w:jc w:val="both"/>
        <w:rPr>
          <w:sz w:val="24"/>
          <w:szCs w:val="24"/>
        </w:rPr>
      </w:pPr>
      <w:r>
        <w:rPr>
          <w:rFonts w:hint="eastAsia"/>
          <w:sz w:val="24"/>
          <w:szCs w:val="24"/>
        </w:rPr>
        <w:t>施药人员应穿长裤、长褂，戴手套、口罩，尽量不使皮肤外露。施药后</w:t>
      </w:r>
      <w:r>
        <w:rPr>
          <w:rFonts w:hint="eastAsia"/>
          <w:spacing w:val="-4"/>
          <w:sz w:val="24"/>
          <w:szCs w:val="24"/>
        </w:rPr>
        <w:t>及时洗澡、更换衣服；施药过程中严禁用手抹汗，擦嘴、脸、眼睛，进食；喷药间</w:t>
      </w:r>
      <w:r>
        <w:rPr>
          <w:rFonts w:hint="eastAsia"/>
          <w:spacing w:val="-6"/>
          <w:sz w:val="24"/>
          <w:szCs w:val="24"/>
        </w:rPr>
        <w:t>歇及施药后，必须远离施药现场，并用肥皂将手脸洗净后，方可饮水、进食或从事其他活动；</w:t>
      </w:r>
      <w:r>
        <w:rPr>
          <w:spacing w:val="-6"/>
          <w:sz w:val="24"/>
          <w:szCs w:val="24"/>
        </w:rPr>
        <w:t xml:space="preserve"> </w:t>
      </w:r>
    </w:p>
    <w:p>
      <w:pPr>
        <w:pStyle w:val="58"/>
        <w:numPr>
          <w:ilvl w:val="2"/>
          <w:numId w:val="9"/>
        </w:numPr>
        <w:tabs>
          <w:tab w:val="left" w:pos="1406"/>
        </w:tabs>
        <w:spacing w:line="360" w:lineRule="auto"/>
        <w:ind w:left="324" w:right="1641" w:firstLine="479"/>
        <w:jc w:val="both"/>
        <w:rPr>
          <w:sz w:val="24"/>
        </w:rPr>
      </w:pPr>
      <w:r>
        <w:rPr>
          <w:rFonts w:hint="eastAsia"/>
          <w:sz w:val="24"/>
          <w:szCs w:val="24"/>
        </w:rPr>
        <w:t>患有皮肤病或精神病的人、皮肤损伤后未痊愈的人、农药中毒后身体尚</w:t>
      </w:r>
      <w:r>
        <w:rPr>
          <w:rFonts w:hint="eastAsia"/>
          <w:spacing w:val="-5"/>
          <w:sz w:val="24"/>
          <w:szCs w:val="24"/>
        </w:rPr>
        <w:t>未完全恢复的人、刚饮过酒的人以及月经期、妊娠期、哺乳期的妇女等人群，不得实施农药喷施作业。</w:t>
      </w:r>
      <w:r>
        <w:rPr>
          <w:spacing w:val="-5"/>
          <w:sz w:val="24"/>
          <w:szCs w:val="24"/>
        </w:rPr>
        <w:t xml:space="preserve"> </w:t>
      </w:r>
    </w:p>
    <w:p>
      <w:pPr>
        <w:pStyle w:val="7"/>
        <w:spacing w:line="360" w:lineRule="auto"/>
        <w:ind w:left="806" w:firstLine="0"/>
        <w:rPr>
          <w:rFonts w:ascii="宋体" w:hAnsi="宋体" w:eastAsia="宋体" w:cs="宋体"/>
        </w:rPr>
      </w:pPr>
      <w:r>
        <w:rPr>
          <w:rFonts w:ascii="宋体" w:hAnsi="宋体" w:eastAsia="宋体" w:cs="宋体"/>
          <w:spacing w:val="2"/>
          <w:w w:val="81"/>
        </w:rPr>
        <w:t>6</w:t>
      </w:r>
      <w:r>
        <w:rPr>
          <w:rFonts w:ascii="宋体" w:hAnsi="宋体" w:eastAsia="宋体" w:cs="宋体"/>
          <w:w w:val="175"/>
        </w:rPr>
        <w:t>.</w:t>
      </w:r>
      <w:r>
        <w:rPr>
          <w:rFonts w:ascii="宋体" w:hAnsi="宋体" w:eastAsia="宋体" w:cs="宋体"/>
          <w:w w:val="81"/>
        </w:rPr>
        <w:t>5</w:t>
      </w:r>
      <w:r>
        <w:rPr>
          <w:rFonts w:hint="eastAsia" w:ascii="宋体" w:hAnsi="宋体" w:eastAsia="宋体" w:cs="宋体"/>
          <w:spacing w:val="1"/>
        </w:rPr>
        <w:t>临时消防</w:t>
      </w:r>
    </w:p>
    <w:p>
      <w:pPr>
        <w:pStyle w:val="58"/>
        <w:numPr>
          <w:ilvl w:val="2"/>
          <w:numId w:val="10"/>
        </w:numPr>
        <w:tabs>
          <w:tab w:val="left" w:pos="1406"/>
        </w:tabs>
        <w:spacing w:line="360" w:lineRule="auto"/>
        <w:ind w:right="1641" w:firstLine="479"/>
        <w:jc w:val="both"/>
        <w:rPr>
          <w:sz w:val="24"/>
        </w:rPr>
      </w:pPr>
      <w:r>
        <w:rPr>
          <w:rFonts w:hint="eastAsia"/>
          <w:sz w:val="24"/>
        </w:rPr>
        <w:t>承包人应建立消防安全责任制度，制定用火、用电和使用易燃易爆等危</w:t>
      </w:r>
      <w:r>
        <w:rPr>
          <w:rFonts w:hint="eastAsia"/>
          <w:spacing w:val="-3"/>
          <w:sz w:val="24"/>
        </w:rPr>
        <w:t>险品的消防安全管理制度和操作规程。各项制度和规程等应满足相关法律法规和政府消防管理机构的要求。</w:t>
      </w:r>
      <w:r>
        <w:rPr>
          <w:spacing w:val="-3"/>
          <w:sz w:val="24"/>
        </w:rPr>
        <w:t xml:space="preserve"> </w:t>
      </w:r>
    </w:p>
    <w:p>
      <w:pPr>
        <w:pStyle w:val="58"/>
        <w:numPr>
          <w:ilvl w:val="2"/>
          <w:numId w:val="10"/>
        </w:numPr>
        <w:tabs>
          <w:tab w:val="left" w:pos="1406"/>
        </w:tabs>
        <w:spacing w:line="360" w:lineRule="auto"/>
        <w:ind w:right="1619" w:firstLine="479"/>
        <w:jc w:val="both"/>
        <w:rPr>
          <w:sz w:val="24"/>
        </w:rPr>
      </w:pPr>
      <w:r>
        <w:rPr>
          <w:rFonts w:hint="eastAsia"/>
          <w:sz w:val="24"/>
        </w:rPr>
        <w:t>承包人应根据相关法律法规和消防管理部门的要求，为施工中的永久工</w:t>
      </w:r>
      <w:r>
        <w:rPr>
          <w:rFonts w:hint="eastAsia"/>
          <w:spacing w:val="-1"/>
          <w:sz w:val="24"/>
        </w:rPr>
        <w:t>程和所有临时工程提供必要的临时消防和紧急疏散设施，包括提供并维持畅通的消</w:t>
      </w:r>
      <w:r>
        <w:rPr>
          <w:rFonts w:hint="eastAsia"/>
          <w:spacing w:val="-2"/>
          <w:sz w:val="24"/>
        </w:rPr>
        <w:t>防通道、临时消火栓、灭火器、水龙带、灭火桶、灭火铲、灭火斧、消防水管、阀</w:t>
      </w:r>
      <w:r>
        <w:rPr>
          <w:rFonts w:hint="eastAsia"/>
          <w:spacing w:val="-5"/>
          <w:sz w:val="24"/>
        </w:rPr>
        <w:t>门、检查井、临时消防水箱、泵房和紧随工作面的临时疏散楼梯或疏散设施，消防</w:t>
      </w:r>
      <w:r>
        <w:rPr>
          <w:rFonts w:hint="eastAsia"/>
          <w:spacing w:val="-6"/>
          <w:sz w:val="24"/>
        </w:rPr>
        <w:t>设施的设立和消防设备的型号和功率应满足消防任务的需要，始终保持能够随时投</w:t>
      </w:r>
      <w:r>
        <w:rPr>
          <w:rFonts w:hint="eastAsia"/>
          <w:spacing w:val="-8"/>
          <w:sz w:val="24"/>
        </w:rPr>
        <w:t>入正常使用的状态，并设立明显标志。承包人的临时消防系统和配置应分别经过监</w:t>
      </w:r>
      <w:r>
        <w:rPr>
          <w:rFonts w:hint="eastAsia"/>
          <w:spacing w:val="-10"/>
          <w:sz w:val="24"/>
        </w:rPr>
        <w:t>理人的审批和验收。所有的临时消防设施属于承包人所有，至工程实际竣工时且永久性消防系统投入使用后从现场拆除。</w:t>
      </w:r>
      <w:r>
        <w:rPr>
          <w:spacing w:val="-10"/>
          <w:sz w:val="24"/>
        </w:rPr>
        <w:t xml:space="preserve"> </w:t>
      </w:r>
    </w:p>
    <w:p>
      <w:pPr>
        <w:pStyle w:val="58"/>
        <w:numPr>
          <w:ilvl w:val="2"/>
          <w:numId w:val="10"/>
        </w:numPr>
        <w:tabs>
          <w:tab w:val="left" w:pos="1406"/>
        </w:tabs>
        <w:spacing w:line="360" w:lineRule="auto"/>
        <w:ind w:right="1641" w:firstLine="479"/>
        <w:jc w:val="both"/>
        <w:rPr>
          <w:sz w:val="24"/>
        </w:rPr>
      </w:pPr>
      <w:r>
        <w:rPr>
          <w:rFonts w:hint="eastAsia"/>
          <w:sz w:val="24"/>
        </w:rPr>
        <w:t>承包人应当成立由工程主要负责人担任组长的临时消防组或消防队，宣</w:t>
      </w:r>
      <w:r>
        <w:rPr>
          <w:rFonts w:hint="eastAsia"/>
          <w:spacing w:val="-4"/>
          <w:sz w:val="24"/>
        </w:rPr>
        <w:t>传消防基本知识和基本操作培训，组织消防演练，保证一旦发生火灾，能够组织有效的自救，保护生命和财产安全。</w:t>
      </w:r>
      <w:r>
        <w:rPr>
          <w:spacing w:val="-4"/>
          <w:sz w:val="24"/>
        </w:rPr>
        <w:t xml:space="preserve"> </w:t>
      </w:r>
    </w:p>
    <w:p>
      <w:pPr>
        <w:pStyle w:val="58"/>
        <w:numPr>
          <w:ilvl w:val="2"/>
          <w:numId w:val="10"/>
        </w:numPr>
        <w:tabs>
          <w:tab w:val="left" w:pos="1406"/>
        </w:tabs>
        <w:spacing w:line="360" w:lineRule="auto"/>
        <w:ind w:right="1641" w:firstLine="479"/>
        <w:jc w:val="both"/>
        <w:rPr>
          <w:sz w:val="24"/>
        </w:rPr>
      </w:pPr>
      <w:r>
        <w:rPr>
          <w:rFonts w:hint="eastAsia"/>
          <w:sz w:val="24"/>
        </w:rPr>
        <w:t>施工场地</w:t>
      </w:r>
      <w:r>
        <w:rPr>
          <w:rFonts w:hint="eastAsia"/>
          <w:spacing w:val="4"/>
          <w:sz w:val="24"/>
        </w:rPr>
        <w:t>（</w:t>
      </w:r>
      <w:r>
        <w:rPr>
          <w:rFonts w:hint="eastAsia"/>
          <w:spacing w:val="2"/>
          <w:sz w:val="24"/>
        </w:rPr>
        <w:t>现场</w:t>
      </w:r>
      <w:r>
        <w:rPr>
          <w:rFonts w:hint="eastAsia"/>
          <w:sz w:val="24"/>
        </w:rPr>
        <w:t>）内的易燃、易爆物品应单独和安全地存放，设专人进</w:t>
      </w:r>
      <w:r>
        <w:rPr>
          <w:rFonts w:hint="eastAsia"/>
          <w:spacing w:val="-2"/>
          <w:sz w:val="24"/>
        </w:rPr>
        <w:t>行存放和领用管理。施工场地</w:t>
      </w:r>
      <w:r>
        <w:rPr>
          <w:rFonts w:hint="eastAsia"/>
          <w:sz w:val="24"/>
        </w:rPr>
        <w:t>（现场</w:t>
      </w:r>
      <w:r>
        <w:rPr>
          <w:rFonts w:hint="eastAsia"/>
          <w:spacing w:val="-5"/>
          <w:sz w:val="24"/>
        </w:rPr>
        <w:t>）</w:t>
      </w:r>
      <w:r>
        <w:rPr>
          <w:rFonts w:hint="eastAsia"/>
          <w:spacing w:val="-4"/>
          <w:sz w:val="24"/>
        </w:rPr>
        <w:t>储有或正在使用易燃、易爆或可燃材料时或有明火施工的工序，应当实行严格的“用火证”管理制度。</w:t>
      </w:r>
      <w:r>
        <w:rPr>
          <w:spacing w:val="-4"/>
          <w:sz w:val="24"/>
        </w:rPr>
        <w:t xml:space="preserve"> </w:t>
      </w:r>
    </w:p>
    <w:p>
      <w:pPr>
        <w:pStyle w:val="18"/>
        <w:spacing w:line="360" w:lineRule="auto"/>
        <w:ind w:left="804" w:right="-72"/>
      </w:pPr>
      <w:r>
        <w:t xml:space="preserve">6.5.5 </w:t>
      </w:r>
      <w:r>
        <w:rPr>
          <w:rFonts w:hint="eastAsia"/>
        </w:rPr>
        <w:t>临时消防方面的其他要求如下：</w:t>
      </w:r>
      <w:r>
        <w:t xml:space="preserve">  </w:t>
      </w:r>
    </w:p>
    <w:p>
      <w:pPr>
        <w:pStyle w:val="18"/>
        <w:spacing w:line="360" w:lineRule="auto"/>
        <w:rPr>
          <w:sz w:val="10"/>
        </w:rPr>
      </w:pPr>
      <w:r>
        <w:rPr>
          <w:sz w:val="10"/>
          <w:u w:val="single"/>
        </w:rPr>
        <w:t xml:space="preserve">                                                                                                                                                                    </w:t>
      </w:r>
      <w:r>
        <w:rPr>
          <w:rFonts w:hint="eastAsia"/>
        </w:rPr>
        <w:t>。</w:t>
      </w:r>
    </w:p>
    <w:p>
      <w:pPr>
        <w:pStyle w:val="7"/>
        <w:spacing w:line="360" w:lineRule="auto"/>
        <w:ind w:left="806" w:firstLine="0"/>
        <w:rPr>
          <w:rFonts w:ascii="宋体" w:hAnsi="宋体" w:eastAsia="宋体" w:cs="宋体"/>
        </w:rPr>
      </w:pPr>
      <w:r>
        <w:rPr>
          <w:rFonts w:ascii="宋体" w:hAnsi="宋体" w:eastAsia="宋体" w:cs="宋体"/>
          <w:spacing w:val="2"/>
          <w:w w:val="81"/>
        </w:rPr>
        <w:t>6</w:t>
      </w:r>
      <w:r>
        <w:rPr>
          <w:rFonts w:ascii="宋体" w:hAnsi="宋体" w:eastAsia="宋体" w:cs="宋体"/>
          <w:w w:val="175"/>
        </w:rPr>
        <w:t>.</w:t>
      </w:r>
      <w:r>
        <w:rPr>
          <w:rFonts w:ascii="宋体" w:hAnsi="宋体" w:eastAsia="宋体" w:cs="宋体"/>
          <w:spacing w:val="2"/>
          <w:w w:val="81"/>
        </w:rPr>
        <w:t>6</w:t>
      </w:r>
      <w:r>
        <w:rPr>
          <w:rFonts w:hint="eastAsia" w:ascii="宋体" w:hAnsi="宋体" w:eastAsia="宋体" w:cs="宋体"/>
        </w:rPr>
        <w:t>临</w:t>
      </w:r>
      <w:r>
        <w:rPr>
          <w:rFonts w:ascii="宋体" w:hAnsi="宋体" w:eastAsia="宋体" w:cs="宋体"/>
        </w:rPr>
        <w:t xml:space="preserve"> </w:t>
      </w:r>
      <w:r>
        <w:rPr>
          <w:rFonts w:hint="eastAsia" w:ascii="宋体" w:hAnsi="宋体" w:eastAsia="宋体" w:cs="宋体"/>
        </w:rPr>
        <w:t>时</w:t>
      </w:r>
      <w:r>
        <w:rPr>
          <w:rFonts w:ascii="宋体" w:hAnsi="宋体" w:eastAsia="宋体" w:cs="宋体"/>
        </w:rPr>
        <w:t xml:space="preserve"> </w:t>
      </w:r>
      <w:r>
        <w:rPr>
          <w:rFonts w:hint="eastAsia" w:ascii="宋体" w:hAnsi="宋体" w:eastAsia="宋体" w:cs="宋体"/>
        </w:rPr>
        <w:t>供</w:t>
      </w:r>
      <w:r>
        <w:rPr>
          <w:rFonts w:ascii="宋体" w:hAnsi="宋体" w:eastAsia="宋体" w:cs="宋体"/>
        </w:rPr>
        <w:t xml:space="preserve"> </w:t>
      </w:r>
      <w:r>
        <w:rPr>
          <w:rFonts w:hint="eastAsia" w:ascii="宋体" w:hAnsi="宋体" w:eastAsia="宋体" w:cs="宋体"/>
        </w:rPr>
        <w:t>电</w:t>
      </w:r>
    </w:p>
    <w:p>
      <w:pPr>
        <w:pStyle w:val="58"/>
        <w:tabs>
          <w:tab w:val="left" w:pos="1406"/>
        </w:tabs>
        <w:spacing w:line="360" w:lineRule="auto"/>
        <w:ind w:left="0" w:right="1641" w:firstLine="708" w:firstLineChars="300"/>
        <w:jc w:val="both"/>
        <w:rPr>
          <w:sz w:val="24"/>
          <w:szCs w:val="24"/>
        </w:rPr>
      </w:pPr>
      <w:r>
        <w:rPr>
          <w:spacing w:val="-2"/>
          <w:sz w:val="24"/>
          <w:szCs w:val="24"/>
          <w:lang w:val="en-US"/>
        </w:rPr>
        <w:t>6.6.1</w:t>
      </w:r>
      <w:r>
        <w:rPr>
          <w:rFonts w:hint="eastAsia"/>
          <w:spacing w:val="-2"/>
          <w:sz w:val="24"/>
          <w:szCs w:val="24"/>
        </w:rPr>
        <w:t>承包人应当根据《施工现场临时用电安全技术规范</w:t>
      </w:r>
      <w:r>
        <w:rPr>
          <w:rFonts w:hint="eastAsia"/>
          <w:spacing w:val="-128"/>
          <w:sz w:val="24"/>
          <w:szCs w:val="24"/>
        </w:rPr>
        <w:t>》</w:t>
      </w:r>
      <w:r>
        <w:rPr>
          <w:rFonts w:hint="eastAsia"/>
          <w:sz w:val="24"/>
          <w:szCs w:val="24"/>
        </w:rPr>
        <w:t>（</w:t>
      </w:r>
      <w:r>
        <w:rPr>
          <w:sz w:val="24"/>
          <w:szCs w:val="24"/>
        </w:rPr>
        <w:t>JGJ46-2005</w:t>
      </w:r>
      <w:r>
        <w:rPr>
          <w:rFonts w:hint="eastAsia"/>
          <w:sz w:val="24"/>
          <w:szCs w:val="24"/>
        </w:rPr>
        <w:t>）</w:t>
      </w:r>
      <w:r>
        <w:rPr>
          <w:rFonts w:hint="eastAsia"/>
          <w:spacing w:val="-4"/>
          <w:sz w:val="24"/>
          <w:szCs w:val="24"/>
        </w:rPr>
        <w:t>及其</w:t>
      </w:r>
      <w:r>
        <w:rPr>
          <w:rFonts w:hint="eastAsia"/>
          <w:spacing w:val="-6"/>
          <w:sz w:val="24"/>
          <w:szCs w:val="24"/>
        </w:rPr>
        <w:t>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r>
        <w:rPr>
          <w:spacing w:val="-6"/>
          <w:sz w:val="24"/>
          <w:szCs w:val="24"/>
        </w:rPr>
        <w:t xml:space="preserve"> </w:t>
      </w:r>
    </w:p>
    <w:p>
      <w:pPr>
        <w:pStyle w:val="58"/>
        <w:tabs>
          <w:tab w:val="left" w:pos="1406"/>
        </w:tabs>
        <w:spacing w:line="360" w:lineRule="auto"/>
        <w:ind w:left="0" w:right="1640" w:firstLine="476" w:firstLineChars="200"/>
        <w:jc w:val="both"/>
        <w:rPr>
          <w:sz w:val="24"/>
          <w:szCs w:val="24"/>
        </w:rPr>
      </w:pPr>
      <w:r>
        <w:rPr>
          <w:spacing w:val="-1"/>
          <w:sz w:val="24"/>
          <w:szCs w:val="24"/>
          <w:lang w:val="en-US"/>
        </w:rPr>
        <w:t>6.6.2</w:t>
      </w:r>
      <w:r>
        <w:rPr>
          <w:rFonts w:hint="eastAsia"/>
          <w:spacing w:val="-1"/>
          <w:sz w:val="24"/>
          <w:szCs w:val="24"/>
        </w:rPr>
        <w:t>承包人应为施工场地</w:t>
      </w:r>
      <w:r>
        <w:rPr>
          <w:rFonts w:hint="eastAsia"/>
          <w:sz w:val="24"/>
          <w:szCs w:val="24"/>
        </w:rPr>
        <w:t>（现场</w:t>
      </w:r>
      <w:r>
        <w:rPr>
          <w:rFonts w:hint="eastAsia"/>
          <w:spacing w:val="-120"/>
          <w:sz w:val="24"/>
          <w:szCs w:val="24"/>
        </w:rPr>
        <w:t>）</w:t>
      </w:r>
      <w:r>
        <w:rPr>
          <w:rFonts w:hint="eastAsia"/>
          <w:spacing w:val="-6"/>
          <w:sz w:val="24"/>
          <w:szCs w:val="24"/>
        </w:rPr>
        <w:t>，包括为工程楼层或者各区域，提供、设立</w:t>
      </w:r>
      <w:r>
        <w:rPr>
          <w:rFonts w:hint="eastAsia"/>
          <w:spacing w:val="-9"/>
          <w:sz w:val="24"/>
          <w:szCs w:val="24"/>
        </w:rPr>
        <w:t>和维护必要的临时电力供应系统，并保证电力供应系统始终处于满足供电管理部门</w:t>
      </w:r>
      <w:r>
        <w:rPr>
          <w:rFonts w:hint="eastAsia"/>
          <w:spacing w:val="-11"/>
          <w:sz w:val="24"/>
          <w:szCs w:val="24"/>
        </w:rPr>
        <w:t>要求和正常施工生产所要求的状态，并在工程实际竣工和相应永久系统投入使用后从现场拆除。</w:t>
      </w:r>
      <w:r>
        <w:rPr>
          <w:spacing w:val="-11"/>
          <w:sz w:val="24"/>
          <w:szCs w:val="24"/>
        </w:rPr>
        <w:t xml:space="preserve"> </w:t>
      </w:r>
    </w:p>
    <w:p>
      <w:pPr>
        <w:pStyle w:val="58"/>
        <w:tabs>
          <w:tab w:val="left" w:pos="1406"/>
        </w:tabs>
        <w:spacing w:line="360" w:lineRule="auto"/>
        <w:ind w:left="0" w:right="1619" w:firstLine="480" w:firstLineChars="200"/>
        <w:jc w:val="both"/>
        <w:rPr>
          <w:sz w:val="24"/>
          <w:szCs w:val="24"/>
        </w:rPr>
      </w:pPr>
      <w:r>
        <w:rPr>
          <w:sz w:val="24"/>
          <w:szCs w:val="24"/>
          <w:lang w:val="en-US"/>
        </w:rPr>
        <w:t>6.6.3</w:t>
      </w:r>
      <w:r>
        <w:rPr>
          <w:rFonts w:hint="eastAsia"/>
          <w:sz w:val="24"/>
          <w:szCs w:val="24"/>
        </w:rPr>
        <w:t>临时供电系统的电缆、电线、配电箱、控制柜、开关箱、漏电保护器等材料设备均应当具有生产（制造）</w:t>
      </w:r>
      <w:r>
        <w:rPr>
          <w:rFonts w:hint="eastAsia"/>
          <w:spacing w:val="-1"/>
          <w:sz w:val="24"/>
          <w:szCs w:val="24"/>
        </w:rPr>
        <w:t>许可证、产品合格证并经过检验合格的产品。临</w:t>
      </w:r>
      <w:r>
        <w:rPr>
          <w:rFonts w:hint="eastAsia"/>
          <w:spacing w:val="-3"/>
          <w:sz w:val="24"/>
          <w:szCs w:val="24"/>
        </w:rPr>
        <w:t>时用电采用三相五线制、三级配电和两极漏电保护供电，三相四线制配电的电缆线</w:t>
      </w:r>
      <w:r>
        <w:rPr>
          <w:rFonts w:hint="eastAsia"/>
          <w:spacing w:val="-5"/>
          <w:sz w:val="24"/>
          <w:szCs w:val="24"/>
        </w:rPr>
        <w:t>路必须采用五芯电缆，按规定设立零线和接地线。电缆和电线的铺设要符合安全用</w:t>
      </w:r>
      <w:r>
        <w:rPr>
          <w:rFonts w:hint="eastAsia"/>
          <w:spacing w:val="-8"/>
          <w:sz w:val="24"/>
          <w:szCs w:val="24"/>
        </w:rPr>
        <w:t>电标准要求，电缆线路应采用埋地或架空敷设，严禁严地面明设，并应避免机械损</w:t>
      </w:r>
      <w:r>
        <w:rPr>
          <w:rFonts w:hint="eastAsia"/>
          <w:spacing w:val="-9"/>
          <w:sz w:val="24"/>
          <w:szCs w:val="24"/>
        </w:rPr>
        <w:t>伤和介质腐蚀。埋地电缆路径应设方位标志。各种配电设备均设有防止漏电和防雨防水设施。</w:t>
      </w:r>
      <w:r>
        <w:rPr>
          <w:spacing w:val="-9"/>
          <w:sz w:val="24"/>
          <w:szCs w:val="24"/>
        </w:rPr>
        <w:t xml:space="preserve"> </w:t>
      </w:r>
    </w:p>
    <w:p>
      <w:pPr>
        <w:pStyle w:val="58"/>
        <w:tabs>
          <w:tab w:val="left" w:pos="1406"/>
        </w:tabs>
        <w:spacing w:line="360" w:lineRule="auto"/>
        <w:ind w:left="0" w:right="1520" w:firstLine="480" w:firstLineChars="200"/>
        <w:jc w:val="both"/>
        <w:rPr>
          <w:sz w:val="24"/>
          <w:szCs w:val="24"/>
        </w:rPr>
      </w:pPr>
      <w:r>
        <w:rPr>
          <w:sz w:val="24"/>
          <w:szCs w:val="24"/>
          <w:lang w:val="en-US"/>
        </w:rPr>
        <w:t>6.6.4</w:t>
      </w:r>
      <w:r>
        <w:rPr>
          <w:rFonts w:hint="eastAsia"/>
          <w:sz w:val="24"/>
          <w:szCs w:val="24"/>
        </w:rPr>
        <w:t>承包人应在施工作业区、施工道路、临时设施、办公区和生活区设置足</w:t>
      </w:r>
      <w:r>
        <w:rPr>
          <w:rFonts w:hint="eastAsia"/>
          <w:spacing w:val="-1"/>
          <w:sz w:val="24"/>
          <w:szCs w:val="24"/>
        </w:rPr>
        <w:t>够的照明，地下工程照明系统的电压不得高于</w:t>
      </w:r>
      <w:r>
        <w:rPr>
          <w:spacing w:val="-1"/>
          <w:sz w:val="24"/>
          <w:szCs w:val="24"/>
        </w:rPr>
        <w:t xml:space="preserve"> </w:t>
      </w:r>
      <w:r>
        <w:rPr>
          <w:sz w:val="24"/>
          <w:szCs w:val="24"/>
        </w:rPr>
        <w:t>36V</w:t>
      </w:r>
      <w:r>
        <w:rPr>
          <w:rFonts w:hint="eastAsia"/>
          <w:sz w:val="24"/>
          <w:szCs w:val="24"/>
        </w:rPr>
        <w:t>，在潮湿和易触及带电体场所的</w:t>
      </w:r>
      <w:r>
        <w:rPr>
          <w:rFonts w:hint="eastAsia"/>
          <w:spacing w:val="-6"/>
          <w:sz w:val="24"/>
          <w:szCs w:val="24"/>
        </w:rPr>
        <w:t>照明供电电压不应大于</w:t>
      </w:r>
      <w:r>
        <w:rPr>
          <w:spacing w:val="-6"/>
          <w:sz w:val="24"/>
          <w:szCs w:val="24"/>
        </w:rPr>
        <w:t xml:space="preserve"> </w:t>
      </w:r>
      <w:r>
        <w:rPr>
          <w:sz w:val="24"/>
          <w:szCs w:val="24"/>
        </w:rPr>
        <w:t>24V</w:t>
      </w:r>
      <w:r>
        <w:rPr>
          <w:rFonts w:hint="eastAsia"/>
          <w:spacing w:val="-15"/>
          <w:sz w:val="24"/>
          <w:szCs w:val="24"/>
        </w:rPr>
        <w:t>。不便于使用电器照明的工作面应采用特殊照明设施。</w:t>
      </w:r>
    </w:p>
    <w:p>
      <w:pPr>
        <w:pStyle w:val="58"/>
        <w:tabs>
          <w:tab w:val="left" w:pos="1406"/>
        </w:tabs>
        <w:spacing w:line="360" w:lineRule="auto"/>
        <w:ind w:left="0" w:right="1645" w:firstLine="508" w:firstLineChars="200"/>
        <w:rPr>
          <w:sz w:val="24"/>
          <w:szCs w:val="24"/>
        </w:rPr>
      </w:pPr>
      <w:r>
        <w:rPr>
          <w:spacing w:val="7"/>
          <w:sz w:val="24"/>
          <w:szCs w:val="24"/>
          <w:lang w:val="en-US"/>
        </w:rPr>
        <w:t>6.6.5</w:t>
      </w:r>
      <w:r>
        <w:rPr>
          <w:rFonts w:hint="eastAsia"/>
          <w:spacing w:val="7"/>
          <w:sz w:val="24"/>
          <w:szCs w:val="24"/>
        </w:rPr>
        <w:t>凡可能漏电伤人或易受雷击的电器及建筑物均应设置接地和避雷装置。承包人应负责避雷装置的采购、安装、管理和维修，并建立定期检查制度。</w:t>
      </w:r>
      <w:r>
        <w:rPr>
          <w:spacing w:val="7"/>
          <w:sz w:val="24"/>
          <w:szCs w:val="24"/>
        </w:rPr>
        <w:t xml:space="preserve"> </w:t>
      </w:r>
    </w:p>
    <w:p>
      <w:pPr>
        <w:pStyle w:val="58"/>
        <w:tabs>
          <w:tab w:val="left" w:pos="1406"/>
        </w:tabs>
        <w:spacing w:line="360" w:lineRule="auto"/>
        <w:ind w:left="0" w:firstLine="480" w:firstLineChars="200"/>
        <w:rPr>
          <w:sz w:val="24"/>
          <w:szCs w:val="24"/>
        </w:rPr>
      </w:pPr>
      <w:r>
        <w:rPr>
          <w:sz w:val="24"/>
          <w:szCs w:val="24"/>
          <w:lang w:val="en-US"/>
        </w:rPr>
        <w:t>6.6.6</w:t>
      </w:r>
      <w:r>
        <w:rPr>
          <w:rFonts w:hint="eastAsia"/>
          <w:sz w:val="24"/>
          <w:szCs w:val="24"/>
        </w:rPr>
        <w:t>临时用电方面的其他要求如下：</w:t>
      </w:r>
      <w:r>
        <w:rPr>
          <w:sz w:val="24"/>
          <w:szCs w:val="24"/>
        </w:rPr>
        <w:t xml:space="preserve"> </w:t>
      </w:r>
    </w:p>
    <w:p>
      <w:pPr>
        <w:pStyle w:val="18"/>
        <w:spacing w:line="360" w:lineRule="auto"/>
        <w:rPr>
          <w:sz w:val="10"/>
        </w:rPr>
      </w:pPr>
      <w:r>
        <w:rPr>
          <w:u w:val="single"/>
        </w:rPr>
        <w:t xml:space="preserve">                                                                                                                          </w:t>
      </w:r>
      <w:r>
        <w:rPr>
          <w:sz w:val="10"/>
          <w:u w:val="single"/>
        </w:rPr>
        <w:t xml:space="preserve">                                            </w:t>
      </w:r>
      <w:r>
        <w:rPr>
          <w:rFonts w:hint="eastAsia"/>
        </w:rPr>
        <w:t>。</w:t>
      </w:r>
    </w:p>
    <w:p>
      <w:pPr>
        <w:pStyle w:val="7"/>
        <w:spacing w:line="360" w:lineRule="auto"/>
        <w:ind w:left="684" w:firstLine="0"/>
        <w:rPr>
          <w:rFonts w:ascii="宋体" w:hAnsi="宋体" w:eastAsia="宋体" w:cs="宋体"/>
        </w:rPr>
      </w:pPr>
      <w:r>
        <w:rPr>
          <w:rFonts w:ascii="宋体" w:hAnsi="宋体" w:eastAsia="宋体" w:cs="宋体"/>
          <w:spacing w:val="2"/>
          <w:w w:val="81"/>
        </w:rPr>
        <w:t>6</w:t>
      </w:r>
      <w:r>
        <w:rPr>
          <w:rFonts w:ascii="宋体" w:hAnsi="宋体" w:eastAsia="宋体" w:cs="宋体"/>
          <w:w w:val="175"/>
        </w:rPr>
        <w:t>.</w:t>
      </w:r>
      <w:r>
        <w:rPr>
          <w:rFonts w:ascii="宋体" w:hAnsi="宋体" w:eastAsia="宋体" w:cs="宋体"/>
          <w:w w:val="81"/>
        </w:rPr>
        <w:t>7</w:t>
      </w:r>
      <w:r>
        <w:rPr>
          <w:rFonts w:hint="eastAsia" w:ascii="宋体" w:hAnsi="宋体" w:eastAsia="宋体" w:cs="宋体"/>
          <w:spacing w:val="1"/>
        </w:rPr>
        <w:t>劳动保护</w:t>
      </w:r>
    </w:p>
    <w:p>
      <w:pPr>
        <w:pStyle w:val="58"/>
        <w:tabs>
          <w:tab w:val="left" w:pos="1406"/>
        </w:tabs>
        <w:spacing w:line="360" w:lineRule="auto"/>
        <w:ind w:left="0" w:right="1641" w:firstLine="720" w:firstLineChars="300"/>
        <w:jc w:val="both"/>
        <w:rPr>
          <w:sz w:val="24"/>
          <w:szCs w:val="24"/>
        </w:rPr>
      </w:pPr>
      <w:r>
        <w:rPr>
          <w:sz w:val="24"/>
          <w:szCs w:val="24"/>
          <w:lang w:val="en-US"/>
        </w:rPr>
        <w:t>6.7.1</w:t>
      </w:r>
      <w:r>
        <w:rPr>
          <w:rFonts w:hint="eastAsia"/>
          <w:sz w:val="24"/>
          <w:szCs w:val="24"/>
        </w:rPr>
        <w:t>承包人应遵守所有适用于本合同的劳动法规及其他有关法律、法规、规</w:t>
      </w:r>
      <w:r>
        <w:rPr>
          <w:rFonts w:hint="eastAsia"/>
          <w:spacing w:val="-3"/>
          <w:sz w:val="24"/>
          <w:szCs w:val="24"/>
        </w:rPr>
        <w:t>章和规定中关于工人工资标准、劳动时间和劳动条件的规定，合理安排现场作业人</w:t>
      </w:r>
      <w:r>
        <w:rPr>
          <w:rFonts w:hint="eastAsia"/>
          <w:spacing w:val="-7"/>
          <w:sz w:val="24"/>
          <w:szCs w:val="24"/>
        </w:rPr>
        <w:t>员的劳动和休息时间，保障劳动者必须的休息时间，支付合理的报酬和费用。承包</w:t>
      </w:r>
      <w:r>
        <w:rPr>
          <w:rFonts w:hint="eastAsia"/>
          <w:sz w:val="24"/>
          <w:szCs w:val="24"/>
        </w:rPr>
        <w:t>人应按有关行政管理部门的规定为本合同下雇佣的职员和工人办理任何必要的证</w:t>
      </w:r>
      <w:r>
        <w:rPr>
          <w:rFonts w:hint="eastAsia"/>
          <w:spacing w:val="-6"/>
          <w:sz w:val="24"/>
          <w:szCs w:val="24"/>
        </w:rPr>
        <w:t>件、许可、保险和注册等，并保障发包人免于因承包人不能依照或完全依照上述</w:t>
      </w:r>
      <w:r>
        <w:rPr>
          <w:rFonts w:hint="eastAsia"/>
          <w:sz w:val="24"/>
          <w:szCs w:val="24"/>
        </w:rPr>
        <w:t>所有法律、法规、规章和规定等可能给发包人带来的任何处罚、索赔、损失和损害等。</w:t>
      </w:r>
      <w:r>
        <w:rPr>
          <w:sz w:val="24"/>
          <w:szCs w:val="24"/>
        </w:rPr>
        <w:t xml:space="preserve"> </w:t>
      </w:r>
    </w:p>
    <w:p>
      <w:pPr>
        <w:pStyle w:val="58"/>
        <w:tabs>
          <w:tab w:val="left" w:pos="1406"/>
        </w:tabs>
        <w:spacing w:line="360" w:lineRule="auto"/>
        <w:ind w:left="0" w:right="1641" w:firstLine="480" w:firstLineChars="200"/>
        <w:jc w:val="both"/>
        <w:rPr>
          <w:sz w:val="24"/>
          <w:szCs w:val="24"/>
        </w:rPr>
      </w:pPr>
      <w:r>
        <w:rPr>
          <w:sz w:val="24"/>
          <w:szCs w:val="24"/>
          <w:lang w:val="en-US"/>
        </w:rPr>
        <w:t>6.7.2</w:t>
      </w:r>
      <w:r>
        <w:rPr>
          <w:rFonts w:hint="eastAsia"/>
          <w:sz w:val="24"/>
          <w:szCs w:val="24"/>
        </w:rPr>
        <w:t>承包人应按照国家《劳动保护法》的规定，保障现场施工人员的劳动安</w:t>
      </w:r>
      <w:r>
        <w:rPr>
          <w:rFonts w:hint="eastAsia"/>
          <w:spacing w:val="-5"/>
          <w:sz w:val="24"/>
          <w:szCs w:val="24"/>
        </w:rPr>
        <w:t>全。承包人应为本合同下雇佣的职员和工人提供适当和充分的劳动保护，包括但不</w:t>
      </w:r>
      <w:r>
        <w:rPr>
          <w:rFonts w:hint="eastAsia"/>
          <w:spacing w:val="-6"/>
          <w:sz w:val="24"/>
          <w:szCs w:val="24"/>
        </w:rPr>
        <w:t>限于安全防护、防寒、防雨、防尘、绝缘保护、常用药品、急救设备、传染病预防等。</w:t>
      </w:r>
      <w:r>
        <w:rPr>
          <w:spacing w:val="-6"/>
          <w:sz w:val="24"/>
          <w:szCs w:val="24"/>
        </w:rPr>
        <w:t xml:space="preserve"> </w:t>
      </w:r>
    </w:p>
    <w:p>
      <w:pPr>
        <w:pStyle w:val="58"/>
        <w:tabs>
          <w:tab w:val="left" w:pos="1406"/>
        </w:tabs>
        <w:spacing w:line="360" w:lineRule="auto"/>
        <w:ind w:left="0" w:right="1642" w:firstLine="480" w:firstLineChars="200"/>
        <w:jc w:val="both"/>
        <w:rPr>
          <w:sz w:val="24"/>
          <w:szCs w:val="24"/>
        </w:rPr>
      </w:pPr>
      <w:r>
        <w:rPr>
          <w:sz w:val="24"/>
          <w:szCs w:val="24"/>
          <w:lang w:val="en-US"/>
        </w:rPr>
        <w:t>6.7.3</w:t>
      </w:r>
      <w:r>
        <w:rPr>
          <w:rFonts w:hint="eastAsia"/>
          <w:sz w:val="24"/>
          <w:szCs w:val="24"/>
        </w:rPr>
        <w:t>承包人应为其履行本合同所雇佣的职员和工人提供和维护任何必要的膳宿条件和生活环境，包括但不限于宿舍、围栏、供水（饮用及其他目的用水</w:t>
      </w:r>
      <w:r>
        <w:rPr>
          <w:rFonts w:hint="eastAsia"/>
          <w:spacing w:val="-118"/>
          <w:sz w:val="24"/>
          <w:szCs w:val="24"/>
        </w:rPr>
        <w:t>）</w:t>
      </w:r>
      <w:r>
        <w:rPr>
          <w:rFonts w:hint="eastAsia"/>
          <w:sz w:val="24"/>
          <w:szCs w:val="24"/>
        </w:rPr>
        <w:t>、供</w:t>
      </w:r>
      <w:r>
        <w:rPr>
          <w:rFonts w:hint="eastAsia"/>
          <w:spacing w:val="-6"/>
          <w:sz w:val="24"/>
          <w:szCs w:val="24"/>
        </w:rPr>
        <w:t>电、卫生设备、食堂及炊具、防火及灭火设备、供热、家具及其他正常膳宿条件和生活环境所需的必需品，并应考虑宗教和民族习惯。</w:t>
      </w:r>
      <w:r>
        <w:rPr>
          <w:spacing w:val="-6"/>
          <w:sz w:val="24"/>
          <w:szCs w:val="24"/>
        </w:rPr>
        <w:t xml:space="preserve"> </w:t>
      </w:r>
    </w:p>
    <w:p>
      <w:pPr>
        <w:pStyle w:val="58"/>
        <w:tabs>
          <w:tab w:val="left" w:pos="1406"/>
        </w:tabs>
        <w:spacing w:line="360" w:lineRule="auto"/>
        <w:ind w:left="0" w:right="1643" w:firstLine="480" w:firstLineChars="200"/>
        <w:jc w:val="both"/>
        <w:rPr>
          <w:sz w:val="24"/>
          <w:szCs w:val="24"/>
        </w:rPr>
      </w:pPr>
      <w:r>
        <w:rPr>
          <w:sz w:val="24"/>
          <w:szCs w:val="24"/>
          <w:lang w:val="en-US"/>
        </w:rPr>
        <w:t>6.7.4</w:t>
      </w:r>
      <w:r>
        <w:rPr>
          <w:rFonts w:hint="eastAsia"/>
          <w:sz w:val="24"/>
          <w:szCs w:val="24"/>
        </w:rPr>
        <w:t>承包人应为现场工人提供符合政府卫生规定的生活条件并获得必要的许</w:t>
      </w:r>
      <w:r>
        <w:rPr>
          <w:rFonts w:hint="eastAsia"/>
          <w:spacing w:val="-6"/>
          <w:sz w:val="24"/>
          <w:szCs w:val="24"/>
        </w:rPr>
        <w:t>可，保证工人的健康和防止任何传染病，包括工人的食堂、厕所、工具房、宿舍等</w:t>
      </w:r>
      <w:r>
        <w:rPr>
          <w:rFonts w:hint="eastAsia"/>
          <w:spacing w:val="-5"/>
          <w:sz w:val="24"/>
          <w:szCs w:val="24"/>
        </w:rPr>
        <w:t>；承包人应聘请专业的卫生防疫部门定期对现场、工人生活基地和工程进行防疫和</w:t>
      </w:r>
      <w:r>
        <w:rPr>
          <w:rFonts w:hint="eastAsia"/>
          <w:spacing w:val="-7"/>
          <w:sz w:val="24"/>
          <w:szCs w:val="24"/>
        </w:rPr>
        <w:t>卫生的专业检查和处理，包括消灭白蚁、鼠害、蚊蝇和其它害虫，以防对施工人员、现场和永久工程造成任何危害。</w:t>
      </w:r>
      <w:r>
        <w:rPr>
          <w:spacing w:val="-7"/>
          <w:sz w:val="24"/>
          <w:szCs w:val="24"/>
        </w:rPr>
        <w:t xml:space="preserve"> </w:t>
      </w:r>
    </w:p>
    <w:p>
      <w:pPr>
        <w:pStyle w:val="58"/>
        <w:tabs>
          <w:tab w:val="left" w:pos="1406"/>
        </w:tabs>
        <w:spacing w:line="360" w:lineRule="auto"/>
        <w:ind w:left="0" w:right="1650" w:firstLine="480" w:firstLineChars="200"/>
        <w:rPr>
          <w:sz w:val="24"/>
          <w:szCs w:val="24"/>
        </w:rPr>
      </w:pPr>
      <w:r>
        <w:rPr>
          <w:sz w:val="24"/>
          <w:szCs w:val="24"/>
          <w:lang w:val="en-US"/>
        </w:rPr>
        <w:t>6.7.5</w:t>
      </w:r>
      <w:r>
        <w:rPr>
          <w:rFonts w:hint="eastAsia"/>
          <w:sz w:val="24"/>
          <w:szCs w:val="24"/>
        </w:rPr>
        <w:t>承包人应在现场配备足够的设施、药物，用于一旦发生安全事故时对受伤人员的急救。</w:t>
      </w:r>
      <w:r>
        <w:rPr>
          <w:sz w:val="24"/>
          <w:szCs w:val="24"/>
        </w:rPr>
        <w:t xml:space="preserve"> </w:t>
      </w:r>
    </w:p>
    <w:p>
      <w:pPr>
        <w:pStyle w:val="58"/>
        <w:tabs>
          <w:tab w:val="left" w:pos="1406"/>
        </w:tabs>
        <w:spacing w:line="360" w:lineRule="auto"/>
        <w:ind w:left="0" w:firstLine="480" w:firstLineChars="200"/>
        <w:rPr>
          <w:sz w:val="24"/>
          <w:szCs w:val="24"/>
        </w:rPr>
      </w:pPr>
      <w:r>
        <w:rPr>
          <w:sz w:val="24"/>
          <w:szCs w:val="24"/>
          <w:lang w:val="en-US"/>
        </w:rPr>
        <w:t>6.7.6</w:t>
      </w:r>
      <w:r>
        <w:rPr>
          <w:rFonts w:hint="eastAsia"/>
          <w:sz w:val="24"/>
          <w:szCs w:val="24"/>
        </w:rPr>
        <w:t>劳动保护方面的其他要求如下：</w:t>
      </w:r>
      <w:r>
        <w:rPr>
          <w:sz w:val="24"/>
          <w:szCs w:val="24"/>
        </w:rPr>
        <w:t xml:space="preserve"> </w:t>
      </w:r>
    </w:p>
    <w:p>
      <w:pPr>
        <w:pStyle w:val="18"/>
        <w:spacing w:line="360" w:lineRule="auto"/>
      </w:pPr>
      <w:r>
        <w:rPr>
          <w:u w:val="single"/>
        </w:rPr>
        <w:t xml:space="preserve">                                                                                                                                                                      </w:t>
      </w:r>
      <w:r>
        <w:rPr>
          <w:rFonts w:hint="eastAsia"/>
        </w:rPr>
        <w:t>。</w:t>
      </w:r>
    </w:p>
    <w:p>
      <w:pPr>
        <w:pStyle w:val="7"/>
        <w:spacing w:line="360" w:lineRule="auto"/>
        <w:ind w:left="806" w:firstLine="0"/>
        <w:rPr>
          <w:rFonts w:ascii="宋体" w:hAnsi="宋体" w:eastAsia="宋体" w:cs="宋体"/>
        </w:rPr>
      </w:pPr>
      <w:r>
        <w:rPr>
          <w:rFonts w:ascii="宋体" w:hAnsi="宋体" w:eastAsia="宋体" w:cs="宋体"/>
        </w:rPr>
        <w:t xml:space="preserve">6.8 </w:t>
      </w:r>
      <w:r>
        <w:rPr>
          <w:rFonts w:hint="eastAsia" w:ascii="宋体" w:hAnsi="宋体" w:eastAsia="宋体" w:cs="宋体"/>
        </w:rPr>
        <w:t>脚</w:t>
      </w:r>
      <w:r>
        <w:rPr>
          <w:rFonts w:ascii="宋体" w:hAnsi="宋体" w:eastAsia="宋体" w:cs="宋体"/>
        </w:rPr>
        <w:t xml:space="preserve"> </w:t>
      </w:r>
      <w:r>
        <w:rPr>
          <w:rFonts w:hint="eastAsia" w:ascii="宋体" w:hAnsi="宋体" w:eastAsia="宋体" w:cs="宋体"/>
        </w:rPr>
        <w:t>手</w:t>
      </w:r>
      <w:r>
        <w:rPr>
          <w:rFonts w:ascii="宋体" w:hAnsi="宋体" w:eastAsia="宋体" w:cs="宋体"/>
        </w:rPr>
        <w:t xml:space="preserve"> </w:t>
      </w:r>
      <w:r>
        <w:rPr>
          <w:rFonts w:hint="eastAsia" w:ascii="宋体" w:hAnsi="宋体" w:eastAsia="宋体" w:cs="宋体"/>
        </w:rPr>
        <w:t>架</w:t>
      </w:r>
    </w:p>
    <w:p>
      <w:pPr>
        <w:pStyle w:val="58"/>
        <w:numPr>
          <w:ilvl w:val="2"/>
          <w:numId w:val="11"/>
        </w:numPr>
        <w:tabs>
          <w:tab w:val="left" w:pos="1406"/>
        </w:tabs>
        <w:spacing w:line="360" w:lineRule="auto"/>
        <w:ind w:right="1523" w:firstLine="479"/>
        <w:rPr>
          <w:sz w:val="24"/>
        </w:rPr>
      </w:pPr>
      <w:r>
        <w:rPr>
          <w:rFonts w:hint="eastAsia"/>
          <w:sz w:val="24"/>
        </w:rPr>
        <w:t>承包人按照园林建筑</w:t>
      </w:r>
      <w:r>
        <w:rPr>
          <w:rFonts w:hint="eastAsia"/>
          <w:spacing w:val="4"/>
          <w:sz w:val="24"/>
        </w:rPr>
        <w:t>（</w:t>
      </w:r>
      <w:r>
        <w:rPr>
          <w:rFonts w:hint="eastAsia"/>
          <w:sz w:val="24"/>
        </w:rPr>
        <w:t>一层</w:t>
      </w:r>
      <w:r>
        <w:rPr>
          <w:rFonts w:hint="eastAsia"/>
          <w:spacing w:val="4"/>
          <w:sz w:val="24"/>
        </w:rPr>
        <w:t>）</w:t>
      </w:r>
      <w:r>
        <w:rPr>
          <w:rFonts w:hint="eastAsia"/>
          <w:sz w:val="24"/>
        </w:rPr>
        <w:t>及园林小品等具体工程的需要应该搭设并维护一切必要的临时脚手架、挑平台并配以脚手板、安全网、护身栏杆、门架、马</w:t>
      </w:r>
      <w:r>
        <w:rPr>
          <w:rFonts w:hint="eastAsia"/>
          <w:spacing w:val="-13"/>
          <w:sz w:val="24"/>
        </w:rPr>
        <w:t>道、坡道、爬梯等等。脚手架和挑平台的搭设应满足有关安全生产的法律、法规、规</w:t>
      </w:r>
      <w:r>
        <w:rPr>
          <w:rFonts w:hint="eastAsia"/>
          <w:spacing w:val="-7"/>
          <w:sz w:val="24"/>
        </w:rPr>
        <w:t>范、标准和规程等的要求。新搭设的脚手架投入使用前，承包人必须组织安全检查和验收，并对使用脚手架的作业人员进行安全交底。</w:t>
      </w:r>
      <w:r>
        <w:rPr>
          <w:spacing w:val="-7"/>
          <w:sz w:val="24"/>
        </w:rPr>
        <w:t xml:space="preserve"> </w:t>
      </w:r>
    </w:p>
    <w:p>
      <w:pPr>
        <w:pStyle w:val="58"/>
        <w:numPr>
          <w:ilvl w:val="2"/>
          <w:numId w:val="11"/>
        </w:numPr>
        <w:tabs>
          <w:tab w:val="left" w:pos="1406"/>
        </w:tabs>
        <w:spacing w:line="360" w:lineRule="auto"/>
        <w:ind w:right="1641" w:firstLine="479"/>
        <w:jc w:val="both"/>
        <w:rPr>
          <w:sz w:val="24"/>
        </w:rPr>
      </w:pPr>
      <w:r>
        <w:rPr>
          <w:rFonts w:hint="eastAsia"/>
          <w:sz w:val="24"/>
        </w:rPr>
        <w:t>园林树木防寒防护、园林建筑和小品施工的脚手架工程、达到一定规模</w:t>
      </w:r>
      <w:r>
        <w:rPr>
          <w:rFonts w:hint="eastAsia"/>
          <w:spacing w:val="-5"/>
          <w:sz w:val="24"/>
        </w:rPr>
        <w:t>和危险性较大，承包人应当编制专项施工方案。还应当经过安全验算，脚手架安全验算结果必须报送监理人核查后方可实施。</w:t>
      </w:r>
      <w:r>
        <w:rPr>
          <w:spacing w:val="-5"/>
          <w:sz w:val="24"/>
        </w:rPr>
        <w:t xml:space="preserve"> </w:t>
      </w:r>
    </w:p>
    <w:p>
      <w:pPr>
        <w:pStyle w:val="58"/>
        <w:numPr>
          <w:ilvl w:val="2"/>
          <w:numId w:val="11"/>
        </w:numPr>
        <w:tabs>
          <w:tab w:val="left" w:pos="1406"/>
        </w:tabs>
        <w:spacing w:line="360" w:lineRule="auto"/>
        <w:ind w:right="1640" w:firstLine="479"/>
        <w:jc w:val="both"/>
        <w:rPr>
          <w:sz w:val="24"/>
        </w:rPr>
      </w:pPr>
      <w:r>
        <w:rPr>
          <w:rFonts w:hint="eastAsia"/>
          <w:sz w:val="24"/>
        </w:rPr>
        <w:t>承包人应当加强脚手架的日常安全巡查，及时对其中的安全隐患进行整</w:t>
      </w:r>
      <w:r>
        <w:rPr>
          <w:rFonts w:hint="eastAsia"/>
          <w:spacing w:val="-6"/>
          <w:sz w:val="24"/>
        </w:rPr>
        <w:t>改，确保脚手架使用安全。雨、雪、雾、霜和大风等天气后，承包人必须对脚手架进行安全巡查，并及时消除安全隐患。</w:t>
      </w:r>
      <w:r>
        <w:rPr>
          <w:spacing w:val="-6"/>
          <w:sz w:val="24"/>
        </w:rPr>
        <w:t xml:space="preserve"> </w:t>
      </w:r>
    </w:p>
    <w:p>
      <w:pPr>
        <w:pStyle w:val="58"/>
        <w:numPr>
          <w:ilvl w:val="2"/>
          <w:numId w:val="11"/>
        </w:numPr>
        <w:tabs>
          <w:tab w:val="left" w:pos="1406"/>
        </w:tabs>
        <w:spacing w:line="360" w:lineRule="auto"/>
        <w:ind w:left="1405" w:hanging="602"/>
        <w:rPr>
          <w:sz w:val="24"/>
        </w:rPr>
      </w:pPr>
      <w:r>
        <w:rPr>
          <w:rFonts w:hint="eastAsia"/>
          <w:sz w:val="24"/>
        </w:rPr>
        <w:t>承包人应允许发包人、监理人、专业分包人、独立承包人</w:t>
      </w:r>
      <w:r>
        <w:rPr>
          <w:rFonts w:hint="eastAsia"/>
          <w:spacing w:val="4"/>
          <w:sz w:val="24"/>
        </w:rPr>
        <w:t>（</w:t>
      </w:r>
      <w:r>
        <w:rPr>
          <w:rFonts w:hint="eastAsia"/>
          <w:sz w:val="24"/>
        </w:rPr>
        <w:t>如果有）</w:t>
      </w:r>
    </w:p>
    <w:p>
      <w:pPr>
        <w:pStyle w:val="18"/>
        <w:spacing w:line="360" w:lineRule="auto"/>
        <w:ind w:left="324" w:right="1641"/>
        <w:jc w:val="both"/>
      </w:pPr>
      <w:r>
        <w:rPr>
          <w:rFonts w:hint="eastAsia"/>
          <w:spacing w:val="-2"/>
        </w:rPr>
        <w:t>和有关行政管理部门或者机构免费使用承包人在现场搭设的任何已有脚手架，并就</w:t>
      </w:r>
      <w:r>
        <w:rPr>
          <w:rFonts w:hint="eastAsia"/>
          <w:spacing w:val="-3"/>
        </w:rPr>
        <w:t>其安全使用做必要交底说明。承包人在拆除任何脚手架前，应书面请示监理人他将</w:t>
      </w:r>
      <w:r>
        <w:rPr>
          <w:rFonts w:hint="eastAsia"/>
          <w:spacing w:val="-4"/>
        </w:rPr>
        <w:t>要拆除的脚手架是否为发包人、监理人、专业分包人、独立承包人</w:t>
      </w:r>
      <w:r>
        <w:rPr>
          <w:rFonts w:hint="eastAsia"/>
        </w:rPr>
        <w:t>（如果有</w:t>
      </w:r>
      <w:r>
        <w:rPr>
          <w:rFonts w:hint="eastAsia"/>
          <w:spacing w:val="-5"/>
        </w:rPr>
        <w:t>）</w:t>
      </w:r>
      <w:r>
        <w:rPr>
          <w:rFonts w:hint="eastAsia"/>
          <w:spacing w:val="-7"/>
        </w:rPr>
        <w:t>和政</w:t>
      </w:r>
      <w:r>
        <w:rPr>
          <w:rFonts w:hint="eastAsia"/>
          <w:spacing w:val="-4"/>
        </w:rPr>
        <w:t>府有关机构所需，只有在获得监理人书面批准后，承包人才能拆除相关脚手架，否</w:t>
      </w:r>
      <w:r>
        <w:rPr>
          <w:rFonts w:hint="eastAsia"/>
        </w:rPr>
        <w:t>则承包人应自费重新搭设。</w:t>
      </w:r>
      <w:r>
        <w:t xml:space="preserve"> </w:t>
      </w:r>
    </w:p>
    <w:p>
      <w:pPr>
        <w:pStyle w:val="58"/>
        <w:numPr>
          <w:ilvl w:val="2"/>
          <w:numId w:val="11"/>
        </w:numPr>
        <w:tabs>
          <w:tab w:val="left" w:pos="1406"/>
        </w:tabs>
        <w:spacing w:line="360" w:lineRule="auto"/>
        <w:ind w:left="1405" w:hanging="602"/>
        <w:rPr>
          <w:sz w:val="24"/>
        </w:rPr>
      </w:pPr>
      <w:r>
        <w:rPr>
          <w:rFonts w:hint="eastAsia"/>
          <w:sz w:val="24"/>
        </w:rPr>
        <w:t>脚手架的其他要求如下：</w:t>
      </w:r>
      <w:r>
        <w:rPr>
          <w:sz w:val="24"/>
        </w:rPr>
        <w:t xml:space="preserve"> </w:t>
      </w:r>
    </w:p>
    <w:p>
      <w:pPr>
        <w:pStyle w:val="18"/>
        <w:spacing w:line="360" w:lineRule="auto"/>
        <w:rPr>
          <w:sz w:val="10"/>
        </w:rPr>
      </w:pPr>
      <w:r>
        <w:rPr>
          <w:sz w:val="10"/>
          <w:u w:val="single"/>
        </w:rPr>
        <w:t xml:space="preserve">                                                                                                                                                                      </w:t>
      </w:r>
      <w:r>
        <w:rPr>
          <w:rFonts w:hint="eastAsia"/>
        </w:rPr>
        <w:t>。</w:t>
      </w:r>
    </w:p>
    <w:p>
      <w:pPr>
        <w:pStyle w:val="7"/>
        <w:numPr>
          <w:ilvl w:val="1"/>
          <w:numId w:val="12"/>
        </w:numPr>
        <w:tabs>
          <w:tab w:val="left" w:pos="1171"/>
        </w:tabs>
        <w:spacing w:line="360" w:lineRule="auto"/>
        <w:ind w:hanging="365"/>
        <w:rPr>
          <w:rFonts w:ascii="宋体" w:hAnsi="宋体" w:eastAsia="宋体" w:cs="宋体"/>
        </w:rPr>
      </w:pPr>
      <w:r>
        <w:rPr>
          <w:rFonts w:hint="eastAsia" w:ascii="宋体" w:hAnsi="宋体" w:eastAsia="宋体" w:cs="宋体"/>
        </w:rPr>
        <w:t>施工安全措施计划</w:t>
      </w:r>
    </w:p>
    <w:p>
      <w:pPr>
        <w:pStyle w:val="58"/>
        <w:numPr>
          <w:ilvl w:val="2"/>
          <w:numId w:val="12"/>
        </w:numPr>
        <w:tabs>
          <w:tab w:val="left" w:pos="1406"/>
        </w:tabs>
        <w:spacing w:line="360" w:lineRule="auto"/>
        <w:ind w:right="1641" w:firstLine="479"/>
        <w:jc w:val="both"/>
        <w:rPr>
          <w:sz w:val="24"/>
          <w:szCs w:val="24"/>
        </w:rPr>
      </w:pPr>
      <w:r>
        <w:rPr>
          <w:rFonts w:hint="eastAsia"/>
          <w:spacing w:val="-12"/>
          <w:sz w:val="24"/>
          <w:szCs w:val="24"/>
        </w:rPr>
        <w:t>承包人应根据《中华人民共和国安全生产法》、《职业健康安全管理体系</w:t>
      </w:r>
      <w:r>
        <w:rPr>
          <w:rFonts w:hint="eastAsia"/>
          <w:spacing w:val="-32"/>
          <w:sz w:val="24"/>
          <w:szCs w:val="24"/>
        </w:rPr>
        <w:t>规范》、《中华人民共和国消防法》、《中华人民共和国道路交通安全法》、《中华人民</w:t>
      </w:r>
      <w:r>
        <w:rPr>
          <w:rFonts w:hint="eastAsia"/>
          <w:spacing w:val="-22"/>
          <w:sz w:val="24"/>
          <w:szCs w:val="24"/>
        </w:rPr>
        <w:t>共和国传染病防治法实施办法》和地方有关的法规等，按照合同条款的约定，编制一份施工安全措施计划，报送监理人审批。</w:t>
      </w:r>
      <w:r>
        <w:rPr>
          <w:spacing w:val="-22"/>
          <w:sz w:val="24"/>
          <w:szCs w:val="24"/>
        </w:rPr>
        <w:t xml:space="preserve"> </w:t>
      </w:r>
    </w:p>
    <w:p>
      <w:pPr>
        <w:pStyle w:val="58"/>
        <w:numPr>
          <w:ilvl w:val="2"/>
          <w:numId w:val="12"/>
        </w:numPr>
        <w:tabs>
          <w:tab w:val="left" w:pos="1406"/>
        </w:tabs>
        <w:spacing w:line="360" w:lineRule="auto"/>
        <w:ind w:right="1641" w:firstLine="479"/>
        <w:jc w:val="both"/>
        <w:rPr>
          <w:sz w:val="24"/>
          <w:szCs w:val="24"/>
        </w:rPr>
      </w:pPr>
      <w:r>
        <w:rPr>
          <w:rFonts w:hint="eastAsia"/>
          <w:sz w:val="24"/>
          <w:szCs w:val="24"/>
        </w:rPr>
        <w:t>施工安全措施计划是承包人阐明其安全管理方针、管理体系、安全制度</w:t>
      </w:r>
      <w:r>
        <w:rPr>
          <w:rFonts w:hint="eastAsia"/>
          <w:spacing w:val="-4"/>
          <w:sz w:val="24"/>
          <w:szCs w:val="24"/>
        </w:rPr>
        <w:t>和安全措施等的文件，其内容应当反映现行法律法规规定的和合同条款约定的以及本条上述约定的承包人安全职责，包括但不限于：</w:t>
      </w:r>
      <w:r>
        <w:rPr>
          <w:spacing w:val="-4"/>
          <w:sz w:val="24"/>
          <w:szCs w:val="24"/>
        </w:rPr>
        <w:t xml:space="preserve"> </w:t>
      </w:r>
    </w:p>
    <w:p>
      <w:pPr>
        <w:pStyle w:val="18"/>
        <w:spacing w:line="360" w:lineRule="auto"/>
        <w:ind w:left="804"/>
      </w:pPr>
      <w:r>
        <w:t xml:space="preserve"> </w:t>
      </w:r>
      <w:r>
        <w:rPr>
          <w:rFonts w:hint="eastAsia"/>
        </w:rPr>
        <w:t>施工安全管理机构的设置；</w:t>
      </w:r>
      <w:r>
        <w:t xml:space="preserve"> </w:t>
      </w:r>
    </w:p>
    <w:p>
      <w:pPr>
        <w:pStyle w:val="18"/>
        <w:spacing w:line="360" w:lineRule="auto"/>
        <w:ind w:left="804"/>
      </w:pPr>
      <w:r>
        <w:t xml:space="preserve"> </w:t>
      </w:r>
      <w:r>
        <w:rPr>
          <w:rFonts w:hint="eastAsia"/>
        </w:rPr>
        <w:t>园林专职安全管理人员的配备；</w:t>
      </w:r>
      <w:r>
        <w:t xml:space="preserve"> </w:t>
      </w:r>
    </w:p>
    <w:p>
      <w:pPr>
        <w:pStyle w:val="18"/>
        <w:spacing w:line="360" w:lineRule="auto"/>
        <w:ind w:left="804"/>
      </w:pPr>
      <w:r>
        <w:t xml:space="preserve"> </w:t>
      </w:r>
      <w:r>
        <w:rPr>
          <w:rFonts w:hint="eastAsia"/>
        </w:rPr>
        <w:t>安全责任制度和管理措施；</w:t>
      </w:r>
      <w:r>
        <w:t xml:space="preserve"> </w:t>
      </w:r>
    </w:p>
    <w:p>
      <w:pPr>
        <w:pStyle w:val="18"/>
        <w:spacing w:line="360" w:lineRule="auto"/>
        <w:ind w:left="1043" w:leftChars="365" w:right="5819" w:hanging="240" w:hangingChars="100"/>
      </w:pPr>
      <w:r>
        <w:t xml:space="preserve"> </w:t>
      </w:r>
      <w:r>
        <w:rPr>
          <w:rFonts w:hint="eastAsia"/>
        </w:rPr>
        <w:t>安全教育和培训制度及管理措施；</w:t>
      </w:r>
    </w:p>
    <w:p>
      <w:pPr>
        <w:pStyle w:val="18"/>
        <w:spacing w:line="360" w:lineRule="auto"/>
        <w:ind w:right="5817" w:firstLine="960" w:firstLineChars="400"/>
      </w:pPr>
      <w:r>
        <w:rPr>
          <w:rFonts w:hint="eastAsia"/>
        </w:rPr>
        <w:t>各项安全生产规章制度和操作规程；</w:t>
      </w:r>
      <w:r>
        <w:t xml:space="preserve"> </w:t>
      </w:r>
    </w:p>
    <w:p>
      <w:pPr>
        <w:pStyle w:val="18"/>
        <w:spacing w:line="360" w:lineRule="auto"/>
        <w:ind w:left="804"/>
      </w:pPr>
      <w:r>
        <w:t xml:space="preserve"> </w:t>
      </w:r>
      <w:r>
        <w:rPr>
          <w:rFonts w:hint="eastAsia"/>
        </w:rPr>
        <w:t>各项施工安全措施和防护措施；</w:t>
      </w:r>
      <w:r>
        <w:t xml:space="preserve"> </w:t>
      </w:r>
    </w:p>
    <w:p>
      <w:pPr>
        <w:pStyle w:val="18"/>
        <w:spacing w:line="360" w:lineRule="auto"/>
        <w:ind w:left="804"/>
      </w:pPr>
      <w:r>
        <w:t xml:space="preserve"> </w:t>
      </w:r>
      <w:r>
        <w:rPr>
          <w:rFonts w:hint="eastAsia"/>
        </w:rPr>
        <w:t>危险品管理和使用制度；</w:t>
      </w:r>
      <w:r>
        <w:t xml:space="preserve"> </w:t>
      </w:r>
    </w:p>
    <w:p>
      <w:pPr>
        <w:pStyle w:val="18"/>
        <w:spacing w:line="360" w:lineRule="auto"/>
        <w:ind w:left="804"/>
      </w:pPr>
      <w:r>
        <w:t xml:space="preserve"> </w:t>
      </w:r>
      <w:r>
        <w:rPr>
          <w:rFonts w:hint="eastAsia"/>
        </w:rPr>
        <w:t>安全设施、设备、器材和劳动保护用品的配置；</w:t>
      </w:r>
      <w:r>
        <w:t xml:space="preserve"> </w:t>
      </w:r>
    </w:p>
    <w:p>
      <w:pPr>
        <w:pStyle w:val="18"/>
        <w:spacing w:line="360" w:lineRule="auto"/>
        <w:ind w:left="804"/>
      </w:pPr>
      <w:r>
        <w:t xml:space="preserve"> </w:t>
      </w:r>
      <w:r>
        <w:rPr>
          <w:rFonts w:hint="eastAsia"/>
        </w:rPr>
        <w:t>其</w:t>
      </w:r>
      <w:r>
        <w:t xml:space="preserve"> </w:t>
      </w:r>
      <w:r>
        <w:rPr>
          <w:rFonts w:hint="eastAsia"/>
        </w:rPr>
        <w:t>他</w:t>
      </w:r>
      <w:r>
        <w:t xml:space="preserve"> </w:t>
      </w:r>
      <w:r>
        <w:rPr>
          <w:rFonts w:hint="eastAsia"/>
        </w:rPr>
        <w:t>：</w:t>
      </w:r>
      <w:r>
        <w:rPr>
          <w:lang w:val="en-US"/>
        </w:rPr>
        <w:t xml:space="preserve">                              </w:t>
      </w:r>
      <w:r>
        <w:rPr>
          <w:rFonts w:hint="eastAsia"/>
        </w:rPr>
        <w:t>。</w:t>
      </w:r>
      <w:r>
        <w:t xml:space="preserve"> </w:t>
      </w:r>
    </w:p>
    <w:p>
      <w:pPr>
        <w:pStyle w:val="18"/>
        <w:spacing w:line="360" w:lineRule="auto"/>
        <w:ind w:left="324" w:right="1641" w:firstLine="479"/>
        <w:jc w:val="both"/>
      </w:pPr>
      <w:r>
        <w:rPr>
          <w:rFonts w:hint="eastAsia"/>
          <w:spacing w:val="-3"/>
        </w:rPr>
        <w:t>施工安全措施的工程和范围，应符合国家颁发的《安全技术措施计划的工程总</w:t>
      </w:r>
      <w:r>
        <w:rPr>
          <w:rFonts w:hint="eastAsia"/>
          <w:spacing w:val="-9"/>
        </w:rPr>
        <w:t>名称表》及其附录</w:t>
      </w:r>
      <w:r>
        <w:rPr>
          <w:spacing w:val="-9"/>
        </w:rPr>
        <w:t xml:space="preserve"> </w:t>
      </w:r>
      <w:r>
        <w:t>H</w:t>
      </w:r>
      <w:r>
        <w:rPr>
          <w:rFonts w:hint="eastAsia"/>
          <w:spacing w:val="-5"/>
        </w:rPr>
        <w:t>、</w:t>
      </w:r>
      <w:r>
        <w:t>I</w:t>
      </w:r>
      <w:r>
        <w:rPr>
          <w:rFonts w:hint="eastAsia"/>
          <w:spacing w:val="-5"/>
        </w:rPr>
        <w:t>、</w:t>
      </w:r>
      <w:r>
        <w:t>J</w:t>
      </w:r>
      <w:r>
        <w:rPr>
          <w:spacing w:val="-9"/>
        </w:rPr>
        <w:t xml:space="preserve"> </w:t>
      </w:r>
      <w:r>
        <w:rPr>
          <w:rFonts w:hint="eastAsia"/>
          <w:spacing w:val="-9"/>
        </w:rPr>
        <w:t>的规定，即应采取以改善劳动条件，防止工伤事故，预</w:t>
      </w:r>
      <w:r>
        <w:rPr>
          <w:rFonts w:hint="eastAsia"/>
          <w:spacing w:val="-3"/>
        </w:rPr>
        <w:t>防职业病和职业中毒为目的的一切施工安全措施，以及修建必要的安全设施、配备安全技术开发试验所需的器材、设备和技术资料，并对现场的施工管理及作业人员</w:t>
      </w:r>
      <w:r>
        <w:rPr>
          <w:rFonts w:hint="eastAsia"/>
        </w:rPr>
        <w:t>做好相应的安全宣传教育。</w:t>
      </w:r>
      <w:r>
        <w:t xml:space="preserve"> </w:t>
      </w:r>
    </w:p>
    <w:p>
      <w:pPr>
        <w:pStyle w:val="58"/>
        <w:numPr>
          <w:ilvl w:val="2"/>
          <w:numId w:val="12"/>
        </w:numPr>
        <w:tabs>
          <w:tab w:val="left" w:pos="1406"/>
        </w:tabs>
        <w:spacing w:line="360" w:lineRule="auto"/>
        <w:ind w:left="1405" w:hanging="602"/>
        <w:rPr>
          <w:sz w:val="24"/>
          <w:szCs w:val="24"/>
        </w:rPr>
      </w:pPr>
      <w:r>
        <w:rPr>
          <w:rFonts w:hint="eastAsia"/>
          <w:sz w:val="24"/>
          <w:szCs w:val="24"/>
        </w:rPr>
        <w:t>施工安全措施计划应当在专用合同条款约定的期限内报送监理人。承</w:t>
      </w:r>
    </w:p>
    <w:p>
      <w:pPr>
        <w:pStyle w:val="18"/>
        <w:spacing w:line="360" w:lineRule="auto"/>
        <w:ind w:left="324" w:right="1593"/>
      </w:pPr>
      <w:r>
        <w:rPr>
          <w:rFonts w:hint="eastAsia"/>
        </w:rPr>
        <w:t>包人应当严格执行经监理人批准的施工安全措施计划，并及时补充、修订和完善施工安全措施计划，确保安全生产。</w:t>
      </w:r>
      <w:r>
        <w:t xml:space="preserve"> </w:t>
      </w:r>
    </w:p>
    <w:p>
      <w:pPr>
        <w:pStyle w:val="7"/>
        <w:numPr>
          <w:ilvl w:val="1"/>
          <w:numId w:val="12"/>
        </w:numPr>
        <w:tabs>
          <w:tab w:val="left" w:pos="1293"/>
        </w:tabs>
        <w:spacing w:line="360" w:lineRule="auto"/>
        <w:ind w:left="1292" w:hanging="487"/>
        <w:rPr>
          <w:rFonts w:ascii="宋体" w:hAnsi="宋体" w:eastAsia="宋体" w:cs="宋体"/>
        </w:rPr>
      </w:pPr>
      <w:r>
        <w:rPr>
          <w:rFonts w:hint="eastAsia" w:ascii="宋体" w:hAnsi="宋体" w:eastAsia="宋体" w:cs="宋体"/>
        </w:rPr>
        <w:t>文明施工</w:t>
      </w:r>
    </w:p>
    <w:p>
      <w:pPr>
        <w:pStyle w:val="58"/>
        <w:numPr>
          <w:ilvl w:val="2"/>
          <w:numId w:val="12"/>
        </w:numPr>
        <w:tabs>
          <w:tab w:val="left" w:pos="1526"/>
        </w:tabs>
        <w:spacing w:line="360" w:lineRule="auto"/>
        <w:ind w:right="1520" w:firstLine="479"/>
        <w:rPr>
          <w:sz w:val="24"/>
          <w:szCs w:val="24"/>
        </w:rPr>
      </w:pPr>
      <w:r>
        <w:rPr>
          <w:rFonts w:hint="eastAsia"/>
          <w:spacing w:val="-6"/>
          <w:sz w:val="24"/>
          <w:szCs w:val="24"/>
        </w:rPr>
        <w:t>承包人应遵守国家和工程所在地有关法规、规范、规程和标准的规定，</w:t>
      </w:r>
      <w:r>
        <w:rPr>
          <w:spacing w:val="-6"/>
          <w:sz w:val="24"/>
          <w:szCs w:val="24"/>
        </w:rPr>
        <w:t xml:space="preserve">         </w:t>
      </w:r>
      <w:r>
        <w:rPr>
          <w:rFonts w:hint="eastAsia"/>
          <w:sz w:val="24"/>
          <w:szCs w:val="24"/>
        </w:rPr>
        <w:t>履行文明施工义务，确保文明施工专项费用专款专用。</w:t>
      </w:r>
      <w:r>
        <w:rPr>
          <w:sz w:val="24"/>
          <w:szCs w:val="24"/>
        </w:rPr>
        <w:t xml:space="preserve"> </w:t>
      </w:r>
    </w:p>
    <w:p>
      <w:pPr>
        <w:pStyle w:val="58"/>
        <w:numPr>
          <w:ilvl w:val="2"/>
          <w:numId w:val="12"/>
        </w:numPr>
        <w:tabs>
          <w:tab w:val="left" w:pos="1526"/>
        </w:tabs>
        <w:spacing w:line="360" w:lineRule="auto"/>
        <w:ind w:left="1525" w:hanging="722"/>
        <w:rPr>
          <w:sz w:val="24"/>
          <w:szCs w:val="24"/>
        </w:rPr>
      </w:pPr>
      <w:r>
        <w:rPr>
          <w:rFonts w:hint="eastAsia"/>
          <w:sz w:val="24"/>
          <w:szCs w:val="24"/>
        </w:rPr>
        <w:t>承包人应当规范现场施工秩序，实行标准化管理：</w:t>
      </w:r>
      <w:r>
        <w:rPr>
          <w:sz w:val="24"/>
          <w:szCs w:val="24"/>
        </w:rPr>
        <w:t xml:space="preserve"> </w:t>
      </w:r>
    </w:p>
    <w:p>
      <w:pPr>
        <w:pStyle w:val="18"/>
        <w:spacing w:line="360" w:lineRule="auto"/>
        <w:ind w:left="324" w:right="1641" w:firstLine="479"/>
        <w:jc w:val="both"/>
      </w:pPr>
      <w:r>
        <w:rPr>
          <w:rFonts w:hint="eastAsia"/>
          <w:spacing w:val="-1"/>
        </w:rPr>
        <w:t>承包人的施工场地</w:t>
      </w:r>
      <w:r>
        <w:rPr>
          <w:rFonts w:hint="eastAsia"/>
        </w:rPr>
        <w:t>（现场</w:t>
      </w:r>
      <w:r>
        <w:rPr>
          <w:rFonts w:hint="eastAsia"/>
          <w:spacing w:val="-5"/>
        </w:rPr>
        <w:t>）必须干净整洁、做到无积水、无淤泥、无杂物，材</w:t>
      </w:r>
      <w:r>
        <w:rPr>
          <w:rFonts w:hint="eastAsia"/>
          <w:spacing w:val="-4"/>
        </w:rPr>
        <w:t>料堆放整齐；不能及时栽种的苗木材料需要有假植区；屋顶绿化施工垃圾应装袋或采用相应容器，严禁凌空抛掷。严格遵守“工完、料尽、场地净”的原则，不留垃</w:t>
      </w:r>
      <w:r>
        <w:rPr>
          <w:rFonts w:hint="eastAsia"/>
        </w:rPr>
        <w:t>圾、不留剩余施工材料；</w:t>
      </w:r>
      <w:r>
        <w:t xml:space="preserve"> </w:t>
      </w:r>
    </w:p>
    <w:p>
      <w:pPr>
        <w:pStyle w:val="18"/>
        <w:spacing w:line="360" w:lineRule="auto"/>
        <w:ind w:left="804"/>
      </w:pPr>
      <w:r>
        <w:t xml:space="preserve"> </w:t>
      </w:r>
      <w:r>
        <w:rPr>
          <w:rFonts w:hint="eastAsia"/>
        </w:rPr>
        <w:t>不能及时栽种的苗木材料需要有假植区；</w:t>
      </w:r>
      <w:r>
        <w:t xml:space="preserve"> </w:t>
      </w:r>
    </w:p>
    <w:p>
      <w:pPr>
        <w:pStyle w:val="18"/>
        <w:spacing w:line="360" w:lineRule="auto"/>
        <w:ind w:left="324" w:right="1643" w:firstLine="479"/>
      </w:pPr>
      <w:r>
        <w:t xml:space="preserve"> </w:t>
      </w:r>
      <w:r>
        <w:rPr>
          <w:rFonts w:hint="eastAsia"/>
        </w:rPr>
        <w:t>施工现场土方应当集中堆放，裸露的场地和集中堆放的土方应当采取覆盖、固化或绿化</w:t>
      </w:r>
      <w:r>
        <w:t xml:space="preserve"> </w:t>
      </w:r>
      <w:r>
        <w:rPr>
          <w:rFonts w:hint="eastAsia"/>
        </w:rPr>
        <w:t>等措施；</w:t>
      </w:r>
      <w:r>
        <w:t xml:space="preserve"> </w:t>
      </w:r>
    </w:p>
    <w:p>
      <w:pPr>
        <w:pStyle w:val="18"/>
        <w:spacing w:line="360" w:lineRule="auto"/>
        <w:ind w:right="1594" w:firstLine="960" w:firstLineChars="400"/>
      </w:pPr>
      <w:r>
        <w:rPr>
          <w:rFonts w:hint="eastAsia"/>
        </w:rPr>
        <w:t>施工场地（现场）应进行硬化处理，定期定时洒水，做好防治扬尘和大气污染工作；</w:t>
      </w:r>
      <w:r>
        <w:t xml:space="preserve"> </w:t>
      </w:r>
    </w:p>
    <w:p>
      <w:pPr>
        <w:pStyle w:val="18"/>
        <w:spacing w:line="360" w:lineRule="auto"/>
        <w:ind w:left="324" w:right="1594" w:firstLine="479"/>
      </w:pPr>
      <w:r>
        <w:rPr>
          <w:rFonts w:hint="eastAsia"/>
        </w:rPr>
        <w:t>屋顶绿化施工垃圾的清运，必须采用相应容器，严禁凌空抛掷；不留垃圾，不留剩余施工材料和施工机具，各种设备运转正常；</w:t>
      </w:r>
      <w:r>
        <w:t xml:space="preserve"> </w:t>
      </w:r>
    </w:p>
    <w:p>
      <w:pPr>
        <w:pStyle w:val="18"/>
        <w:spacing w:line="360" w:lineRule="auto"/>
        <w:ind w:left="324" w:right="1641" w:firstLine="479"/>
      </w:pPr>
      <w:r>
        <w:rPr>
          <w:rFonts w:hint="eastAsia"/>
          <w:spacing w:val="-2"/>
        </w:rPr>
        <w:t>承包人修建的施工临时设施应符合监理人批准的施工规划要求，并应满足本节</w:t>
      </w:r>
      <w:r>
        <w:rPr>
          <w:rFonts w:hint="eastAsia"/>
        </w:rPr>
        <w:t>规定的各项安全要求；</w:t>
      </w:r>
      <w:r>
        <w:t xml:space="preserve"> </w:t>
      </w:r>
    </w:p>
    <w:p>
      <w:pPr>
        <w:pStyle w:val="18"/>
        <w:spacing w:line="360" w:lineRule="auto"/>
        <w:ind w:left="324" w:right="1641" w:firstLine="479"/>
      </w:pPr>
      <w:r>
        <w:rPr>
          <w:rFonts w:hint="eastAsia"/>
          <w:spacing w:val="-1"/>
        </w:rPr>
        <w:t>监理人可要求承包人在施工场地</w:t>
      </w:r>
      <w:r>
        <w:rPr>
          <w:rFonts w:hint="eastAsia"/>
        </w:rPr>
        <w:t>（现场</w:t>
      </w:r>
      <w:r>
        <w:rPr>
          <w:rFonts w:hint="eastAsia"/>
          <w:spacing w:val="-12"/>
        </w:rPr>
        <w:t>）</w:t>
      </w:r>
      <w:r>
        <w:rPr>
          <w:rFonts w:hint="eastAsia"/>
          <w:spacing w:val="-1"/>
        </w:rPr>
        <w:t>设置各级承包人的安全文明施工责任</w:t>
      </w:r>
      <w:r>
        <w:rPr>
          <w:rFonts w:hint="eastAsia"/>
        </w:rPr>
        <w:t>牌等文明施工警示牌；</w:t>
      </w:r>
      <w:r>
        <w:t xml:space="preserve"> </w:t>
      </w:r>
    </w:p>
    <w:p>
      <w:pPr>
        <w:pStyle w:val="18"/>
        <w:spacing w:line="360" w:lineRule="auto"/>
        <w:ind w:left="324" w:right="1596" w:firstLine="479"/>
      </w:pPr>
      <w:r>
        <w:rPr>
          <w:rFonts w:hint="eastAsia"/>
        </w:rPr>
        <w:t>材料进入现场应按指定位置堆放整齐，不得影响现场施工和堵塞施工、消防通道。材料堆放场地应有专职的管理人员；</w:t>
      </w:r>
      <w:r>
        <w:t xml:space="preserve"> </w:t>
      </w:r>
    </w:p>
    <w:p>
      <w:pPr>
        <w:pStyle w:val="18"/>
        <w:spacing w:line="360" w:lineRule="auto"/>
        <w:ind w:left="324" w:right="1594" w:firstLine="479"/>
      </w:pPr>
      <w:r>
        <w:rPr>
          <w:rFonts w:hint="eastAsia"/>
        </w:rPr>
        <w:t>施工和安装用的各种扣件、紧固件、绳索具、小型配件、镙钉等应在专设的仓库内装箱放置；</w:t>
      </w:r>
      <w:r>
        <w:t xml:space="preserve"> </w:t>
      </w:r>
    </w:p>
    <w:p>
      <w:pPr>
        <w:pStyle w:val="18"/>
        <w:spacing w:line="360" w:lineRule="auto"/>
        <w:ind w:left="324" w:right="1621" w:firstLine="479"/>
      </w:pPr>
      <w:r>
        <w:rPr>
          <w:rFonts w:hint="eastAsia"/>
        </w:rPr>
        <w:t>现场风、水管及照明电线的布置应安全、合理、规范、有序，做到整齐美观。不得随意架设和造成隐患或影响施工；</w:t>
      </w:r>
      <w:r>
        <w:t xml:space="preserve"> </w:t>
      </w:r>
    </w:p>
    <w:p>
      <w:pPr>
        <w:pStyle w:val="18"/>
        <w:spacing w:line="360" w:lineRule="auto"/>
        <w:ind w:left="804"/>
      </w:pPr>
      <w:r>
        <w:rPr>
          <w:rFonts w:hint="eastAsia"/>
        </w:rPr>
        <w:t>建筑拆除工程施工时应采取有效的降尘措施。</w:t>
      </w:r>
      <w:r>
        <w:t xml:space="preserve"> </w:t>
      </w:r>
    </w:p>
    <w:p>
      <w:pPr>
        <w:pStyle w:val="58"/>
        <w:numPr>
          <w:ilvl w:val="2"/>
          <w:numId w:val="12"/>
        </w:numPr>
        <w:tabs>
          <w:tab w:val="left" w:pos="1526"/>
        </w:tabs>
        <w:spacing w:line="360" w:lineRule="auto"/>
        <w:ind w:right="1643" w:firstLine="479"/>
        <w:jc w:val="both"/>
        <w:rPr>
          <w:sz w:val="24"/>
          <w:szCs w:val="24"/>
        </w:rPr>
      </w:pPr>
      <w:r>
        <w:rPr>
          <w:rFonts w:hint="eastAsia"/>
          <w:sz w:val="24"/>
          <w:szCs w:val="24"/>
        </w:rPr>
        <w:t>承包人应为其雇佣的施工工人建立并维护相应的生活宿舍、食堂、浴</w:t>
      </w:r>
      <w:r>
        <w:rPr>
          <w:rFonts w:hint="eastAsia"/>
          <w:spacing w:val="-5"/>
          <w:sz w:val="24"/>
          <w:szCs w:val="24"/>
        </w:rPr>
        <w:t>室、厕所和文化活动室等，其标准应满足政府有关机构的生活标准和卫生标准等的</w:t>
      </w:r>
      <w:r>
        <w:rPr>
          <w:rFonts w:hint="eastAsia"/>
          <w:sz w:val="24"/>
          <w:szCs w:val="24"/>
        </w:rPr>
        <w:t>要求。承包人应在工作区域设立必要的临时厕所，并安排专门人员定时清理。</w:t>
      </w:r>
      <w:r>
        <w:rPr>
          <w:sz w:val="24"/>
          <w:szCs w:val="24"/>
        </w:rPr>
        <w:t xml:space="preserve"> </w:t>
      </w:r>
    </w:p>
    <w:p>
      <w:pPr>
        <w:pStyle w:val="58"/>
        <w:numPr>
          <w:ilvl w:val="2"/>
          <w:numId w:val="12"/>
        </w:numPr>
        <w:tabs>
          <w:tab w:val="left" w:pos="1526"/>
        </w:tabs>
        <w:spacing w:line="360" w:lineRule="auto"/>
        <w:ind w:right="1641" w:firstLine="479"/>
        <w:jc w:val="both"/>
        <w:rPr>
          <w:sz w:val="24"/>
          <w:szCs w:val="24"/>
        </w:rPr>
      </w:pPr>
      <w:r>
        <w:rPr>
          <w:rFonts w:hint="eastAsia"/>
          <w:sz w:val="24"/>
          <w:szCs w:val="24"/>
        </w:rPr>
        <w:t>承包人应在现场设立固定的垃圾临时存放点并在各区域设立必要的垃</w:t>
      </w:r>
      <w:r>
        <w:rPr>
          <w:rFonts w:hint="eastAsia"/>
          <w:spacing w:val="-6"/>
          <w:sz w:val="24"/>
          <w:szCs w:val="24"/>
        </w:rPr>
        <w:t>圾箱。所有垃圾必须在当天清除出现场，并按有关行政管理部门的规定，运送到指</w:t>
      </w:r>
      <w:r>
        <w:rPr>
          <w:rFonts w:hint="eastAsia"/>
          <w:sz w:val="24"/>
          <w:szCs w:val="24"/>
        </w:rPr>
        <w:t>定的垃圾消纳场。</w:t>
      </w:r>
      <w:r>
        <w:rPr>
          <w:sz w:val="24"/>
          <w:szCs w:val="24"/>
        </w:rPr>
        <w:t xml:space="preserve"> </w:t>
      </w:r>
    </w:p>
    <w:p>
      <w:pPr>
        <w:pStyle w:val="58"/>
        <w:numPr>
          <w:ilvl w:val="2"/>
          <w:numId w:val="12"/>
        </w:numPr>
        <w:tabs>
          <w:tab w:val="left" w:pos="1526"/>
        </w:tabs>
        <w:spacing w:line="360" w:lineRule="auto"/>
        <w:ind w:right="1641" w:firstLine="479"/>
        <w:jc w:val="both"/>
        <w:rPr>
          <w:sz w:val="24"/>
          <w:szCs w:val="24"/>
        </w:rPr>
      </w:pPr>
      <w:r>
        <w:rPr>
          <w:rFonts w:hint="eastAsia"/>
          <w:spacing w:val="8"/>
          <w:sz w:val="24"/>
          <w:szCs w:val="24"/>
        </w:rPr>
        <w:t>承包人应对离场垃圾和所有车辆进行防遗洒和防污染公共道路的处</w:t>
      </w:r>
      <w:r>
        <w:rPr>
          <w:rFonts w:hint="eastAsia"/>
          <w:spacing w:val="-3"/>
          <w:sz w:val="24"/>
          <w:szCs w:val="24"/>
        </w:rPr>
        <w:t>理。承包人在运输任何材料的过程中，应采取一切必要的措施，防止遗洒和污染公</w:t>
      </w:r>
      <w:r>
        <w:rPr>
          <w:rFonts w:hint="eastAsia"/>
          <w:spacing w:val="-5"/>
          <w:sz w:val="24"/>
          <w:szCs w:val="24"/>
        </w:rPr>
        <w:t>共道路；一旦出现上述遗洒或污染现象，承包人应立即采取措施进行清扫，并承担所有费用。承包人在混凝土浇注、材料运输、材料装卸、现场清理等工作中应采取</w:t>
      </w:r>
      <w:r>
        <w:rPr>
          <w:rFonts w:hint="eastAsia"/>
          <w:sz w:val="24"/>
          <w:szCs w:val="24"/>
        </w:rPr>
        <w:t>一切必要的措施防止影响公共交通。</w:t>
      </w:r>
      <w:r>
        <w:rPr>
          <w:sz w:val="24"/>
          <w:szCs w:val="24"/>
        </w:rPr>
        <w:t xml:space="preserve"> </w:t>
      </w:r>
    </w:p>
    <w:p>
      <w:pPr>
        <w:pStyle w:val="58"/>
        <w:numPr>
          <w:ilvl w:val="2"/>
          <w:numId w:val="12"/>
        </w:numPr>
        <w:tabs>
          <w:tab w:val="left" w:pos="1526"/>
        </w:tabs>
        <w:spacing w:line="360" w:lineRule="auto"/>
        <w:ind w:right="1644" w:firstLine="479"/>
        <w:rPr>
          <w:sz w:val="24"/>
          <w:szCs w:val="24"/>
        </w:rPr>
      </w:pPr>
      <w:r>
        <w:rPr>
          <w:rFonts w:hint="eastAsia"/>
          <w:sz w:val="24"/>
          <w:szCs w:val="24"/>
        </w:rPr>
        <w:t>承包人应当制订成品保护措施计划，并提供必要的人员、材料和设备用于整个工程的成品保护。</w:t>
      </w:r>
      <w:r>
        <w:rPr>
          <w:sz w:val="24"/>
          <w:szCs w:val="24"/>
        </w:rPr>
        <w:t xml:space="preserve"> </w:t>
      </w:r>
    </w:p>
    <w:p>
      <w:pPr>
        <w:pStyle w:val="58"/>
        <w:numPr>
          <w:ilvl w:val="2"/>
          <w:numId w:val="12"/>
        </w:numPr>
        <w:tabs>
          <w:tab w:val="left" w:pos="1526"/>
        </w:tabs>
        <w:spacing w:line="360" w:lineRule="auto"/>
        <w:ind w:left="1525" w:hanging="722"/>
        <w:rPr>
          <w:sz w:val="24"/>
          <w:szCs w:val="24"/>
        </w:rPr>
      </w:pPr>
      <w:r>
        <w:rPr>
          <w:rFonts w:hint="eastAsia"/>
          <w:sz w:val="24"/>
          <w:szCs w:val="24"/>
        </w:rPr>
        <w:t>文明施工方面的其他要求如下：</w:t>
      </w:r>
      <w:r>
        <w:rPr>
          <w:sz w:val="24"/>
          <w:szCs w:val="24"/>
        </w:rPr>
        <w:t xml:space="preserve"> </w:t>
      </w:r>
    </w:p>
    <w:p>
      <w:pPr>
        <w:pStyle w:val="18"/>
        <w:spacing w:line="360" w:lineRule="auto"/>
      </w:pPr>
      <w:r>
        <w:rPr>
          <w:u w:val="single"/>
        </w:rPr>
        <w:t xml:space="preserve">                                                                                                                                                                      </w:t>
      </w:r>
      <w:r>
        <w:rPr>
          <w:rFonts w:hint="eastAsia"/>
        </w:rPr>
        <w:t>。</w:t>
      </w:r>
    </w:p>
    <w:p>
      <w:pPr>
        <w:pStyle w:val="7"/>
        <w:numPr>
          <w:ilvl w:val="1"/>
          <w:numId w:val="12"/>
        </w:numPr>
        <w:tabs>
          <w:tab w:val="left" w:pos="1293"/>
        </w:tabs>
        <w:spacing w:line="360" w:lineRule="auto"/>
        <w:ind w:left="1292" w:hanging="487"/>
        <w:rPr>
          <w:rFonts w:ascii="宋体" w:hAnsi="宋体" w:eastAsia="宋体" w:cs="宋体"/>
        </w:rPr>
      </w:pPr>
      <w:r>
        <w:rPr>
          <w:rFonts w:hint="eastAsia" w:ascii="宋体" w:hAnsi="宋体" w:eastAsia="宋体" w:cs="宋体"/>
        </w:rPr>
        <w:t>环境保护</w:t>
      </w:r>
    </w:p>
    <w:p>
      <w:pPr>
        <w:pStyle w:val="58"/>
        <w:numPr>
          <w:ilvl w:val="2"/>
          <w:numId w:val="12"/>
        </w:numPr>
        <w:tabs>
          <w:tab w:val="left" w:pos="1526"/>
        </w:tabs>
        <w:spacing w:line="360" w:lineRule="auto"/>
        <w:ind w:right="1619" w:firstLine="479"/>
        <w:jc w:val="both"/>
        <w:rPr>
          <w:sz w:val="24"/>
          <w:szCs w:val="24"/>
        </w:rPr>
      </w:pPr>
      <w:r>
        <w:rPr>
          <w:rFonts w:hint="eastAsia"/>
          <w:sz w:val="24"/>
          <w:szCs w:val="24"/>
        </w:rPr>
        <w:t>在工程施工、完工及修补任何缺陷的过程中，承包人应当始终遵守国</w:t>
      </w:r>
      <w:r>
        <w:rPr>
          <w:rFonts w:hint="eastAsia"/>
          <w:spacing w:val="-1"/>
          <w:sz w:val="24"/>
          <w:szCs w:val="24"/>
        </w:rPr>
        <w:t>家和工程所在地有关环境保护、水土保护和污染防治的法律、法规、规章、规范、</w:t>
      </w:r>
      <w:r>
        <w:rPr>
          <w:rFonts w:hint="eastAsia"/>
          <w:sz w:val="24"/>
          <w:szCs w:val="24"/>
        </w:rPr>
        <w:t>标准和规程等，按照合同条款的约定履行其环境与生态保护职责。</w:t>
      </w:r>
      <w:r>
        <w:rPr>
          <w:sz w:val="24"/>
          <w:szCs w:val="24"/>
        </w:rPr>
        <w:t xml:space="preserve"> </w:t>
      </w:r>
    </w:p>
    <w:p>
      <w:pPr>
        <w:pStyle w:val="58"/>
        <w:numPr>
          <w:ilvl w:val="2"/>
          <w:numId w:val="12"/>
        </w:numPr>
        <w:tabs>
          <w:tab w:val="left" w:pos="1526"/>
        </w:tabs>
        <w:spacing w:line="360" w:lineRule="auto"/>
        <w:ind w:right="1641" w:firstLine="479"/>
        <w:jc w:val="both"/>
        <w:rPr>
          <w:sz w:val="24"/>
          <w:szCs w:val="24"/>
        </w:rPr>
      </w:pPr>
      <w:r>
        <w:rPr>
          <w:rFonts w:hint="eastAsia"/>
          <w:sz w:val="24"/>
          <w:szCs w:val="24"/>
        </w:rPr>
        <w:t>承包人应按合同约定和监理人指示，接受国家和地方环境保护行政主</w:t>
      </w:r>
      <w:r>
        <w:rPr>
          <w:rFonts w:hint="eastAsia"/>
          <w:spacing w:val="-6"/>
          <w:sz w:val="24"/>
          <w:szCs w:val="24"/>
        </w:rPr>
        <w:t>管部门的监督、监测和检查。承包人应对其违反现行法律、法规、规章、规范、标</w:t>
      </w:r>
      <w:r>
        <w:rPr>
          <w:rFonts w:hint="eastAsia"/>
          <w:spacing w:val="-3"/>
          <w:sz w:val="24"/>
          <w:szCs w:val="24"/>
        </w:rPr>
        <w:t>准和规程等以及本合同约定所造成的环境污染、水土流失、人员伤害和财产损失等</w:t>
      </w:r>
      <w:r>
        <w:rPr>
          <w:rFonts w:hint="eastAsia"/>
          <w:sz w:val="24"/>
          <w:szCs w:val="24"/>
        </w:rPr>
        <w:t>承担赔偿责任。</w:t>
      </w:r>
      <w:r>
        <w:rPr>
          <w:sz w:val="24"/>
          <w:szCs w:val="24"/>
        </w:rPr>
        <w:t xml:space="preserve"> </w:t>
      </w:r>
    </w:p>
    <w:p>
      <w:pPr>
        <w:pStyle w:val="58"/>
        <w:numPr>
          <w:ilvl w:val="2"/>
          <w:numId w:val="12"/>
        </w:numPr>
        <w:tabs>
          <w:tab w:val="left" w:pos="1526"/>
        </w:tabs>
        <w:spacing w:line="360" w:lineRule="auto"/>
        <w:ind w:right="1525" w:firstLine="479"/>
        <w:rPr>
          <w:sz w:val="24"/>
          <w:szCs w:val="24"/>
        </w:rPr>
      </w:pPr>
      <w:r>
        <w:rPr>
          <w:rFonts w:hint="eastAsia"/>
          <w:sz w:val="24"/>
          <w:szCs w:val="24"/>
        </w:rPr>
        <w:t>承包人制订施工方案和组织措施时应当同步考虑环境和资源保护，包括</w:t>
      </w:r>
      <w:r>
        <w:rPr>
          <w:rFonts w:hint="eastAsia"/>
          <w:spacing w:val="-13"/>
          <w:sz w:val="24"/>
          <w:szCs w:val="24"/>
        </w:rPr>
        <w:t>水土资源保护、噪声、振动和照明污染防治、固体废弃物处理、污水和废气处理、粉</w:t>
      </w:r>
      <w:r>
        <w:rPr>
          <w:rFonts w:hint="eastAsia"/>
          <w:spacing w:val="-9"/>
          <w:sz w:val="24"/>
          <w:szCs w:val="24"/>
        </w:rPr>
        <w:t>尘和扬尘控制、道路污染防治、卫生防疫、禁止有害材料、节能减排以及不可再生资源的循环使用等因素。</w:t>
      </w:r>
      <w:r>
        <w:rPr>
          <w:spacing w:val="-9"/>
          <w:sz w:val="24"/>
          <w:szCs w:val="24"/>
        </w:rPr>
        <w:t xml:space="preserve"> </w:t>
      </w:r>
    </w:p>
    <w:p>
      <w:pPr>
        <w:pStyle w:val="58"/>
        <w:numPr>
          <w:ilvl w:val="2"/>
          <w:numId w:val="12"/>
        </w:numPr>
        <w:tabs>
          <w:tab w:val="left" w:pos="1526"/>
        </w:tabs>
        <w:spacing w:line="360" w:lineRule="auto"/>
        <w:ind w:right="1648" w:firstLine="479"/>
        <w:rPr>
          <w:sz w:val="24"/>
          <w:szCs w:val="24"/>
        </w:rPr>
      </w:pPr>
      <w:r>
        <w:rPr>
          <w:rFonts w:hint="eastAsia"/>
          <w:sz w:val="24"/>
          <w:szCs w:val="24"/>
        </w:rPr>
        <w:t>承包人还应设置完善的排水系统，保持施工场地</w:t>
      </w:r>
      <w:r>
        <w:rPr>
          <w:rFonts w:hint="eastAsia"/>
          <w:spacing w:val="4"/>
          <w:sz w:val="24"/>
          <w:szCs w:val="24"/>
        </w:rPr>
        <w:t>（</w:t>
      </w:r>
      <w:r>
        <w:rPr>
          <w:rFonts w:hint="eastAsia"/>
          <w:sz w:val="24"/>
          <w:szCs w:val="24"/>
        </w:rPr>
        <w:t>现场</w:t>
      </w:r>
      <w:r>
        <w:rPr>
          <w:rFonts w:hint="eastAsia"/>
          <w:spacing w:val="4"/>
          <w:sz w:val="24"/>
          <w:szCs w:val="24"/>
        </w:rPr>
        <w:t>）</w:t>
      </w:r>
      <w:r>
        <w:rPr>
          <w:rFonts w:hint="eastAsia"/>
          <w:sz w:val="24"/>
          <w:szCs w:val="24"/>
        </w:rPr>
        <w:t>始终处于良好的排水状态，防止降雨径流对施工场地（现场）的冲刷。</w:t>
      </w:r>
      <w:r>
        <w:rPr>
          <w:sz w:val="24"/>
          <w:szCs w:val="24"/>
        </w:rPr>
        <w:t xml:space="preserve"> </w:t>
      </w:r>
    </w:p>
    <w:p>
      <w:pPr>
        <w:pStyle w:val="58"/>
        <w:numPr>
          <w:ilvl w:val="2"/>
          <w:numId w:val="12"/>
        </w:numPr>
        <w:tabs>
          <w:tab w:val="left" w:pos="1526"/>
        </w:tabs>
        <w:spacing w:line="360" w:lineRule="auto"/>
        <w:ind w:right="1648" w:firstLine="479"/>
        <w:rPr>
          <w:sz w:val="24"/>
          <w:szCs w:val="24"/>
        </w:rPr>
      </w:pPr>
      <w:r>
        <w:rPr>
          <w:rFonts w:hint="eastAsia"/>
          <w:sz w:val="24"/>
          <w:szCs w:val="24"/>
        </w:rPr>
        <w:t>承包人应当确保其所提供的材料、工程设备、施工设备和其他材料都是绿色环保产品。</w:t>
      </w:r>
      <w:r>
        <w:rPr>
          <w:sz w:val="24"/>
          <w:szCs w:val="24"/>
        </w:rPr>
        <w:t xml:space="preserve"> </w:t>
      </w:r>
    </w:p>
    <w:p>
      <w:pPr>
        <w:pStyle w:val="58"/>
        <w:numPr>
          <w:ilvl w:val="2"/>
          <w:numId w:val="12"/>
        </w:numPr>
        <w:tabs>
          <w:tab w:val="left" w:pos="1526"/>
        </w:tabs>
        <w:spacing w:line="360" w:lineRule="auto"/>
        <w:ind w:right="1638" w:firstLine="479"/>
        <w:jc w:val="both"/>
        <w:rPr>
          <w:sz w:val="24"/>
          <w:szCs w:val="24"/>
        </w:rPr>
      </w:pPr>
      <w:r>
        <w:rPr>
          <w:rFonts w:hint="eastAsia"/>
          <w:sz w:val="24"/>
          <w:szCs w:val="24"/>
        </w:rPr>
        <w:t>承包人应为防止进出场的车辆的遗洒和轮胎夹带物等污染周边和公共</w:t>
      </w:r>
      <w:r>
        <w:rPr>
          <w:rFonts w:hint="eastAsia"/>
          <w:spacing w:val="3"/>
          <w:sz w:val="24"/>
          <w:szCs w:val="24"/>
        </w:rPr>
        <w:t>道路等行为制定并落实必要的措施，这类措施应至少包括在现场出入口设立冲刷池、对现场道路做硬化处理和采用密闭车厢或者对车厢进行必要的覆盖等等。</w:t>
      </w:r>
      <w:r>
        <w:rPr>
          <w:spacing w:val="3"/>
          <w:sz w:val="24"/>
          <w:szCs w:val="24"/>
        </w:rPr>
        <w:t xml:space="preserve">  </w:t>
      </w:r>
    </w:p>
    <w:p>
      <w:pPr>
        <w:pStyle w:val="58"/>
        <w:numPr>
          <w:ilvl w:val="2"/>
          <w:numId w:val="12"/>
        </w:numPr>
        <w:tabs>
          <w:tab w:val="left" w:pos="1526"/>
        </w:tabs>
        <w:spacing w:line="360" w:lineRule="auto"/>
        <w:ind w:left="1525" w:hanging="722"/>
        <w:rPr>
          <w:sz w:val="24"/>
          <w:szCs w:val="24"/>
        </w:rPr>
      </w:pPr>
      <w:r>
        <w:rPr>
          <w:rFonts w:hint="eastAsia"/>
          <w:sz w:val="24"/>
          <w:szCs w:val="24"/>
        </w:rPr>
        <w:t>承包人应当采取有效措施，不得让有害物质污染施工场地</w:t>
      </w:r>
      <w:r>
        <w:rPr>
          <w:rFonts w:hint="eastAsia"/>
          <w:spacing w:val="4"/>
          <w:sz w:val="24"/>
          <w:szCs w:val="24"/>
        </w:rPr>
        <w:t>（</w:t>
      </w:r>
      <w:r>
        <w:rPr>
          <w:rFonts w:hint="eastAsia"/>
          <w:sz w:val="24"/>
          <w:szCs w:val="24"/>
        </w:rPr>
        <w:t>现场）及</w:t>
      </w:r>
    </w:p>
    <w:p>
      <w:pPr>
        <w:pStyle w:val="18"/>
        <w:spacing w:line="360" w:lineRule="auto"/>
        <w:ind w:left="324" w:right="1619"/>
      </w:pPr>
      <w:r>
        <w:rPr>
          <w:rFonts w:hint="eastAsia"/>
        </w:rPr>
        <w:t>其周边环境。承包人施工安排应当充分考虑降低噪声和照明等对施工场地（现场）</w:t>
      </w:r>
      <w:r>
        <w:t xml:space="preserve"> </w:t>
      </w:r>
      <w:r>
        <w:rPr>
          <w:rFonts w:hint="eastAsia"/>
        </w:rPr>
        <w:t>周边生产和生活的影响，并满足国家和地方政府有关规定的要求。</w:t>
      </w:r>
      <w:r>
        <w:t xml:space="preserve"> </w:t>
      </w:r>
    </w:p>
    <w:p>
      <w:pPr>
        <w:pStyle w:val="58"/>
        <w:numPr>
          <w:ilvl w:val="2"/>
          <w:numId w:val="12"/>
        </w:numPr>
        <w:tabs>
          <w:tab w:val="left" w:pos="1526"/>
        </w:tabs>
        <w:spacing w:line="360" w:lineRule="auto"/>
        <w:ind w:right="1648" w:firstLine="479"/>
        <w:rPr>
          <w:sz w:val="24"/>
          <w:szCs w:val="24"/>
        </w:rPr>
      </w:pPr>
      <w:r>
        <w:rPr>
          <w:rFonts w:hint="eastAsia"/>
          <w:sz w:val="24"/>
          <w:szCs w:val="24"/>
        </w:rPr>
        <w:t>承包人严格落实施工工地扬尘污染、规范渣土车运输和非道路移动机械的各项要求，确保各项措施落实到位。</w:t>
      </w:r>
      <w:r>
        <w:rPr>
          <w:sz w:val="24"/>
          <w:szCs w:val="24"/>
        </w:rPr>
        <w:t xml:space="preserve"> </w:t>
      </w:r>
    </w:p>
    <w:p>
      <w:pPr>
        <w:pStyle w:val="58"/>
        <w:numPr>
          <w:ilvl w:val="2"/>
          <w:numId w:val="12"/>
        </w:numPr>
        <w:tabs>
          <w:tab w:val="left" w:pos="1526"/>
        </w:tabs>
        <w:spacing w:line="360" w:lineRule="auto"/>
        <w:ind w:left="1525" w:hanging="722"/>
        <w:rPr>
          <w:sz w:val="24"/>
          <w:szCs w:val="24"/>
        </w:rPr>
      </w:pPr>
      <w:r>
        <w:rPr>
          <w:rFonts w:hint="eastAsia"/>
          <w:spacing w:val="-3"/>
          <w:sz w:val="24"/>
          <w:szCs w:val="24"/>
        </w:rPr>
        <w:t>承包人应按照《在城市绿化施工中控制二次扬尘管理规定》</w:t>
      </w:r>
      <w:r>
        <w:rPr>
          <w:spacing w:val="-3"/>
          <w:sz w:val="24"/>
          <w:szCs w:val="24"/>
        </w:rPr>
        <w:t>(</w:t>
      </w:r>
      <w:r>
        <w:rPr>
          <w:rFonts w:hint="eastAsia"/>
          <w:spacing w:val="-3"/>
          <w:sz w:val="24"/>
          <w:szCs w:val="24"/>
        </w:rPr>
        <w:t>京园检发</w:t>
      </w:r>
    </w:p>
    <w:p>
      <w:pPr>
        <w:pStyle w:val="18"/>
        <w:spacing w:line="360" w:lineRule="auto"/>
        <w:ind w:left="324"/>
      </w:pPr>
      <w:r>
        <w:rPr>
          <w:rFonts w:hint="eastAsia"/>
        </w:rPr>
        <w:t>〔</w:t>
      </w:r>
      <w:r>
        <w:t>2002</w:t>
      </w:r>
      <w:r>
        <w:rPr>
          <w:rFonts w:hint="eastAsia"/>
        </w:rPr>
        <w:t>〕</w:t>
      </w:r>
      <w:r>
        <w:t xml:space="preserve">19 </w:t>
      </w:r>
      <w:r>
        <w:rPr>
          <w:rFonts w:hint="eastAsia"/>
        </w:rPr>
        <w:t>号</w:t>
      </w:r>
      <w:r>
        <w:t xml:space="preserve">) </w:t>
      </w:r>
      <w:r>
        <w:rPr>
          <w:rFonts w:hint="eastAsia"/>
        </w:rPr>
        <w:t>规定执行：</w:t>
      </w:r>
      <w:r>
        <w:t xml:space="preserve">                                                             </w:t>
      </w:r>
    </w:p>
    <w:p>
      <w:pPr>
        <w:pStyle w:val="18"/>
        <w:spacing w:line="360" w:lineRule="auto"/>
        <w:ind w:left="324" w:right="1521" w:firstLine="479"/>
      </w:pPr>
      <w:r>
        <w:rPr>
          <w:rFonts w:hint="eastAsia"/>
          <w:spacing w:val="-8"/>
        </w:rPr>
        <w:t>四级风以上天气不可进行以下施工：场地平整工程、换土工程、原土过筛工程、</w:t>
      </w:r>
      <w:r>
        <w:rPr>
          <w:rFonts w:hint="eastAsia"/>
        </w:rPr>
        <w:t>大树移植。</w:t>
      </w:r>
      <w:r>
        <w:t xml:space="preserve"> </w:t>
      </w:r>
    </w:p>
    <w:p>
      <w:pPr>
        <w:pStyle w:val="18"/>
        <w:spacing w:line="360" w:lineRule="auto"/>
        <w:ind w:left="324" w:right="1642" w:firstLine="479"/>
        <w:jc w:val="both"/>
      </w:pPr>
      <w:r>
        <w:rPr>
          <w:rFonts w:hint="eastAsia"/>
        </w:rPr>
        <w:t>土地平整工作结束后，</w:t>
      </w:r>
      <w:r>
        <w:t>1</w:t>
      </w:r>
      <w:r>
        <w:rPr>
          <w:spacing w:val="-6"/>
        </w:rPr>
        <w:t xml:space="preserve"> </w:t>
      </w:r>
      <w:r>
        <w:rPr>
          <w:rFonts w:hint="eastAsia"/>
          <w:spacing w:val="-6"/>
        </w:rPr>
        <w:t>星期内必须进行下一步建植工作。土地整理工作已结束、未进行建植工程期间，要适时洒水防尘，如遇５级风以上天气必须及时洒水防</w:t>
      </w:r>
      <w:r>
        <w:rPr>
          <w:rFonts w:hint="eastAsia"/>
        </w:rPr>
        <w:t>尘。</w:t>
      </w:r>
      <w:r>
        <w:t xml:space="preserve"> </w:t>
      </w:r>
    </w:p>
    <w:p>
      <w:pPr>
        <w:pStyle w:val="18"/>
        <w:spacing w:line="360" w:lineRule="auto"/>
        <w:ind w:left="324" w:right="1640" w:firstLine="479"/>
        <w:jc w:val="both"/>
      </w:pPr>
      <w:r>
        <w:rPr>
          <w:rFonts w:hint="eastAsia"/>
          <w:spacing w:val="-5"/>
        </w:rPr>
        <w:t>植树树穴所出穴坑土，必须要加以整理，如有条件应拍实。植树所挖树穴</w:t>
      </w:r>
      <w:r>
        <w:rPr>
          <w:spacing w:val="-5"/>
        </w:rPr>
        <w:t xml:space="preserve"> </w:t>
      </w:r>
      <w:r>
        <w:t>3</w:t>
      </w:r>
      <w:r>
        <w:rPr>
          <w:spacing w:val="-37"/>
        </w:rPr>
        <w:t xml:space="preserve"> </w:t>
      </w:r>
      <w:r>
        <w:rPr>
          <w:rFonts w:hint="eastAsia"/>
          <w:spacing w:val="-37"/>
        </w:rPr>
        <w:t>天</w:t>
      </w:r>
      <w:r>
        <w:rPr>
          <w:rFonts w:hint="eastAsia"/>
        </w:rPr>
        <w:t>内必须建植。如遇特殊情况，</w:t>
      </w:r>
      <w:r>
        <w:t>3</w:t>
      </w:r>
      <w:r>
        <w:rPr>
          <w:spacing w:val="-6"/>
        </w:rPr>
        <w:t xml:space="preserve"> </w:t>
      </w:r>
      <w:r>
        <w:rPr>
          <w:rFonts w:hint="eastAsia"/>
          <w:spacing w:val="-6"/>
        </w:rPr>
        <w:t>天以上无法建植，穴坑土必须加以苫盖或其它遮盖</w:t>
      </w:r>
      <w:r>
        <w:rPr>
          <w:rFonts w:hint="eastAsia"/>
        </w:rPr>
        <w:t>物进行覆盖，确保不扬尘。</w:t>
      </w:r>
      <w:r>
        <w:t xml:space="preserve"> </w:t>
      </w:r>
    </w:p>
    <w:p>
      <w:pPr>
        <w:pStyle w:val="18"/>
        <w:spacing w:line="360" w:lineRule="auto"/>
        <w:ind w:left="324" w:right="1596" w:firstLine="479"/>
      </w:pPr>
      <w:r>
        <w:rPr>
          <w:rFonts w:hint="eastAsia"/>
        </w:rPr>
        <w:t>大树移植后所形成的穴坑，必须做到大树随移随填。大树移植后的场地必须马上恢复绿化。</w:t>
      </w:r>
      <w:r>
        <w:t xml:space="preserve"> </w:t>
      </w:r>
    </w:p>
    <w:p>
      <w:pPr>
        <w:pStyle w:val="18"/>
        <w:spacing w:line="360" w:lineRule="auto"/>
        <w:ind w:left="324" w:right="1642" w:firstLine="479"/>
      </w:pPr>
      <w:r>
        <w:rPr>
          <w:rFonts w:hint="eastAsia"/>
          <w:spacing w:val="-5"/>
        </w:rPr>
        <w:t>绿化生产垃圾，重点地区、主要干道要做到随产随清</w:t>
      </w:r>
      <w:r>
        <w:rPr>
          <w:spacing w:val="-5"/>
        </w:rPr>
        <w:t>,</w:t>
      </w:r>
      <w:r>
        <w:rPr>
          <w:rFonts w:hint="eastAsia"/>
          <w:spacing w:val="-5"/>
        </w:rPr>
        <w:t>其它地段要在</w:t>
      </w:r>
      <w:r>
        <w:rPr>
          <w:spacing w:val="-5"/>
        </w:rPr>
        <w:t xml:space="preserve"> </w:t>
      </w:r>
      <w:r>
        <w:t>24</w:t>
      </w:r>
      <w:r>
        <w:rPr>
          <w:spacing w:val="-19"/>
        </w:rPr>
        <w:t xml:space="preserve"> </w:t>
      </w:r>
      <w:r>
        <w:rPr>
          <w:rFonts w:hint="eastAsia"/>
          <w:spacing w:val="-19"/>
        </w:rPr>
        <w:t>小时内</w:t>
      </w:r>
      <w:r>
        <w:rPr>
          <w:rFonts w:hint="eastAsia"/>
        </w:rPr>
        <w:t>清理干净，达到场光地净。</w:t>
      </w:r>
      <w:r>
        <w:t xml:space="preserve"> </w:t>
      </w:r>
    </w:p>
    <w:p>
      <w:pPr>
        <w:pStyle w:val="58"/>
        <w:numPr>
          <w:ilvl w:val="2"/>
          <w:numId w:val="12"/>
        </w:numPr>
        <w:tabs>
          <w:tab w:val="left" w:pos="1646"/>
        </w:tabs>
        <w:spacing w:line="360" w:lineRule="auto"/>
        <w:ind w:right="1641" w:firstLine="479"/>
        <w:rPr>
          <w:sz w:val="24"/>
          <w:szCs w:val="24"/>
        </w:rPr>
      </w:pPr>
      <w:r>
        <w:rPr>
          <w:rFonts w:hint="eastAsia"/>
          <w:spacing w:val="-2"/>
          <w:sz w:val="24"/>
          <w:szCs w:val="24"/>
        </w:rPr>
        <w:t>园林绿化工程应根据西藏空气质量预报结果对应的预警级别，分级</w:t>
      </w:r>
      <w:r>
        <w:rPr>
          <w:rFonts w:hint="eastAsia"/>
          <w:sz w:val="24"/>
          <w:szCs w:val="24"/>
        </w:rPr>
        <w:t>采取相应的空气重污染应急措施：</w:t>
      </w:r>
      <w:r>
        <w:rPr>
          <w:sz w:val="24"/>
          <w:szCs w:val="24"/>
        </w:rPr>
        <w:t xml:space="preserve"> </w:t>
      </w:r>
    </w:p>
    <w:p>
      <w:pPr>
        <w:pStyle w:val="58"/>
        <w:numPr>
          <w:ilvl w:val="3"/>
          <w:numId w:val="12"/>
        </w:numPr>
        <w:tabs>
          <w:tab w:val="left" w:pos="1945"/>
        </w:tabs>
        <w:spacing w:line="360" w:lineRule="auto"/>
        <w:ind w:hanging="1141"/>
        <w:rPr>
          <w:sz w:val="24"/>
          <w:szCs w:val="24"/>
        </w:rPr>
      </w:pPr>
      <w:r>
        <w:rPr>
          <w:rFonts w:hint="eastAsia"/>
          <w:sz w:val="24"/>
          <w:szCs w:val="24"/>
        </w:rPr>
        <w:t>蓝色（四级）预警</w:t>
      </w:r>
      <w:r>
        <w:rPr>
          <w:sz w:val="24"/>
          <w:szCs w:val="24"/>
        </w:rPr>
        <w:t xml:space="preserve"> </w:t>
      </w:r>
    </w:p>
    <w:p>
      <w:pPr>
        <w:pStyle w:val="18"/>
        <w:spacing w:line="360" w:lineRule="auto"/>
        <w:ind w:left="324" w:right="1609" w:firstLine="479"/>
      </w:pPr>
      <w:r>
        <w:rPr>
          <w:rFonts w:hint="eastAsia"/>
        </w:rPr>
        <w:t>天安门地区、长安街及沿线、二环路、三环路、机场路、三里河等中心城重点地区主要道路园林绿化工程停止土方作业。</w:t>
      </w:r>
      <w:r>
        <w:t xml:space="preserve"> </w:t>
      </w:r>
    </w:p>
    <w:p>
      <w:pPr>
        <w:pStyle w:val="18"/>
        <w:spacing w:line="360" w:lineRule="auto"/>
        <w:ind w:left="324" w:right="1594" w:firstLine="479"/>
      </w:pPr>
      <w:r>
        <w:rPr>
          <w:rFonts w:hint="eastAsia"/>
        </w:rPr>
        <w:t>加大对在建园林绿化施工工地作业的裸露地面、物料堆放等场所实施扬尘控制措施力度。</w:t>
      </w:r>
      <w:r>
        <w:t xml:space="preserve"> </w:t>
      </w:r>
    </w:p>
    <w:p>
      <w:pPr>
        <w:pStyle w:val="18"/>
        <w:spacing w:line="360" w:lineRule="auto"/>
        <w:ind w:left="864"/>
      </w:pPr>
      <w:r>
        <w:rPr>
          <w:rFonts w:hint="eastAsia"/>
        </w:rPr>
        <w:t>加强施工工地现场管理。</w:t>
      </w:r>
      <w:r>
        <w:t xml:space="preserve"> </w:t>
      </w:r>
    </w:p>
    <w:p>
      <w:pPr>
        <w:pStyle w:val="58"/>
        <w:numPr>
          <w:ilvl w:val="3"/>
          <w:numId w:val="12"/>
        </w:numPr>
        <w:tabs>
          <w:tab w:val="left" w:pos="1945"/>
        </w:tabs>
        <w:spacing w:line="360" w:lineRule="auto"/>
        <w:ind w:hanging="1141"/>
        <w:rPr>
          <w:sz w:val="24"/>
          <w:szCs w:val="24"/>
        </w:rPr>
      </w:pPr>
      <w:r>
        <w:rPr>
          <w:rFonts w:hint="eastAsia"/>
          <w:sz w:val="24"/>
          <w:szCs w:val="24"/>
        </w:rPr>
        <w:t>黄色（三级）预警</w:t>
      </w:r>
      <w:r>
        <w:rPr>
          <w:sz w:val="24"/>
          <w:szCs w:val="24"/>
        </w:rPr>
        <w:t xml:space="preserve"> </w:t>
      </w:r>
    </w:p>
    <w:p>
      <w:pPr>
        <w:pStyle w:val="18"/>
        <w:spacing w:line="360" w:lineRule="auto"/>
        <w:ind w:left="324" w:right="1645" w:firstLine="479"/>
      </w:pPr>
      <w:r>
        <w:rPr>
          <w:rFonts w:hint="eastAsia"/>
          <w:spacing w:val="-3"/>
        </w:rPr>
        <w:t>加强对在建园林绿化施工工地作业的裸露地面、物料堆放等场所实施拍实、苫</w:t>
      </w:r>
      <w:r>
        <w:rPr>
          <w:rFonts w:hint="eastAsia"/>
        </w:rPr>
        <w:t>盖等扬尘控制措施力度。</w:t>
      </w:r>
      <w:r>
        <w:t xml:space="preserve"> </w:t>
      </w:r>
    </w:p>
    <w:p>
      <w:pPr>
        <w:pStyle w:val="18"/>
        <w:spacing w:line="360" w:lineRule="auto"/>
        <w:ind w:left="324" w:right="1525" w:firstLine="479"/>
      </w:pPr>
      <w:r>
        <w:rPr>
          <w:rFonts w:hint="eastAsia"/>
          <w:spacing w:val="-10"/>
        </w:rPr>
        <w:t>全市在建园林绿化工程，停止室外筛土挖掘、喷涂粉刷、护坡喷浆、建筑拆除、</w:t>
      </w:r>
      <w:r>
        <w:rPr>
          <w:rFonts w:hint="eastAsia"/>
        </w:rPr>
        <w:t>切割等土石方施工作业。加大对施工现场的巡查，保证施工现场不起尘。</w:t>
      </w:r>
      <w:r>
        <w:t xml:space="preserve"> </w:t>
      </w:r>
    </w:p>
    <w:p>
      <w:pPr>
        <w:pStyle w:val="58"/>
        <w:numPr>
          <w:ilvl w:val="3"/>
          <w:numId w:val="12"/>
        </w:numPr>
        <w:tabs>
          <w:tab w:val="left" w:pos="1945"/>
        </w:tabs>
        <w:spacing w:line="360" w:lineRule="auto"/>
        <w:ind w:hanging="1141"/>
        <w:rPr>
          <w:sz w:val="24"/>
          <w:szCs w:val="24"/>
        </w:rPr>
      </w:pPr>
      <w:r>
        <w:rPr>
          <w:rFonts w:hint="eastAsia"/>
          <w:sz w:val="24"/>
          <w:szCs w:val="24"/>
        </w:rPr>
        <w:t>橙色（二级）预警</w:t>
      </w:r>
      <w:r>
        <w:rPr>
          <w:sz w:val="24"/>
          <w:szCs w:val="24"/>
        </w:rPr>
        <w:t xml:space="preserve"> </w:t>
      </w:r>
    </w:p>
    <w:p>
      <w:pPr>
        <w:pStyle w:val="18"/>
        <w:spacing w:line="360" w:lineRule="auto"/>
        <w:ind w:left="324" w:right="1596" w:firstLine="479"/>
      </w:pPr>
      <w:r>
        <w:rPr>
          <w:rFonts w:hint="eastAsia"/>
        </w:rPr>
        <w:t>加强对在建园林绿化施工工地作业的裸露地面、物料堆放等场所实施拍实、苫盖扬尘控制措施基础上，增加洒水降尘措施。</w:t>
      </w:r>
      <w:r>
        <w:t xml:space="preserve"> </w:t>
      </w:r>
    </w:p>
    <w:p>
      <w:pPr>
        <w:pStyle w:val="18"/>
        <w:spacing w:line="360" w:lineRule="auto"/>
        <w:ind w:left="324" w:right="1609" w:firstLine="479"/>
      </w:pPr>
      <w:r>
        <w:rPr>
          <w:rFonts w:hint="eastAsia"/>
        </w:rPr>
        <w:t>全市各类园林绿化工程，停止平整场地、筛土挖掘、喷涂粉刷、护坡喷浆、锯磨砖石等土石方作业，停止砂石渣土运输。</w:t>
      </w:r>
      <w:r>
        <w:t xml:space="preserve"> </w:t>
      </w:r>
    </w:p>
    <w:p>
      <w:pPr>
        <w:pStyle w:val="18"/>
        <w:spacing w:line="360" w:lineRule="auto"/>
        <w:ind w:left="324" w:right="1594" w:firstLine="479"/>
      </w:pPr>
      <w:r>
        <w:rPr>
          <w:rFonts w:hint="eastAsia"/>
        </w:rPr>
        <w:t>中心城区、建制新城有喷灌设施的绿地打开喷灌设施（冰冻天气除外）进行喷水滞尘作业。</w:t>
      </w:r>
      <w:r>
        <w:t xml:space="preserve">  </w:t>
      </w:r>
    </w:p>
    <w:p>
      <w:pPr>
        <w:pStyle w:val="18"/>
        <w:spacing w:line="360" w:lineRule="auto"/>
        <w:ind w:left="804"/>
      </w:pPr>
      <w:r>
        <w:rPr>
          <w:rFonts w:hint="eastAsia"/>
        </w:rPr>
        <w:t>施工单位严格落实施工现场停工管理，加大对施工现场的巡查。</w:t>
      </w:r>
      <w:r>
        <w:t xml:space="preserve"> </w:t>
      </w:r>
    </w:p>
    <w:p>
      <w:pPr>
        <w:pStyle w:val="58"/>
        <w:numPr>
          <w:ilvl w:val="3"/>
          <w:numId w:val="12"/>
        </w:numPr>
        <w:tabs>
          <w:tab w:val="left" w:pos="1945"/>
        </w:tabs>
        <w:spacing w:line="360" w:lineRule="auto"/>
        <w:ind w:hanging="1141"/>
        <w:rPr>
          <w:sz w:val="24"/>
          <w:szCs w:val="24"/>
        </w:rPr>
      </w:pPr>
      <w:r>
        <w:rPr>
          <w:rFonts w:hint="eastAsia"/>
          <w:sz w:val="24"/>
          <w:szCs w:val="24"/>
        </w:rPr>
        <w:t>红色（一级）预警</w:t>
      </w:r>
      <w:r>
        <w:rPr>
          <w:sz w:val="24"/>
          <w:szCs w:val="24"/>
        </w:rPr>
        <w:t xml:space="preserve"> </w:t>
      </w:r>
    </w:p>
    <w:p>
      <w:pPr>
        <w:pStyle w:val="18"/>
        <w:spacing w:line="360" w:lineRule="auto"/>
        <w:ind w:left="324" w:right="1594" w:firstLine="479"/>
      </w:pPr>
      <w:r>
        <w:rPr>
          <w:rFonts w:hint="eastAsia"/>
        </w:rPr>
        <w:t>加强对在建园林绿化施工工地作业的裸露地面、物料堆放等场所增加洒水频次和强度。</w:t>
      </w:r>
      <w:r>
        <w:t xml:space="preserve">  </w:t>
      </w:r>
    </w:p>
    <w:p>
      <w:pPr>
        <w:pStyle w:val="18"/>
        <w:spacing w:line="360" w:lineRule="auto"/>
        <w:ind w:left="804"/>
      </w:pPr>
      <w:r>
        <w:rPr>
          <w:rFonts w:hint="eastAsia"/>
        </w:rPr>
        <w:t>全市各类园林绿化工程全部停工，停止一切室外施工作业。</w:t>
      </w:r>
      <w:r>
        <w:t xml:space="preserve"> </w:t>
      </w:r>
    </w:p>
    <w:p>
      <w:pPr>
        <w:pStyle w:val="18"/>
        <w:spacing w:line="360" w:lineRule="auto"/>
        <w:ind w:left="324" w:right="1596" w:firstLine="479"/>
      </w:pPr>
      <w:r>
        <w:rPr>
          <w:rFonts w:hint="eastAsia"/>
        </w:rPr>
        <w:t>全市范围内有喷灌设施的绿地打开喷灌设施（冰冻天气除外）进行喷水滞尘作业。有洒水车的绿地养护单位对主要路段和重点地区的绿地进行洒水作业。</w:t>
      </w:r>
      <w:r>
        <w:t xml:space="preserve">  </w:t>
      </w:r>
    </w:p>
    <w:p>
      <w:pPr>
        <w:pStyle w:val="18"/>
        <w:spacing w:line="360" w:lineRule="auto"/>
        <w:ind w:left="804" w:right="2938"/>
      </w:pPr>
      <w:r>
        <w:rPr>
          <w:rFonts w:hint="eastAsia"/>
        </w:rPr>
        <w:t>施工单位严格落实施工现场停工管理，加大对施工现场的巡查。</w:t>
      </w:r>
      <w:r>
        <w:t xml:space="preserve">6.11.11 </w:t>
      </w:r>
      <w:r>
        <w:rPr>
          <w:rFonts w:hint="eastAsia"/>
        </w:rPr>
        <w:t>环境保护方面的其他要求如下：</w:t>
      </w:r>
      <w:r>
        <w:t xml:space="preserve"> </w:t>
      </w:r>
    </w:p>
    <w:p>
      <w:pPr>
        <w:pStyle w:val="18"/>
        <w:spacing w:line="360" w:lineRule="auto"/>
      </w:pPr>
      <w:r>
        <w:rPr>
          <w:u w:val="single"/>
        </w:rPr>
        <w:t xml:space="preserve">                                                                                                                                                                      </w:t>
      </w:r>
      <w:r>
        <w:rPr>
          <w:rFonts w:hint="eastAsia"/>
        </w:rPr>
        <w:t>。</w:t>
      </w:r>
    </w:p>
    <w:p>
      <w:pPr>
        <w:pStyle w:val="7"/>
        <w:numPr>
          <w:ilvl w:val="1"/>
          <w:numId w:val="12"/>
        </w:numPr>
        <w:tabs>
          <w:tab w:val="left" w:pos="1293"/>
        </w:tabs>
        <w:spacing w:line="360" w:lineRule="auto"/>
        <w:ind w:left="1292" w:hanging="487"/>
        <w:rPr>
          <w:rFonts w:ascii="宋体" w:hAnsi="宋体" w:eastAsia="宋体" w:cs="宋体"/>
        </w:rPr>
      </w:pPr>
      <w:r>
        <w:rPr>
          <w:rFonts w:hint="eastAsia" w:ascii="宋体" w:hAnsi="宋体" w:eastAsia="宋体" w:cs="宋体"/>
        </w:rPr>
        <w:t>施工环保措施计划</w:t>
      </w:r>
    </w:p>
    <w:p>
      <w:pPr>
        <w:pStyle w:val="58"/>
        <w:numPr>
          <w:ilvl w:val="2"/>
          <w:numId w:val="12"/>
        </w:numPr>
        <w:tabs>
          <w:tab w:val="left" w:pos="1526"/>
        </w:tabs>
        <w:spacing w:line="360" w:lineRule="auto"/>
        <w:ind w:right="1648" w:firstLine="479"/>
        <w:rPr>
          <w:sz w:val="24"/>
          <w:szCs w:val="24"/>
        </w:rPr>
      </w:pPr>
      <w:r>
        <w:rPr>
          <w:rFonts w:hint="eastAsia"/>
          <w:sz w:val="24"/>
          <w:szCs w:val="24"/>
        </w:rPr>
        <w:t>施工环保措施计划是承包人阐明环保方针和拟采用的环保措施及方法等的文件，其内容应包括但不限于：</w:t>
      </w:r>
      <w:r>
        <w:rPr>
          <w:sz w:val="24"/>
          <w:szCs w:val="24"/>
        </w:rPr>
        <w:t xml:space="preserve"> </w:t>
      </w:r>
    </w:p>
    <w:p>
      <w:pPr>
        <w:pStyle w:val="18"/>
        <w:spacing w:line="360" w:lineRule="auto"/>
        <w:ind w:left="804" w:right="3418"/>
      </w:pPr>
      <w:r>
        <w:rPr>
          <w:rFonts w:hint="eastAsia"/>
        </w:rPr>
        <w:t>承包人生活区（如果有）的生活用水和生活污水处理措施；</w:t>
      </w:r>
      <w:r>
        <w:t xml:space="preserve"> </w:t>
      </w:r>
      <w:r>
        <w:rPr>
          <w:rFonts w:hint="eastAsia"/>
        </w:rPr>
        <w:t>施工生产废水处理措施；</w:t>
      </w:r>
      <w:r>
        <w:t xml:space="preserve"> </w:t>
      </w:r>
    </w:p>
    <w:p>
      <w:pPr>
        <w:pStyle w:val="18"/>
        <w:spacing w:line="360" w:lineRule="auto"/>
        <w:ind w:left="804" w:right="6539"/>
        <w:jc w:val="both"/>
      </w:pPr>
      <w:r>
        <w:rPr>
          <w:rFonts w:hint="eastAsia"/>
        </w:rPr>
        <w:t>施工扬尘和废气的处理措施；</w:t>
      </w:r>
      <w:r>
        <w:t xml:space="preserve"> </w:t>
      </w:r>
      <w:r>
        <w:rPr>
          <w:rFonts w:hint="eastAsia"/>
        </w:rPr>
        <w:t>施工噪声和光污染控制措施；</w:t>
      </w:r>
      <w:r>
        <w:t xml:space="preserve"> </w:t>
      </w:r>
      <w:r>
        <w:rPr>
          <w:rFonts w:hint="eastAsia"/>
        </w:rPr>
        <w:t>节能减排措施；</w:t>
      </w:r>
      <w:r>
        <w:t xml:space="preserve"> </w:t>
      </w:r>
    </w:p>
    <w:p>
      <w:pPr>
        <w:pStyle w:val="18"/>
        <w:spacing w:line="360" w:lineRule="auto"/>
        <w:ind w:left="804" w:right="6539"/>
      </w:pPr>
      <w:r>
        <w:rPr>
          <w:rFonts w:hint="eastAsia"/>
        </w:rPr>
        <w:t>不可再生资源循环利用措施；</w:t>
      </w:r>
      <w:r>
        <w:t xml:space="preserve"> </w:t>
      </w:r>
      <w:r>
        <w:rPr>
          <w:rFonts w:hint="eastAsia"/>
        </w:rPr>
        <w:t>固体废弃物处理措施；</w:t>
      </w:r>
      <w:r>
        <w:t xml:space="preserve"> </w:t>
      </w:r>
    </w:p>
    <w:p>
      <w:pPr>
        <w:pStyle w:val="18"/>
        <w:spacing w:line="360" w:lineRule="auto"/>
        <w:ind w:left="804"/>
      </w:pPr>
      <w:r>
        <w:rPr>
          <w:rFonts w:hint="eastAsia"/>
        </w:rPr>
        <w:t>人群健康保护和卫生防疫措施；</w:t>
      </w:r>
    </w:p>
    <w:p>
      <w:pPr>
        <w:pStyle w:val="18"/>
        <w:spacing w:line="360" w:lineRule="auto"/>
        <w:ind w:left="804"/>
      </w:pPr>
      <w:r>
        <w:rPr>
          <w:rFonts w:hint="eastAsia"/>
        </w:rPr>
        <w:t>防止误用有害材料的保证措施；</w:t>
      </w:r>
      <w:r>
        <w:t xml:space="preserve"> </w:t>
      </w:r>
    </w:p>
    <w:p>
      <w:pPr>
        <w:pStyle w:val="18"/>
        <w:spacing w:line="360" w:lineRule="auto"/>
        <w:ind w:left="804" w:right="5819"/>
      </w:pPr>
      <w:r>
        <w:rPr>
          <w:rFonts w:hint="eastAsia"/>
        </w:rPr>
        <w:t>施工边坡工程的水土流失保护措施；</w:t>
      </w:r>
      <w:r>
        <w:t xml:space="preserve"> </w:t>
      </w:r>
      <w:r>
        <w:rPr>
          <w:rFonts w:hint="eastAsia"/>
        </w:rPr>
        <w:t>道路污染防治措施；</w:t>
      </w:r>
      <w:r>
        <w:t xml:space="preserve"> </w:t>
      </w:r>
    </w:p>
    <w:p>
      <w:pPr>
        <w:pStyle w:val="18"/>
        <w:spacing w:line="360" w:lineRule="auto"/>
        <w:ind w:left="804"/>
      </w:pPr>
      <w:r>
        <w:rPr>
          <w:rFonts w:hint="eastAsia"/>
        </w:rPr>
        <w:t>完工后场地清理及其植被恢复的规划和措施；</w:t>
      </w:r>
      <w:r>
        <w:t xml:space="preserve"> </w:t>
      </w:r>
    </w:p>
    <w:p>
      <w:pPr>
        <w:pStyle w:val="18"/>
        <w:spacing w:line="360" w:lineRule="auto"/>
        <w:ind w:left="804"/>
      </w:pPr>
      <w:r>
        <w:rPr>
          <w:rFonts w:hint="eastAsia"/>
        </w:rPr>
        <w:t>其</w:t>
      </w:r>
      <w:r>
        <w:t xml:space="preserve"> </w:t>
      </w:r>
      <w:r>
        <w:rPr>
          <w:rFonts w:hint="eastAsia"/>
        </w:rPr>
        <w:t>他</w:t>
      </w:r>
      <w:r>
        <w:t xml:space="preserve"> </w:t>
      </w:r>
      <w:r>
        <w:rPr>
          <w:rFonts w:hint="eastAsia"/>
        </w:rPr>
        <w:t>：</w:t>
      </w:r>
      <w:r>
        <w:t xml:space="preserve"> </w:t>
      </w:r>
      <w:r>
        <w:rPr>
          <w:lang w:val="en-US"/>
        </w:rPr>
        <w:t xml:space="preserve">                            </w:t>
      </w:r>
      <w:r>
        <w:rPr>
          <w:rFonts w:hint="eastAsia"/>
        </w:rPr>
        <w:t>。</w:t>
      </w:r>
      <w:r>
        <w:t xml:space="preserve"> </w:t>
      </w:r>
    </w:p>
    <w:p>
      <w:pPr>
        <w:pStyle w:val="18"/>
        <w:spacing w:line="360" w:lineRule="auto"/>
      </w:pPr>
    </w:p>
    <w:p>
      <w:pPr>
        <w:pStyle w:val="58"/>
        <w:numPr>
          <w:ilvl w:val="2"/>
          <w:numId w:val="12"/>
        </w:numPr>
        <w:tabs>
          <w:tab w:val="left" w:pos="1526"/>
        </w:tabs>
        <w:spacing w:line="360" w:lineRule="auto"/>
        <w:ind w:right="1643" w:firstLine="479"/>
        <w:jc w:val="both"/>
        <w:rPr>
          <w:sz w:val="24"/>
          <w:szCs w:val="24"/>
        </w:rPr>
      </w:pPr>
      <w:r>
        <w:rPr>
          <w:rFonts w:hint="eastAsia"/>
          <w:sz w:val="24"/>
          <w:szCs w:val="24"/>
        </w:rPr>
        <w:t>施工环保措施计划应当在约定的期限内报送监理人。承包人应当严格</w:t>
      </w:r>
      <w:r>
        <w:rPr>
          <w:rFonts w:hint="eastAsia"/>
          <w:spacing w:val="-3"/>
          <w:sz w:val="24"/>
          <w:szCs w:val="24"/>
        </w:rPr>
        <w:t>执行经监理人批准的施工环保措施计划，并及时补充、修订和完善施工环保措施计</w:t>
      </w:r>
      <w:r>
        <w:rPr>
          <w:rFonts w:hint="eastAsia"/>
          <w:sz w:val="24"/>
          <w:szCs w:val="24"/>
        </w:rPr>
        <w:t>划。</w:t>
      </w:r>
    </w:p>
    <w:p>
      <w:pPr>
        <w:pStyle w:val="7"/>
        <w:numPr>
          <w:ilvl w:val="0"/>
          <w:numId w:val="5"/>
        </w:numPr>
        <w:tabs>
          <w:tab w:val="left" w:pos="568"/>
        </w:tabs>
        <w:spacing w:line="360" w:lineRule="auto"/>
        <w:rPr>
          <w:rFonts w:ascii="宋体" w:hAnsi="宋体" w:eastAsia="宋体" w:cs="宋体"/>
        </w:rPr>
      </w:pPr>
      <w:r>
        <w:rPr>
          <w:rFonts w:hint="eastAsia" w:ascii="宋体" w:hAnsi="宋体" w:eastAsia="宋体" w:cs="宋体"/>
        </w:rPr>
        <w:t>治安保卫</w:t>
      </w:r>
    </w:p>
    <w:p>
      <w:pPr>
        <w:pStyle w:val="58"/>
        <w:tabs>
          <w:tab w:val="left" w:pos="1526"/>
        </w:tabs>
        <w:spacing w:line="360" w:lineRule="auto"/>
        <w:ind w:left="0" w:right="1643" w:firstLine="480" w:firstLineChars="200"/>
        <w:jc w:val="both"/>
        <w:rPr>
          <w:sz w:val="24"/>
          <w:szCs w:val="24"/>
        </w:rPr>
      </w:pPr>
      <w:r>
        <w:rPr>
          <w:sz w:val="24"/>
          <w:szCs w:val="24"/>
          <w:lang w:val="en-US"/>
        </w:rPr>
        <w:t>7.1</w:t>
      </w:r>
      <w:r>
        <w:rPr>
          <w:rFonts w:hint="eastAsia"/>
          <w:sz w:val="24"/>
          <w:szCs w:val="24"/>
        </w:rPr>
        <w:t>承包人应为施工场地（现场）提供</w:t>
      </w:r>
      <w:r>
        <w:rPr>
          <w:sz w:val="24"/>
          <w:szCs w:val="24"/>
        </w:rPr>
        <w:t xml:space="preserve"> 24 </w:t>
      </w:r>
      <w:r>
        <w:rPr>
          <w:rFonts w:hint="eastAsia"/>
          <w:sz w:val="24"/>
          <w:szCs w:val="24"/>
        </w:rPr>
        <w:t>小时的保安保卫服务，配备足够的保安人员和保安设备，防止未经批准的任何人进入现场，控制人员、材料和设备等的进出场，防止现场材料、设备或其他任何物品的失窃，禁止任何现场内的打架斗殴事件。</w:t>
      </w:r>
      <w:r>
        <w:rPr>
          <w:sz w:val="24"/>
          <w:szCs w:val="24"/>
        </w:rPr>
        <w:t xml:space="preserve"> </w:t>
      </w:r>
    </w:p>
    <w:p>
      <w:pPr>
        <w:pStyle w:val="58"/>
        <w:tabs>
          <w:tab w:val="left" w:pos="686"/>
        </w:tabs>
        <w:spacing w:line="360" w:lineRule="auto"/>
        <w:ind w:left="0" w:right="1649" w:firstLine="480" w:firstLineChars="200"/>
        <w:jc w:val="both"/>
        <w:rPr>
          <w:sz w:val="24"/>
          <w:szCs w:val="24"/>
        </w:rPr>
      </w:pPr>
      <w:r>
        <w:rPr>
          <w:sz w:val="24"/>
          <w:szCs w:val="24"/>
          <w:lang w:val="en-US"/>
        </w:rPr>
        <w:t>7.2</w:t>
      </w:r>
      <w:r>
        <w:rPr>
          <w:rFonts w:hint="eastAsia"/>
          <w:sz w:val="24"/>
          <w:szCs w:val="24"/>
        </w:rPr>
        <w:t>承包人的保安人员应是训练有素的保安人员，承包人可以雇佣专业保安公司负</w:t>
      </w:r>
      <w:r>
        <w:rPr>
          <w:rFonts w:hint="eastAsia"/>
          <w:spacing w:val="-1"/>
          <w:sz w:val="24"/>
          <w:szCs w:val="24"/>
        </w:rPr>
        <w:t>责现场保安和保卫；保安保卫制度除规范现场出入大门控制外，还应规定定时和不定时的施工场地</w:t>
      </w:r>
      <w:r>
        <w:rPr>
          <w:spacing w:val="-1"/>
          <w:sz w:val="24"/>
          <w:szCs w:val="24"/>
        </w:rPr>
        <w:t>(</w:t>
      </w:r>
      <w:r>
        <w:rPr>
          <w:rFonts w:hint="eastAsia"/>
          <w:spacing w:val="-1"/>
          <w:sz w:val="24"/>
          <w:szCs w:val="24"/>
        </w:rPr>
        <w:t>现场</w:t>
      </w:r>
      <w:r>
        <w:rPr>
          <w:spacing w:val="-1"/>
          <w:sz w:val="24"/>
          <w:szCs w:val="24"/>
        </w:rPr>
        <w:t>)</w:t>
      </w:r>
      <w:r>
        <w:rPr>
          <w:rFonts w:hint="eastAsia"/>
          <w:spacing w:val="-1"/>
          <w:sz w:val="24"/>
          <w:szCs w:val="24"/>
        </w:rPr>
        <w:t>周边和全现场的保安巡逻。</w:t>
      </w:r>
      <w:r>
        <w:rPr>
          <w:spacing w:val="-1"/>
          <w:sz w:val="24"/>
          <w:szCs w:val="24"/>
        </w:rPr>
        <w:t xml:space="preserve"> </w:t>
      </w:r>
    </w:p>
    <w:p>
      <w:pPr>
        <w:pStyle w:val="58"/>
        <w:tabs>
          <w:tab w:val="left" w:pos="686"/>
        </w:tabs>
        <w:spacing w:line="360" w:lineRule="auto"/>
        <w:ind w:left="0" w:right="1642" w:firstLine="480" w:firstLineChars="200"/>
        <w:jc w:val="both"/>
        <w:rPr>
          <w:sz w:val="24"/>
          <w:szCs w:val="24"/>
        </w:rPr>
      </w:pPr>
      <w:r>
        <w:rPr>
          <w:sz w:val="24"/>
          <w:szCs w:val="24"/>
          <w:lang w:val="en-US"/>
        </w:rPr>
        <w:t>7.3</w:t>
      </w:r>
      <w:r>
        <w:rPr>
          <w:rFonts w:hint="eastAsia"/>
          <w:sz w:val="24"/>
          <w:szCs w:val="24"/>
        </w:rPr>
        <w:t>承包人应实施实名制管理，制定严格的施工场地（</w:t>
      </w:r>
      <w:r>
        <w:rPr>
          <w:rFonts w:hint="eastAsia"/>
          <w:spacing w:val="2"/>
          <w:sz w:val="24"/>
          <w:szCs w:val="24"/>
        </w:rPr>
        <w:t>现场</w:t>
      </w:r>
      <w:r>
        <w:rPr>
          <w:rFonts w:hint="eastAsia"/>
          <w:sz w:val="24"/>
          <w:szCs w:val="24"/>
        </w:rPr>
        <w:t>）出入制度；车辆的出入须有出入审批制度，并有指定的专人负责管理；人员进出现场应有出入证。</w:t>
      </w:r>
      <w:r>
        <w:rPr>
          <w:sz w:val="24"/>
          <w:szCs w:val="24"/>
        </w:rPr>
        <w:t xml:space="preserve"> </w:t>
      </w:r>
    </w:p>
    <w:p>
      <w:pPr>
        <w:pStyle w:val="58"/>
        <w:tabs>
          <w:tab w:val="left" w:pos="686"/>
        </w:tabs>
        <w:spacing w:line="360" w:lineRule="auto"/>
        <w:ind w:left="0" w:right="1646" w:firstLine="480" w:firstLineChars="200"/>
        <w:jc w:val="both"/>
        <w:rPr>
          <w:sz w:val="24"/>
          <w:szCs w:val="24"/>
        </w:rPr>
      </w:pPr>
      <w:r>
        <w:rPr>
          <w:sz w:val="24"/>
          <w:szCs w:val="24"/>
          <w:lang w:val="en-US"/>
        </w:rPr>
        <w:t>7.4</w:t>
      </w:r>
      <w:r>
        <w:rPr>
          <w:rFonts w:hint="eastAsia"/>
          <w:sz w:val="24"/>
          <w:szCs w:val="24"/>
        </w:rPr>
        <w:t>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r>
        <w:rPr>
          <w:sz w:val="24"/>
          <w:szCs w:val="24"/>
        </w:rPr>
        <w:t xml:space="preserve"> </w:t>
      </w:r>
    </w:p>
    <w:p>
      <w:pPr>
        <w:pStyle w:val="58"/>
        <w:tabs>
          <w:tab w:val="left" w:pos="686"/>
        </w:tabs>
        <w:spacing w:line="360" w:lineRule="auto"/>
        <w:ind w:left="0" w:right="1649" w:firstLine="480" w:firstLineChars="200"/>
        <w:jc w:val="both"/>
        <w:rPr>
          <w:sz w:val="24"/>
          <w:szCs w:val="24"/>
        </w:rPr>
      </w:pPr>
      <w:r>
        <w:rPr>
          <w:sz w:val="24"/>
          <w:szCs w:val="24"/>
          <w:lang w:val="en-US"/>
        </w:rPr>
        <w:t>7.5</w:t>
      </w:r>
      <w:r>
        <w:rPr>
          <w:rFonts w:hint="eastAsia"/>
          <w:sz w:val="24"/>
          <w:szCs w:val="24"/>
        </w:rPr>
        <w:t>承包人应为施工场地（现场）提供和维护符合建设行政主管部门和市容管理部</w:t>
      </w:r>
      <w:r>
        <w:rPr>
          <w:rFonts w:hint="eastAsia"/>
          <w:spacing w:val="-1"/>
          <w:sz w:val="24"/>
          <w:szCs w:val="24"/>
        </w:rPr>
        <w:t>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r>
        <w:rPr>
          <w:spacing w:val="-1"/>
          <w:sz w:val="24"/>
          <w:szCs w:val="24"/>
        </w:rPr>
        <w:t xml:space="preserve"> </w:t>
      </w:r>
    </w:p>
    <w:p>
      <w:pPr>
        <w:pStyle w:val="58"/>
        <w:tabs>
          <w:tab w:val="left" w:pos="688"/>
        </w:tabs>
        <w:spacing w:line="360" w:lineRule="auto"/>
        <w:ind w:left="0" w:right="1638" w:firstLine="480" w:firstLineChars="200"/>
        <w:rPr>
          <w:sz w:val="24"/>
          <w:szCs w:val="24"/>
        </w:rPr>
      </w:pPr>
      <w:r>
        <w:rPr>
          <w:sz w:val="24"/>
          <w:szCs w:val="24"/>
          <w:lang w:val="en-US"/>
        </w:rPr>
        <w:t>7.6</w:t>
      </w:r>
      <w:r>
        <w:rPr>
          <w:rFonts w:hint="eastAsia"/>
          <w:sz w:val="24"/>
          <w:szCs w:val="24"/>
        </w:rPr>
        <w:t>承包人应当保证发包人支付的工程款项仅用于本合同目的，及时、足额、实名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r>
        <w:rPr>
          <w:sz w:val="24"/>
          <w:szCs w:val="24"/>
        </w:rPr>
        <w:t xml:space="preserve"> </w:t>
      </w:r>
    </w:p>
    <w:p>
      <w:pPr>
        <w:pStyle w:val="58"/>
        <w:tabs>
          <w:tab w:val="left" w:pos="686"/>
        </w:tabs>
        <w:spacing w:line="360" w:lineRule="auto"/>
        <w:ind w:left="0" w:firstLine="480" w:firstLineChars="200"/>
        <w:rPr>
          <w:sz w:val="24"/>
          <w:szCs w:val="24"/>
        </w:rPr>
      </w:pPr>
      <w:r>
        <w:rPr>
          <w:sz w:val="24"/>
          <w:szCs w:val="24"/>
          <w:lang w:val="en-US"/>
        </w:rPr>
        <w:t>7.7</w:t>
      </w:r>
      <w:r>
        <w:rPr>
          <w:rFonts w:hint="eastAsia"/>
          <w:sz w:val="24"/>
          <w:szCs w:val="24"/>
        </w:rPr>
        <w:t>施工场地（现场）治安管理计划的要求：</w:t>
      </w:r>
      <w:r>
        <w:rPr>
          <w:sz w:val="24"/>
          <w:szCs w:val="24"/>
        </w:rPr>
        <w:t xml:space="preserve"> </w:t>
      </w:r>
    </w:p>
    <w:p>
      <w:pPr>
        <w:pStyle w:val="18"/>
        <w:spacing w:line="360" w:lineRule="auto"/>
      </w:pPr>
      <w:r>
        <w:rPr>
          <w:u w:val="single"/>
        </w:rPr>
        <w:t xml:space="preserve">                                                                                                                                                                      </w:t>
      </w:r>
      <w:r>
        <w:rPr>
          <w:rFonts w:hint="eastAsia"/>
        </w:rPr>
        <w:t>。</w:t>
      </w:r>
    </w:p>
    <w:p>
      <w:pPr>
        <w:pStyle w:val="58"/>
        <w:tabs>
          <w:tab w:val="left" w:pos="686"/>
        </w:tabs>
        <w:spacing w:line="360" w:lineRule="auto"/>
        <w:ind w:left="0" w:firstLine="480" w:firstLineChars="200"/>
        <w:rPr>
          <w:sz w:val="24"/>
          <w:szCs w:val="24"/>
        </w:rPr>
      </w:pPr>
      <w:r>
        <w:rPr>
          <w:sz w:val="24"/>
          <w:szCs w:val="24"/>
          <w:lang w:val="en-US"/>
        </w:rPr>
        <w:t>7.8</w:t>
      </w:r>
      <w:r>
        <w:rPr>
          <w:rFonts w:hint="eastAsia"/>
          <w:sz w:val="24"/>
          <w:szCs w:val="24"/>
        </w:rPr>
        <w:t>突发治安事件紧急预案的要求：</w:t>
      </w:r>
      <w:r>
        <w:rPr>
          <w:sz w:val="24"/>
          <w:szCs w:val="24"/>
        </w:rPr>
        <w:t xml:space="preserve"> </w:t>
      </w:r>
    </w:p>
    <w:p>
      <w:pPr>
        <w:pStyle w:val="18"/>
        <w:spacing w:line="360" w:lineRule="auto"/>
      </w:pPr>
      <w:r>
        <w:rPr>
          <w:u w:val="single"/>
        </w:rPr>
        <w:t xml:space="preserve">                                                                                                                                                                      </w:t>
      </w:r>
      <w:r>
        <w:rPr>
          <w:rFonts w:hint="eastAsia"/>
        </w:rPr>
        <w:t>。</w:t>
      </w:r>
    </w:p>
    <w:p>
      <w:pPr>
        <w:pStyle w:val="58"/>
        <w:tabs>
          <w:tab w:val="left" w:pos="686"/>
        </w:tabs>
        <w:spacing w:line="360" w:lineRule="auto"/>
        <w:ind w:left="0" w:firstLine="480" w:firstLineChars="200"/>
        <w:rPr>
          <w:sz w:val="24"/>
          <w:szCs w:val="24"/>
        </w:rPr>
      </w:pPr>
      <w:r>
        <w:rPr>
          <w:sz w:val="24"/>
          <w:szCs w:val="24"/>
          <w:lang w:val="en-US"/>
        </w:rPr>
        <w:t>7.9</w:t>
      </w:r>
      <w:r>
        <w:rPr>
          <w:rFonts w:hint="eastAsia"/>
          <w:sz w:val="24"/>
          <w:szCs w:val="24"/>
        </w:rPr>
        <w:t>治安保卫方面的其他要求如下：</w:t>
      </w:r>
      <w:r>
        <w:rPr>
          <w:sz w:val="24"/>
          <w:szCs w:val="24"/>
        </w:rPr>
        <w:t xml:space="preserve"> </w:t>
      </w:r>
    </w:p>
    <w:p>
      <w:pPr>
        <w:pStyle w:val="18"/>
        <w:spacing w:line="360" w:lineRule="auto"/>
      </w:pPr>
      <w:r>
        <w:rPr>
          <w:u w:val="single"/>
        </w:rPr>
        <w:t xml:space="preserve">                                                                                                                                                                      </w:t>
      </w:r>
      <w:r>
        <w:rPr>
          <w:rFonts w:hint="eastAsia"/>
        </w:rPr>
        <w:t>。</w:t>
      </w:r>
    </w:p>
    <w:p>
      <w:pPr>
        <w:pStyle w:val="7"/>
        <w:numPr>
          <w:ilvl w:val="0"/>
          <w:numId w:val="5"/>
        </w:numPr>
        <w:tabs>
          <w:tab w:val="left" w:pos="568"/>
        </w:tabs>
        <w:spacing w:line="360" w:lineRule="auto"/>
        <w:rPr>
          <w:rFonts w:ascii="宋体" w:hAnsi="宋体" w:eastAsia="宋体" w:cs="宋体"/>
          <w:sz w:val="28"/>
          <w:szCs w:val="28"/>
        </w:rPr>
      </w:pPr>
      <w:r>
        <w:rPr>
          <w:rFonts w:hint="eastAsia" w:ascii="宋体" w:hAnsi="宋体" w:eastAsia="宋体" w:cs="宋体"/>
          <w:sz w:val="28"/>
          <w:szCs w:val="28"/>
        </w:rPr>
        <w:t>原有树木保护、地上、地下设施和周边建筑物的临时保护</w:t>
      </w:r>
    </w:p>
    <w:p>
      <w:pPr>
        <w:pStyle w:val="7"/>
        <w:numPr>
          <w:ilvl w:val="1"/>
          <w:numId w:val="5"/>
        </w:numPr>
        <w:tabs>
          <w:tab w:val="left" w:pos="688"/>
        </w:tabs>
        <w:spacing w:line="360" w:lineRule="auto"/>
        <w:ind w:left="687" w:hanging="364"/>
        <w:rPr>
          <w:rFonts w:ascii="宋体" w:hAnsi="宋体" w:eastAsia="宋体" w:cs="宋体"/>
        </w:rPr>
      </w:pPr>
      <w:r>
        <w:rPr>
          <w:rFonts w:hint="eastAsia" w:ascii="宋体" w:hAnsi="宋体" w:eastAsia="宋体" w:cs="宋体"/>
        </w:rPr>
        <w:t>原有树木保护</w:t>
      </w:r>
    </w:p>
    <w:p>
      <w:pPr>
        <w:pStyle w:val="58"/>
        <w:tabs>
          <w:tab w:val="left" w:pos="688"/>
        </w:tabs>
        <w:spacing w:line="360" w:lineRule="auto"/>
        <w:ind w:left="0" w:right="1638" w:firstLine="480" w:firstLineChars="200"/>
        <w:rPr>
          <w:sz w:val="24"/>
          <w:szCs w:val="24"/>
          <w:lang w:val="en-US"/>
        </w:rPr>
      </w:pPr>
      <w:r>
        <w:rPr>
          <w:sz w:val="24"/>
          <w:szCs w:val="24"/>
          <w:lang w:val="en-US"/>
        </w:rPr>
        <w:t>8.1.1</w:t>
      </w:r>
      <w:r>
        <w:rPr>
          <w:rFonts w:hint="eastAsia"/>
          <w:sz w:val="24"/>
          <w:szCs w:val="24"/>
          <w:lang w:val="en-US"/>
        </w:rPr>
        <w:t>承包人应制订现场保留植物的保护和养护措施，以确保现场保留植物在施工期间不会因施工受损，其生长的立地条件（土、肥、水、气、热等）不会因施工而变差，并进而影响到保留植物的正常生长。</w:t>
      </w:r>
    </w:p>
    <w:p>
      <w:pPr>
        <w:pStyle w:val="58"/>
        <w:tabs>
          <w:tab w:val="left" w:pos="926"/>
        </w:tabs>
        <w:spacing w:line="360" w:lineRule="auto"/>
        <w:ind w:left="0" w:right="1653" w:firstLine="480" w:firstLineChars="200"/>
        <w:rPr>
          <w:sz w:val="24"/>
          <w:szCs w:val="24"/>
        </w:rPr>
      </w:pPr>
      <w:r>
        <w:rPr>
          <w:sz w:val="24"/>
          <w:szCs w:val="24"/>
          <w:lang w:val="en-US"/>
        </w:rPr>
        <w:t>8.1.2</w:t>
      </w:r>
      <w:r>
        <w:rPr>
          <w:rFonts w:hint="eastAsia"/>
          <w:sz w:val="24"/>
          <w:szCs w:val="24"/>
        </w:rPr>
        <w:t>施工现场有原有树木，应该对现场所有的树木品种和数量进行核查统计，按树种、规格、生长状态等登记在册。</w:t>
      </w:r>
      <w:r>
        <w:rPr>
          <w:sz w:val="24"/>
          <w:szCs w:val="24"/>
        </w:rPr>
        <w:t xml:space="preserve"> </w:t>
      </w:r>
    </w:p>
    <w:p>
      <w:pPr>
        <w:pStyle w:val="58"/>
        <w:tabs>
          <w:tab w:val="left" w:pos="926"/>
        </w:tabs>
        <w:spacing w:line="360" w:lineRule="auto"/>
        <w:ind w:left="0" w:right="1653" w:firstLine="480" w:firstLineChars="200"/>
        <w:rPr>
          <w:sz w:val="24"/>
          <w:szCs w:val="24"/>
        </w:rPr>
      </w:pPr>
      <w:r>
        <w:rPr>
          <w:sz w:val="24"/>
          <w:szCs w:val="24"/>
          <w:lang w:val="en-US"/>
        </w:rPr>
        <w:t>8.1.3</w:t>
      </w:r>
      <w:r>
        <w:rPr>
          <w:rFonts w:hint="eastAsia"/>
          <w:sz w:val="24"/>
          <w:szCs w:val="24"/>
        </w:rPr>
        <w:t>施工现场有原有树木，施工单位应该对其进行保护、看管、按标准等级实施养护，费用应该纳入合同价款内。</w:t>
      </w:r>
      <w:r>
        <w:rPr>
          <w:sz w:val="24"/>
          <w:szCs w:val="24"/>
        </w:rPr>
        <w:t xml:space="preserve"> </w:t>
      </w:r>
    </w:p>
    <w:p>
      <w:pPr>
        <w:pStyle w:val="58"/>
        <w:tabs>
          <w:tab w:val="left" w:pos="926"/>
        </w:tabs>
        <w:spacing w:line="360" w:lineRule="auto"/>
        <w:ind w:left="0" w:right="1653" w:firstLine="480" w:firstLineChars="200"/>
        <w:rPr>
          <w:sz w:val="24"/>
          <w:szCs w:val="24"/>
        </w:rPr>
      </w:pPr>
      <w:r>
        <w:rPr>
          <w:sz w:val="24"/>
          <w:szCs w:val="24"/>
          <w:lang w:val="en-US"/>
        </w:rPr>
        <w:t>8.1.4</w:t>
      </w:r>
      <w:r>
        <w:rPr>
          <w:rFonts w:hint="eastAsia"/>
          <w:sz w:val="24"/>
          <w:szCs w:val="24"/>
        </w:rPr>
        <w:t>原有树木保护包括对树干用草绳、草袋、厚纸板等软质包裹，或用木板、木条等硬质材料包裹，防止碰撞伤害，重点树木必要时可单独搭设围挡</w:t>
      </w:r>
      <w:r>
        <w:rPr>
          <w:sz w:val="24"/>
          <w:szCs w:val="24"/>
        </w:rPr>
        <w:t xml:space="preserve"> </w:t>
      </w:r>
    </w:p>
    <w:p>
      <w:pPr>
        <w:pStyle w:val="58"/>
        <w:tabs>
          <w:tab w:val="left" w:pos="926"/>
        </w:tabs>
        <w:spacing w:line="360" w:lineRule="auto"/>
        <w:ind w:left="0" w:right="1653" w:firstLine="480" w:firstLineChars="200"/>
        <w:rPr>
          <w:sz w:val="24"/>
          <w:szCs w:val="24"/>
        </w:rPr>
      </w:pPr>
      <w:r>
        <w:rPr>
          <w:sz w:val="24"/>
          <w:szCs w:val="24"/>
          <w:lang w:val="en-US"/>
        </w:rPr>
        <w:t>8.1.5</w:t>
      </w:r>
      <w:r>
        <w:rPr>
          <w:rFonts w:hint="eastAsia"/>
          <w:sz w:val="24"/>
          <w:szCs w:val="24"/>
        </w:rPr>
        <w:t>施工现场具有古树名木，建设单位、施工单位应该在施工前应向有关管理部门申报保护方案。</w:t>
      </w:r>
      <w:r>
        <w:rPr>
          <w:sz w:val="24"/>
          <w:szCs w:val="24"/>
        </w:rPr>
        <w:t xml:space="preserve"> </w:t>
      </w:r>
    </w:p>
    <w:p>
      <w:pPr>
        <w:pStyle w:val="58"/>
        <w:tabs>
          <w:tab w:val="left" w:pos="926"/>
        </w:tabs>
        <w:spacing w:line="360" w:lineRule="auto"/>
        <w:ind w:left="0" w:firstLine="568" w:firstLineChars="200"/>
        <w:rPr>
          <w:sz w:val="24"/>
          <w:szCs w:val="24"/>
        </w:rPr>
      </w:pPr>
      <w:r>
        <w:rPr>
          <w:spacing w:val="22"/>
          <w:sz w:val="24"/>
          <w:szCs w:val="24"/>
          <w:lang w:val="en-US"/>
        </w:rPr>
        <w:t>8.1.6</w:t>
      </w:r>
      <w:r>
        <w:rPr>
          <w:rFonts w:hint="eastAsia"/>
          <w:spacing w:val="22"/>
          <w:sz w:val="24"/>
          <w:szCs w:val="24"/>
        </w:rPr>
        <w:t>现场古树名木的保护和养护应该符合«</w:t>
      </w:r>
      <w:r>
        <w:rPr>
          <w:spacing w:val="22"/>
          <w:sz w:val="24"/>
          <w:szCs w:val="24"/>
        </w:rPr>
        <w:t xml:space="preserve"> </w:t>
      </w:r>
      <w:r>
        <w:rPr>
          <w:rFonts w:hint="eastAsia"/>
          <w:spacing w:val="22"/>
          <w:sz w:val="24"/>
          <w:szCs w:val="24"/>
        </w:rPr>
        <w:t>古树名木日常养护管理标准</w:t>
      </w:r>
    </w:p>
    <w:p>
      <w:pPr>
        <w:pStyle w:val="18"/>
        <w:spacing w:line="360" w:lineRule="auto"/>
        <w:ind w:left="1174"/>
      </w:pPr>
      <w:r>
        <w:rPr>
          <w:rFonts w:hint="eastAsia"/>
        </w:rPr>
        <w:t>»</w:t>
      </w:r>
      <w:r>
        <w:t xml:space="preserve">DB11/T767-2010 </w:t>
      </w:r>
      <w:r>
        <w:rPr>
          <w:rFonts w:hint="eastAsia"/>
        </w:rPr>
        <w:t>的规定要求。</w:t>
      </w:r>
      <w:r>
        <w:t xml:space="preserve"> </w:t>
      </w:r>
    </w:p>
    <w:p>
      <w:pPr>
        <w:pStyle w:val="58"/>
        <w:tabs>
          <w:tab w:val="left" w:pos="926"/>
        </w:tabs>
        <w:spacing w:line="360" w:lineRule="auto"/>
        <w:ind w:left="0" w:firstLine="480" w:firstLineChars="200"/>
        <w:rPr>
          <w:sz w:val="28"/>
          <w:szCs w:val="28"/>
        </w:rPr>
      </w:pPr>
      <w:r>
        <w:rPr>
          <w:sz w:val="24"/>
          <w:szCs w:val="24"/>
          <w:lang w:val="en-US"/>
        </w:rPr>
        <w:t>8.1.7</w:t>
      </w:r>
      <w:r>
        <w:rPr>
          <w:rFonts w:hint="eastAsia"/>
          <w:sz w:val="24"/>
          <w:szCs w:val="24"/>
        </w:rPr>
        <w:t>原有树木（含古树名木）保护管理的其他要求：</w:t>
      </w:r>
    </w:p>
    <w:p>
      <w:pPr>
        <w:pStyle w:val="7"/>
        <w:numPr>
          <w:ilvl w:val="1"/>
          <w:numId w:val="5"/>
        </w:numPr>
        <w:tabs>
          <w:tab w:val="left" w:pos="688"/>
        </w:tabs>
        <w:spacing w:line="360" w:lineRule="auto"/>
        <w:ind w:left="687" w:hanging="364"/>
        <w:rPr>
          <w:rFonts w:ascii="宋体" w:hAnsi="宋体" w:eastAsia="宋体" w:cs="宋体"/>
          <w:b w:val="0"/>
          <w:sz w:val="22"/>
        </w:rPr>
      </w:pPr>
      <w:r>
        <w:rPr>
          <w:rFonts w:hint="eastAsia" w:ascii="宋体" w:hAnsi="宋体" w:eastAsia="宋体" w:cs="宋体"/>
        </w:rPr>
        <w:t>地上、地下设施和周边建筑物的临时保护</w:t>
      </w:r>
    </w:p>
    <w:p>
      <w:pPr>
        <w:pStyle w:val="18"/>
        <w:spacing w:before="4" w:line="360" w:lineRule="auto"/>
        <w:rPr>
          <w:sz w:val="17"/>
        </w:rPr>
      </w:pPr>
    </w:p>
    <w:p>
      <w:pPr>
        <w:pStyle w:val="58"/>
        <w:tabs>
          <w:tab w:val="left" w:pos="926"/>
        </w:tabs>
        <w:spacing w:line="360" w:lineRule="auto"/>
        <w:ind w:left="0" w:right="1653" w:firstLine="480" w:firstLineChars="200"/>
        <w:rPr>
          <w:sz w:val="24"/>
          <w:szCs w:val="24"/>
        </w:rPr>
      </w:pPr>
      <w:r>
        <w:rPr>
          <w:sz w:val="24"/>
          <w:szCs w:val="24"/>
          <w:lang w:val="en-US"/>
        </w:rPr>
        <w:t>8.2.1</w:t>
      </w:r>
      <w:r>
        <w:rPr>
          <w:rFonts w:hint="eastAsia"/>
          <w:sz w:val="24"/>
          <w:szCs w:val="24"/>
        </w:rPr>
        <w:t>承包人应为施工场地及其周边现有的地上、地下设施、管线和建筑物提供足够的临时保护设施，确保施工过程中这些设施和建筑物不会受到干扰和破坏。</w:t>
      </w:r>
      <w:r>
        <w:rPr>
          <w:sz w:val="24"/>
          <w:szCs w:val="24"/>
        </w:rPr>
        <w:t xml:space="preserve"> </w:t>
      </w:r>
    </w:p>
    <w:p>
      <w:pPr>
        <w:pStyle w:val="58"/>
        <w:tabs>
          <w:tab w:val="left" w:pos="926"/>
        </w:tabs>
        <w:spacing w:line="360" w:lineRule="auto"/>
        <w:ind w:left="0" w:right="1653" w:firstLine="480" w:firstLineChars="200"/>
      </w:pPr>
      <w:r>
        <w:rPr>
          <w:sz w:val="24"/>
          <w:szCs w:val="24"/>
          <w:lang w:val="en-US"/>
        </w:rPr>
        <w:t>8.2.2</w:t>
      </w:r>
      <w:r>
        <w:rPr>
          <w:rFonts w:hint="eastAsia"/>
          <w:sz w:val="24"/>
          <w:szCs w:val="24"/>
        </w:rPr>
        <w:t>承包人应当制订现有设施、管线临时保护方案和应急处理方案，并在本工程开工前至少提前</w:t>
      </w:r>
      <w:r>
        <w:rPr>
          <w:sz w:val="24"/>
          <w:szCs w:val="24"/>
        </w:rPr>
        <w:t xml:space="preserve"> 7 </w:t>
      </w:r>
      <w:r>
        <w:rPr>
          <w:rFonts w:hint="eastAsia"/>
          <w:sz w:val="24"/>
          <w:szCs w:val="24"/>
        </w:rPr>
        <w:t>天报送监理人，监理人应在收到现有设施、管线临时保护方案后的</w:t>
      </w:r>
      <w:r>
        <w:rPr>
          <w:sz w:val="24"/>
          <w:szCs w:val="24"/>
        </w:rPr>
        <w:t xml:space="preserve"> 3 </w:t>
      </w:r>
      <w:r>
        <w:rPr>
          <w:rFonts w:hint="eastAsia"/>
          <w:sz w:val="24"/>
          <w:szCs w:val="24"/>
        </w:rPr>
        <w:t>天内批复承包人。承包人应当严格执行经监理人批准的保护方案，并保证在任何可能影响周边现有的地上、地下设施、管线或周边建筑物的施工作业开始前，相应的临时保护设施能够落实到位。</w:t>
      </w:r>
      <w:r>
        <w:t xml:space="preserve"> </w:t>
      </w:r>
    </w:p>
    <w:p>
      <w:pPr>
        <w:pStyle w:val="7"/>
        <w:numPr>
          <w:ilvl w:val="1"/>
          <w:numId w:val="5"/>
        </w:numPr>
        <w:tabs>
          <w:tab w:val="left" w:pos="688"/>
        </w:tabs>
        <w:spacing w:before="47" w:line="360" w:lineRule="auto"/>
        <w:ind w:left="687" w:hanging="364"/>
        <w:rPr>
          <w:rFonts w:ascii="宋体" w:hAnsi="宋体" w:eastAsia="宋体" w:cs="宋体"/>
          <w:sz w:val="22"/>
        </w:rPr>
      </w:pPr>
      <w:r>
        <w:rPr>
          <w:rFonts w:hint="eastAsia" w:ascii="宋体" w:hAnsi="宋体" w:eastAsia="宋体" w:cs="宋体"/>
          <w:spacing w:val="-14"/>
        </w:rPr>
        <w:t>发包人特别提醒承包人注意以下地上、地下设施、管线和周边建筑物的保护：</w:t>
      </w:r>
    </w:p>
    <w:p>
      <w:pPr>
        <w:pStyle w:val="18"/>
        <w:spacing w:before="7" w:line="360" w:lineRule="auto"/>
        <w:rPr>
          <w:sz w:val="10"/>
        </w:rPr>
      </w:pPr>
      <w:r>
        <w:rPr>
          <w:sz w:val="10"/>
        </w:rPr>
        <w:t xml:space="preserve">             </w:t>
      </w:r>
      <w:r>
        <w:rPr>
          <w:sz w:val="10"/>
          <w:u w:val="single"/>
        </w:rPr>
        <w:t xml:space="preserve">                                                                                                                                                                      </w:t>
      </w:r>
      <w:r>
        <w:rPr>
          <w:rFonts w:hint="eastAsia"/>
        </w:rPr>
        <w:t>。</w:t>
      </w:r>
      <w:r>
        <w:rPr>
          <w:sz w:val="10"/>
        </w:rPr>
        <w:t xml:space="preserve">                                                                                                                                                    </w:t>
      </w:r>
    </w:p>
    <w:p>
      <w:pPr>
        <w:pStyle w:val="7"/>
        <w:numPr>
          <w:ilvl w:val="1"/>
          <w:numId w:val="5"/>
        </w:numPr>
        <w:tabs>
          <w:tab w:val="left" w:pos="688"/>
        </w:tabs>
        <w:spacing w:line="360" w:lineRule="auto"/>
        <w:ind w:left="687" w:hanging="364"/>
        <w:rPr>
          <w:rFonts w:ascii="宋体" w:hAnsi="宋体" w:eastAsia="宋体" w:cs="宋体"/>
          <w:sz w:val="22"/>
        </w:rPr>
      </w:pPr>
      <w:r>
        <w:rPr>
          <w:rFonts w:hint="eastAsia" w:ascii="宋体" w:hAnsi="宋体" w:eastAsia="宋体" w:cs="宋体"/>
        </w:rPr>
        <w:t>地上、地下设施、管线和周边建筑物的临时保护的其他要求如下</w:t>
      </w:r>
      <w:r>
        <w:rPr>
          <w:rFonts w:ascii="宋体" w:hAnsi="宋体" w:eastAsia="宋体" w:cs="宋体"/>
          <w:w w:val="155"/>
        </w:rPr>
        <w:t>:</w:t>
      </w:r>
    </w:p>
    <w:p>
      <w:pPr>
        <w:pStyle w:val="18"/>
        <w:spacing w:line="360" w:lineRule="auto"/>
        <w:ind w:left="567"/>
        <w:rPr>
          <w:sz w:val="10"/>
          <w:u w:val="single"/>
        </w:rPr>
      </w:pPr>
      <w:r>
        <w:rPr>
          <w:sz w:val="10"/>
          <w:u w:val="single"/>
        </w:rPr>
        <w:t xml:space="preserve">                                                                                                                                                                      </w:t>
      </w:r>
      <w:r>
        <w:rPr>
          <w:rFonts w:hint="eastAsia"/>
        </w:rPr>
        <w:t>。</w:t>
      </w:r>
      <w:r>
        <w:t xml:space="preserve"> </w:t>
      </w:r>
    </w:p>
    <w:p>
      <w:pPr>
        <w:pStyle w:val="18"/>
        <w:spacing w:line="360" w:lineRule="auto"/>
        <w:rPr>
          <w:sz w:val="10"/>
        </w:rPr>
      </w:pPr>
    </w:p>
    <w:p>
      <w:pPr>
        <w:pStyle w:val="7"/>
        <w:numPr>
          <w:ilvl w:val="0"/>
          <w:numId w:val="5"/>
        </w:numPr>
        <w:tabs>
          <w:tab w:val="left" w:pos="568"/>
        </w:tabs>
        <w:spacing w:line="360" w:lineRule="auto"/>
        <w:rPr>
          <w:rFonts w:ascii="宋体" w:hAnsi="宋体" w:eastAsia="宋体" w:cs="宋体"/>
        </w:rPr>
      </w:pPr>
      <w:r>
        <w:rPr>
          <w:rFonts w:hint="eastAsia" w:ascii="宋体" w:hAnsi="宋体" w:eastAsia="宋体" w:cs="宋体"/>
        </w:rPr>
        <w:t>园林用水</w:t>
      </w:r>
    </w:p>
    <w:p>
      <w:pPr>
        <w:pStyle w:val="7"/>
        <w:numPr>
          <w:ilvl w:val="1"/>
          <w:numId w:val="5"/>
        </w:numPr>
        <w:tabs>
          <w:tab w:val="left" w:pos="688"/>
        </w:tabs>
        <w:spacing w:line="360" w:lineRule="auto"/>
        <w:ind w:left="687" w:hanging="364"/>
        <w:rPr>
          <w:rFonts w:ascii="宋体" w:hAnsi="宋体" w:eastAsia="宋体" w:cs="宋体"/>
          <w:sz w:val="22"/>
        </w:rPr>
      </w:pPr>
      <w:r>
        <w:rPr>
          <w:rFonts w:hint="eastAsia" w:ascii="宋体" w:hAnsi="宋体" w:eastAsia="宋体" w:cs="宋体"/>
        </w:rPr>
        <w:t>园林绿化种植养护用水</w:t>
      </w:r>
    </w:p>
    <w:p>
      <w:pPr>
        <w:pStyle w:val="58"/>
        <w:tabs>
          <w:tab w:val="left" w:pos="926"/>
        </w:tabs>
        <w:spacing w:line="360" w:lineRule="auto"/>
        <w:ind w:left="0" w:right="1653" w:firstLine="480" w:firstLineChars="200"/>
        <w:rPr>
          <w:sz w:val="24"/>
          <w:szCs w:val="24"/>
        </w:rPr>
      </w:pPr>
      <w:r>
        <w:rPr>
          <w:sz w:val="24"/>
          <w:szCs w:val="24"/>
          <w:lang w:val="en-US"/>
        </w:rPr>
        <w:t>9.1.1</w:t>
      </w:r>
      <w:r>
        <w:rPr>
          <w:rFonts w:hint="eastAsia"/>
          <w:sz w:val="24"/>
          <w:szCs w:val="24"/>
        </w:rPr>
        <w:t>园林绿化工程施工现场应该提供（临时或永久）用于种植施工或养护的合格水源，施工现场未提供水源的，在合同价款中应该包括绿化工程施工养护合格用水的运输费。</w:t>
      </w:r>
      <w:r>
        <w:rPr>
          <w:sz w:val="24"/>
          <w:szCs w:val="24"/>
        </w:rPr>
        <w:t xml:space="preserve"> </w:t>
      </w:r>
    </w:p>
    <w:p>
      <w:pPr>
        <w:pStyle w:val="58"/>
        <w:tabs>
          <w:tab w:val="left" w:pos="926"/>
        </w:tabs>
        <w:spacing w:line="360" w:lineRule="auto"/>
        <w:ind w:left="0" w:right="1653" w:firstLine="480" w:firstLineChars="200"/>
        <w:rPr>
          <w:sz w:val="24"/>
          <w:szCs w:val="24"/>
        </w:rPr>
      </w:pPr>
      <w:r>
        <w:rPr>
          <w:sz w:val="24"/>
          <w:szCs w:val="24"/>
          <w:lang w:val="en-US"/>
        </w:rPr>
        <w:t>9.1.2</w:t>
      </w:r>
      <w:r>
        <w:rPr>
          <w:rFonts w:hint="eastAsia"/>
          <w:sz w:val="24"/>
          <w:szCs w:val="24"/>
        </w:rPr>
        <w:t>施工现场的天然水源，如河流、小溪、池塘、湖泊等，应该对其水质进行检验合格后方可使用。</w:t>
      </w:r>
      <w:r>
        <w:rPr>
          <w:sz w:val="24"/>
          <w:szCs w:val="24"/>
        </w:rPr>
        <w:t xml:space="preserve"> </w:t>
      </w:r>
    </w:p>
    <w:p>
      <w:pPr>
        <w:pStyle w:val="58"/>
        <w:tabs>
          <w:tab w:val="left" w:pos="926"/>
        </w:tabs>
        <w:spacing w:line="360" w:lineRule="auto"/>
        <w:ind w:left="0" w:right="1653" w:firstLine="480" w:firstLineChars="200"/>
        <w:rPr>
          <w:sz w:val="24"/>
          <w:szCs w:val="24"/>
        </w:rPr>
      </w:pPr>
      <w:r>
        <w:rPr>
          <w:sz w:val="24"/>
          <w:szCs w:val="24"/>
          <w:lang w:val="en-US"/>
        </w:rPr>
        <w:t>9.1.3</w:t>
      </w:r>
      <w:r>
        <w:rPr>
          <w:rFonts w:hint="eastAsia"/>
          <w:sz w:val="24"/>
          <w:szCs w:val="24"/>
        </w:rPr>
        <w:t>园林绿化施工养护用水使用再生水的，应该执行«再生水灌溉绿地技术规定</w:t>
      </w:r>
    </w:p>
    <w:p>
      <w:pPr>
        <w:pStyle w:val="58"/>
        <w:tabs>
          <w:tab w:val="left" w:pos="926"/>
        </w:tabs>
        <w:spacing w:line="360" w:lineRule="auto"/>
        <w:ind w:left="0" w:right="1653" w:firstLine="480" w:firstLineChars="200"/>
        <w:rPr>
          <w:sz w:val="24"/>
          <w:szCs w:val="24"/>
        </w:rPr>
      </w:pPr>
      <w:r>
        <w:rPr>
          <w:rFonts w:hint="eastAsia"/>
          <w:sz w:val="24"/>
          <w:szCs w:val="24"/>
        </w:rPr>
        <w:t>»</w:t>
      </w:r>
      <w:r>
        <w:rPr>
          <w:sz w:val="24"/>
          <w:szCs w:val="24"/>
        </w:rPr>
        <w:t>(DB/T672-2009)</w:t>
      </w:r>
      <w:r>
        <w:rPr>
          <w:rFonts w:hint="eastAsia"/>
          <w:sz w:val="24"/>
          <w:szCs w:val="24"/>
        </w:rPr>
        <w:t>的要求。</w:t>
      </w:r>
    </w:p>
    <w:p>
      <w:pPr>
        <w:pStyle w:val="58"/>
        <w:tabs>
          <w:tab w:val="left" w:pos="926"/>
        </w:tabs>
        <w:spacing w:line="360" w:lineRule="auto"/>
        <w:ind w:left="0" w:right="1653" w:firstLine="482" w:firstLineChars="200"/>
        <w:rPr>
          <w:b/>
          <w:sz w:val="24"/>
        </w:rPr>
      </w:pPr>
      <w:r>
        <w:rPr>
          <w:b/>
          <w:sz w:val="24"/>
        </w:rPr>
        <w:t>9.2</w:t>
      </w:r>
      <w:r>
        <w:rPr>
          <w:b/>
          <w:sz w:val="24"/>
        </w:rPr>
        <w:tab/>
      </w:r>
      <w:r>
        <w:rPr>
          <w:rFonts w:hint="eastAsia"/>
          <w:b/>
          <w:sz w:val="24"/>
        </w:rPr>
        <w:t>园林工程其他施用水</w:t>
      </w:r>
    </w:p>
    <w:p>
      <w:pPr>
        <w:pStyle w:val="58"/>
        <w:tabs>
          <w:tab w:val="left" w:pos="926"/>
        </w:tabs>
        <w:spacing w:line="360" w:lineRule="auto"/>
        <w:ind w:left="0" w:firstLine="480" w:firstLineChars="200"/>
        <w:rPr>
          <w:sz w:val="24"/>
        </w:rPr>
      </w:pPr>
      <w:r>
        <w:rPr>
          <w:sz w:val="24"/>
          <w:lang w:val="en-US"/>
        </w:rPr>
        <w:t>9.2.1</w:t>
      </w:r>
      <w:r>
        <w:rPr>
          <w:rFonts w:hint="eastAsia"/>
          <w:sz w:val="24"/>
        </w:rPr>
        <w:t>园林建筑工程、小品工程施工用水应该符合相关专业工程的规范要求。</w:t>
      </w:r>
      <w:r>
        <w:rPr>
          <w:sz w:val="24"/>
        </w:rPr>
        <w:t xml:space="preserve"> </w:t>
      </w:r>
    </w:p>
    <w:p>
      <w:pPr>
        <w:pStyle w:val="58"/>
        <w:tabs>
          <w:tab w:val="left" w:pos="926"/>
        </w:tabs>
        <w:spacing w:line="360" w:lineRule="auto"/>
        <w:ind w:left="0" w:right="1653" w:firstLine="480" w:firstLineChars="200"/>
        <w:rPr>
          <w:sz w:val="24"/>
          <w:szCs w:val="24"/>
        </w:rPr>
      </w:pPr>
      <w:r>
        <w:rPr>
          <w:sz w:val="24"/>
          <w:szCs w:val="24"/>
          <w:lang w:val="en-US"/>
        </w:rPr>
        <w:t>9.2.2</w:t>
      </w:r>
      <w:r>
        <w:rPr>
          <w:rFonts w:hint="eastAsia"/>
          <w:sz w:val="24"/>
          <w:szCs w:val="24"/>
        </w:rPr>
        <w:t>园林工程景观用水，如喷泉、水池、溪流、湖泊等，应该符合«城市再生水利用景观环境用水水质»</w:t>
      </w:r>
      <w:r>
        <w:rPr>
          <w:sz w:val="24"/>
          <w:szCs w:val="24"/>
        </w:rPr>
        <w:t xml:space="preserve">GBT18921-2002 </w:t>
      </w:r>
      <w:r>
        <w:rPr>
          <w:rFonts w:hint="eastAsia"/>
          <w:sz w:val="24"/>
          <w:szCs w:val="24"/>
        </w:rPr>
        <w:t>的要求。</w:t>
      </w:r>
      <w:r>
        <w:rPr>
          <w:sz w:val="24"/>
          <w:szCs w:val="24"/>
        </w:rPr>
        <w:t xml:space="preserve"> </w:t>
      </w:r>
    </w:p>
    <w:p>
      <w:pPr>
        <w:pStyle w:val="58"/>
        <w:tabs>
          <w:tab w:val="left" w:pos="926"/>
        </w:tabs>
        <w:spacing w:line="360" w:lineRule="auto"/>
        <w:ind w:left="0" w:firstLine="480" w:firstLineChars="200"/>
        <w:rPr>
          <w:sz w:val="24"/>
        </w:rPr>
      </w:pPr>
      <w:r>
        <w:rPr>
          <w:sz w:val="24"/>
          <w:lang w:val="en-US"/>
        </w:rPr>
        <w:t>9.2.3</w:t>
      </w:r>
      <w:r>
        <w:rPr>
          <w:rFonts w:hint="eastAsia"/>
          <w:sz w:val="24"/>
        </w:rPr>
        <w:t>施工现场具备的饮用水和非饮用水应该标志清晰。</w:t>
      </w:r>
      <w:r>
        <w:rPr>
          <w:sz w:val="24"/>
        </w:rPr>
        <w:t xml:space="preserve"> </w:t>
      </w:r>
    </w:p>
    <w:p>
      <w:pPr>
        <w:pStyle w:val="7"/>
        <w:spacing w:line="360" w:lineRule="auto"/>
        <w:ind w:left="324" w:firstLine="0"/>
        <w:rPr>
          <w:rFonts w:ascii="宋体" w:hAnsi="宋体" w:eastAsia="宋体" w:cs="宋体"/>
        </w:rPr>
      </w:pPr>
      <w:r>
        <w:rPr>
          <w:rFonts w:ascii="宋体" w:hAnsi="宋体" w:eastAsia="宋体" w:cs="宋体"/>
        </w:rPr>
        <w:t xml:space="preserve">9.3 </w:t>
      </w:r>
      <w:r>
        <w:rPr>
          <w:rFonts w:hint="eastAsia" w:ascii="宋体" w:hAnsi="宋体" w:eastAsia="宋体" w:cs="宋体"/>
        </w:rPr>
        <w:t>园林用水的其他要求：</w:t>
      </w:r>
    </w:p>
    <w:p>
      <w:pPr>
        <w:pStyle w:val="7"/>
        <w:tabs>
          <w:tab w:val="left" w:pos="688"/>
        </w:tabs>
        <w:spacing w:line="360" w:lineRule="auto"/>
        <w:ind w:left="0" w:firstLine="241" w:firstLineChars="100"/>
        <w:rPr>
          <w:rFonts w:ascii="宋体" w:hAnsi="宋体" w:eastAsia="宋体" w:cs="宋体"/>
          <w:b w:val="0"/>
        </w:rPr>
      </w:pPr>
      <w:r>
        <w:rPr>
          <w:rFonts w:ascii="宋体" w:hAnsi="宋体" w:eastAsia="宋体" w:cs="宋体"/>
          <w:lang w:val="en-US"/>
        </w:rPr>
        <w:t>10.</w:t>
      </w:r>
      <w:r>
        <w:rPr>
          <w:rFonts w:hint="eastAsia" w:ascii="宋体" w:hAnsi="宋体" w:eastAsia="宋体" w:cs="宋体"/>
        </w:rPr>
        <w:t>样品和材料代换</w:t>
      </w:r>
    </w:p>
    <w:p>
      <w:pPr>
        <w:pStyle w:val="7"/>
        <w:spacing w:line="360" w:lineRule="auto"/>
        <w:ind w:left="0" w:firstLine="241" w:firstLineChars="100"/>
        <w:rPr>
          <w:rFonts w:ascii="宋体" w:hAnsi="宋体" w:eastAsia="宋体" w:cs="宋体"/>
        </w:rPr>
      </w:pPr>
      <w:r>
        <w:rPr>
          <w:rFonts w:ascii="宋体" w:hAnsi="宋体" w:eastAsia="宋体" w:cs="宋体"/>
          <w:lang w:val="en-US"/>
        </w:rPr>
        <w:t>10.1</w:t>
      </w:r>
      <w:r>
        <w:rPr>
          <w:rFonts w:hint="eastAsia" w:ascii="宋体" w:hAnsi="宋体" w:eastAsia="宋体" w:cs="宋体"/>
          <w:lang w:val="en-US"/>
        </w:rPr>
        <w:t>样品</w:t>
      </w:r>
    </w:p>
    <w:p>
      <w:pPr>
        <w:pStyle w:val="18"/>
        <w:spacing w:line="360" w:lineRule="auto"/>
        <w:ind w:right="1521" w:firstLine="448" w:firstLineChars="200"/>
        <w:jc w:val="both"/>
      </w:pPr>
      <w:r>
        <w:rPr>
          <w:rFonts w:hint="eastAsia"/>
          <w:spacing w:val="-8"/>
        </w:rPr>
        <w:t>用于园林绿化工程重要景点的大规格苗木、珍贵种子种苗、大规格景石、景观灯具、</w:t>
      </w:r>
      <w:r>
        <w:rPr>
          <w:rFonts w:hint="eastAsia"/>
          <w:spacing w:val="-2"/>
        </w:rPr>
        <w:t>铺装面材等材料，应在移植或施工前进行送样</w:t>
      </w:r>
      <w:r>
        <w:rPr>
          <w:rFonts w:hint="eastAsia"/>
        </w:rPr>
        <w:t>（</w:t>
      </w:r>
      <w:r>
        <w:rPr>
          <w:rFonts w:hint="eastAsia"/>
          <w:spacing w:val="-2"/>
        </w:rPr>
        <w:t>实物或照片，以及其他相关资料</w:t>
      </w:r>
      <w:r>
        <w:rPr>
          <w:rFonts w:hint="eastAsia"/>
          <w:spacing w:val="-128"/>
        </w:rPr>
        <w:t>）</w:t>
      </w:r>
      <w:r>
        <w:rPr>
          <w:rFonts w:hint="eastAsia"/>
          <w:spacing w:val="-8"/>
        </w:rPr>
        <w:t>，</w:t>
      </w:r>
      <w:r>
        <w:rPr>
          <w:rFonts w:hint="eastAsia"/>
        </w:rPr>
        <w:t>报请监理人、设计单位、发包人审定。</w:t>
      </w:r>
    </w:p>
    <w:p>
      <w:pPr>
        <w:pStyle w:val="58"/>
        <w:numPr>
          <w:ilvl w:val="2"/>
          <w:numId w:val="13"/>
        </w:numPr>
        <w:tabs>
          <w:tab w:val="left" w:pos="1045"/>
        </w:tabs>
        <w:spacing w:line="360" w:lineRule="auto"/>
        <w:ind w:hanging="721"/>
        <w:jc w:val="both"/>
        <w:rPr>
          <w:sz w:val="24"/>
        </w:rPr>
      </w:pPr>
      <w:r>
        <w:rPr>
          <w:rFonts w:hint="eastAsia"/>
          <w:sz w:val="24"/>
        </w:rPr>
        <w:t>本工程需要提供的选样苗木类别或苗木名称如下：</w:t>
      </w:r>
    </w:p>
    <w:p>
      <w:pPr>
        <w:pStyle w:val="18"/>
        <w:spacing w:line="360" w:lineRule="auto"/>
        <w:ind w:firstLine="240" w:firstLineChars="100"/>
      </w:pPr>
      <w:r>
        <w:rPr>
          <w:rFonts w:hint="eastAsia"/>
        </w:rPr>
        <w:t>本工程需要承包人提供样品的其他材料和工程设备如下：</w:t>
      </w:r>
    </w:p>
    <w:p>
      <w:pPr>
        <w:pStyle w:val="58"/>
        <w:tabs>
          <w:tab w:val="left" w:pos="1045"/>
        </w:tabs>
        <w:spacing w:line="360" w:lineRule="auto"/>
        <w:ind w:left="0" w:right="1639" w:firstLine="240" w:firstLineChars="100"/>
        <w:jc w:val="both"/>
        <w:rPr>
          <w:sz w:val="24"/>
        </w:rPr>
      </w:pPr>
      <w:r>
        <w:rPr>
          <w:sz w:val="24"/>
          <w:lang w:val="en-US"/>
        </w:rPr>
        <w:t xml:space="preserve">10.1.2 </w:t>
      </w:r>
      <w:r>
        <w:rPr>
          <w:rFonts w:hint="eastAsia"/>
          <w:sz w:val="24"/>
        </w:rPr>
        <w:t>对于本款第</w:t>
      </w:r>
      <w:r>
        <w:rPr>
          <w:sz w:val="24"/>
        </w:rPr>
        <w:t xml:space="preserve"> 10.1.1 </w:t>
      </w:r>
      <w:r>
        <w:rPr>
          <w:rFonts w:hint="eastAsia"/>
          <w:sz w:val="24"/>
        </w:rPr>
        <w:t>项约</w:t>
      </w:r>
      <w:r>
        <w:rPr>
          <w:rFonts w:hint="eastAsia"/>
          <w:spacing w:val="-3"/>
          <w:sz w:val="24"/>
        </w:rPr>
        <w:t>定的苗木承包人应按照合同约定的期限，向监理人提</w:t>
      </w:r>
      <w:r>
        <w:rPr>
          <w:rFonts w:hint="eastAsia"/>
          <w:spacing w:val="-5"/>
          <w:sz w:val="24"/>
        </w:rPr>
        <w:t>交样品或照片，并附必要的说明文件，种子种苗需标明种子种苗名称、规格、种子</w:t>
      </w:r>
      <w:r>
        <w:rPr>
          <w:rFonts w:hint="eastAsia"/>
          <w:spacing w:val="-6"/>
          <w:sz w:val="24"/>
        </w:rPr>
        <w:t>种苗所在地、拟使用区域、设计或合同要求等，并附“两证一签”是指：种子种苗</w:t>
      </w:r>
      <w:r>
        <w:rPr>
          <w:rFonts w:hint="eastAsia"/>
          <w:sz w:val="24"/>
        </w:rPr>
        <w:t>的生产经营许可证、检疫证和标签；</w:t>
      </w:r>
    </w:p>
    <w:p>
      <w:pPr>
        <w:pStyle w:val="18"/>
        <w:spacing w:line="360" w:lineRule="auto"/>
        <w:ind w:right="1638" w:firstLine="468" w:firstLineChars="200"/>
        <w:jc w:val="both"/>
        <w:rPr>
          <w:spacing w:val="-3"/>
          <w:szCs w:val="22"/>
        </w:rPr>
      </w:pPr>
      <w:r>
        <w:rPr>
          <w:rFonts w:hint="eastAsia"/>
          <w:spacing w:val="-3"/>
          <w:szCs w:val="22"/>
        </w:rPr>
        <w:t>对于本款第</w:t>
      </w:r>
      <w:r>
        <w:rPr>
          <w:spacing w:val="-3"/>
          <w:szCs w:val="22"/>
        </w:rPr>
        <w:t xml:space="preserve"> 10.1.1 </w:t>
      </w:r>
      <w:r>
        <w:rPr>
          <w:rFonts w:hint="eastAsia"/>
          <w:spacing w:val="-3"/>
          <w:szCs w:val="22"/>
        </w:rPr>
        <w:t>项约定的其他材料和工程设备，应按照合同条款约定的期限，向监理人提交样品或样品照片，并提供生产（制造）许可证书、出厂合格证明或者证书、出厂检测报告、性能介绍、使用说明等相关资料，同时注明材料和工程设备的供货人及品种、规格、数量和供货时间等，以供检验和审批。</w:t>
      </w:r>
    </w:p>
    <w:p>
      <w:pPr>
        <w:pStyle w:val="18"/>
        <w:spacing w:line="360" w:lineRule="auto"/>
        <w:ind w:right="1638" w:firstLine="468" w:firstLineChars="200"/>
        <w:jc w:val="both"/>
        <w:rPr>
          <w:spacing w:val="-3"/>
          <w:szCs w:val="22"/>
        </w:rPr>
      </w:pPr>
      <w:r>
        <w:rPr>
          <w:rFonts w:hint="eastAsia"/>
          <w:spacing w:val="-3"/>
          <w:szCs w:val="22"/>
        </w:rPr>
        <w:t>样品送达的地点和样品的数量或尺寸应符合监理人和发包人的要求。除合同另有约定外，承包人在报送任何样品时应按监理人同意的格式填写并递交样品报送单。监理人应及时签收样品。</w:t>
      </w:r>
    </w:p>
    <w:p>
      <w:pPr>
        <w:pStyle w:val="58"/>
        <w:tabs>
          <w:tab w:val="left" w:pos="1045"/>
        </w:tabs>
        <w:spacing w:line="360" w:lineRule="auto"/>
        <w:ind w:left="0" w:right="1640" w:firstLine="468" w:firstLineChars="200"/>
        <w:jc w:val="both"/>
        <w:rPr>
          <w:sz w:val="24"/>
        </w:rPr>
      </w:pPr>
      <w:r>
        <w:rPr>
          <w:spacing w:val="-3"/>
          <w:sz w:val="24"/>
          <w:lang w:val="en-US"/>
        </w:rPr>
        <w:t>10.1.3</w:t>
      </w:r>
      <w:r>
        <w:rPr>
          <w:rFonts w:hint="eastAsia"/>
          <w:spacing w:val="-3"/>
          <w:sz w:val="24"/>
        </w:rPr>
        <w:t>合同条款约定的依法不需要招标的、以暂估价形式包括在工程量清单中的材</w:t>
      </w:r>
      <w:r>
        <w:rPr>
          <w:rFonts w:hint="eastAsia"/>
          <w:spacing w:val="-6"/>
          <w:sz w:val="24"/>
        </w:rPr>
        <w:t>料和工程设备，所附资料除本款第</w:t>
      </w:r>
      <w:r>
        <w:rPr>
          <w:spacing w:val="-6"/>
          <w:sz w:val="24"/>
        </w:rPr>
        <w:t xml:space="preserve"> </w:t>
      </w:r>
      <w:r>
        <w:rPr>
          <w:sz w:val="24"/>
        </w:rPr>
        <w:t xml:space="preserve">10.1.2 </w:t>
      </w:r>
      <w:r>
        <w:rPr>
          <w:rFonts w:hint="eastAsia"/>
          <w:spacing w:val="-3"/>
          <w:sz w:val="24"/>
        </w:rPr>
        <w:t>项约定的内容外，还应附上价格资料，每</w:t>
      </w:r>
      <w:r>
        <w:rPr>
          <w:rFonts w:hint="eastAsia"/>
          <w:spacing w:val="-6"/>
          <w:sz w:val="24"/>
        </w:rPr>
        <w:t>一类材料设备，至少应准备符合合同要求的三个产品，价格分高、中、低三档，以</w:t>
      </w:r>
      <w:r>
        <w:rPr>
          <w:rFonts w:hint="eastAsia"/>
          <w:sz w:val="24"/>
        </w:rPr>
        <w:t>便监理人和发包人选择和批准。</w:t>
      </w:r>
    </w:p>
    <w:p>
      <w:pPr>
        <w:pStyle w:val="58"/>
        <w:tabs>
          <w:tab w:val="left" w:pos="1045"/>
        </w:tabs>
        <w:spacing w:line="360" w:lineRule="auto"/>
        <w:ind w:left="0" w:right="1640" w:firstLine="460" w:firstLineChars="200"/>
        <w:jc w:val="both"/>
        <w:rPr>
          <w:spacing w:val="-6"/>
          <w:sz w:val="24"/>
        </w:rPr>
      </w:pPr>
      <w:r>
        <w:rPr>
          <w:spacing w:val="-5"/>
          <w:sz w:val="24"/>
          <w:lang w:val="en-US"/>
        </w:rPr>
        <w:t>10.1.4</w:t>
      </w:r>
      <w:r>
        <w:rPr>
          <w:rFonts w:hint="eastAsia"/>
          <w:spacing w:val="-5"/>
          <w:sz w:val="24"/>
        </w:rPr>
        <w:t>监理人应在收到承包人报送的样品后</w:t>
      </w:r>
      <w:r>
        <w:rPr>
          <w:spacing w:val="-5"/>
          <w:sz w:val="24"/>
        </w:rPr>
        <w:t xml:space="preserve"> </w:t>
      </w:r>
      <w:r>
        <w:rPr>
          <w:sz w:val="24"/>
        </w:rPr>
        <w:t>7</w:t>
      </w:r>
      <w:r>
        <w:rPr>
          <w:rFonts w:hint="eastAsia"/>
          <w:spacing w:val="-1"/>
          <w:sz w:val="24"/>
        </w:rPr>
        <w:t>天内转呈发包人并附上监理人的书面</w:t>
      </w:r>
      <w:r>
        <w:rPr>
          <w:rFonts w:hint="eastAsia"/>
          <w:spacing w:val="-7"/>
          <w:sz w:val="24"/>
        </w:rPr>
        <w:t>审批意见。发包人在收到通过监理人转交的样品以及监理人的审批意见后</w:t>
      </w:r>
      <w:r>
        <w:rPr>
          <w:spacing w:val="-7"/>
          <w:sz w:val="24"/>
        </w:rPr>
        <w:t xml:space="preserve"> </w:t>
      </w:r>
      <w:r>
        <w:rPr>
          <w:sz w:val="24"/>
        </w:rPr>
        <w:t xml:space="preserve">7 </w:t>
      </w:r>
      <w:r>
        <w:rPr>
          <w:rFonts w:hint="eastAsia"/>
          <w:spacing w:val="-6"/>
          <w:sz w:val="24"/>
        </w:rPr>
        <w:t>天内就</w:t>
      </w:r>
    </w:p>
    <w:p>
      <w:pPr>
        <w:pStyle w:val="18"/>
        <w:spacing w:line="360" w:lineRule="auto"/>
        <w:ind w:right="1640"/>
        <w:jc w:val="both"/>
      </w:pPr>
      <w:r>
        <w:rPr>
          <w:rFonts w:hint="eastAsia"/>
          <w:spacing w:val="-1"/>
        </w:rPr>
        <w:t>此样品给出书面批复。监理人应在收到样品后</w:t>
      </w:r>
      <w:r>
        <w:rPr>
          <w:spacing w:val="-1"/>
        </w:rPr>
        <w:t xml:space="preserve"> </w:t>
      </w:r>
      <w:r>
        <w:t>21</w:t>
      </w:r>
      <w:r>
        <w:rPr>
          <w:rFonts w:hint="eastAsia"/>
          <w:spacing w:val="-2"/>
        </w:rPr>
        <w:t>天内通知承包人他相关样品所做</w:t>
      </w:r>
      <w:r>
        <w:rPr>
          <w:rFonts w:hint="eastAsia"/>
        </w:rPr>
        <w:t>出的决定或指示</w:t>
      </w:r>
      <w:r>
        <w:rPr>
          <w:rFonts w:hint="eastAsia"/>
          <w:spacing w:val="4"/>
        </w:rPr>
        <w:t>（</w:t>
      </w:r>
      <w:r>
        <w:rPr>
          <w:rFonts w:hint="eastAsia"/>
        </w:rPr>
        <w:t>同时抄送一份给发包人</w:t>
      </w:r>
      <w:r>
        <w:rPr>
          <w:rFonts w:hint="eastAsia"/>
          <w:spacing w:val="-118"/>
        </w:rPr>
        <w:t>）</w:t>
      </w:r>
      <w:r>
        <w:rPr>
          <w:rFonts w:hint="eastAsia"/>
        </w:rPr>
        <w:t>。承包人应根据监理人的书面批复和指</w:t>
      </w:r>
      <w:r>
        <w:rPr>
          <w:rFonts w:hint="eastAsia"/>
          <w:spacing w:val="-1"/>
        </w:rPr>
        <w:t>示相应地进行下一步工作。如果监理人未能在承包人报送样品后</w:t>
      </w:r>
      <w:r>
        <w:rPr>
          <w:spacing w:val="-1"/>
        </w:rPr>
        <w:t xml:space="preserve"> </w:t>
      </w:r>
      <w:r>
        <w:t>21</w:t>
      </w:r>
      <w:r>
        <w:rPr>
          <w:rFonts w:hint="eastAsia"/>
          <w:spacing w:val="-3"/>
        </w:rPr>
        <w:t>天内给出书面</w:t>
      </w:r>
      <w:r>
        <w:rPr>
          <w:rFonts w:hint="eastAsia"/>
          <w:spacing w:val="-1"/>
        </w:rPr>
        <w:t>批复，承包人应就此通知监理人，要求尽快批复。如果发包人在收到此类通知后</w:t>
      </w:r>
      <w:r>
        <w:rPr>
          <w:spacing w:val="-1"/>
        </w:rPr>
        <w:t xml:space="preserve"> </w:t>
      </w:r>
      <w:r>
        <w:t>7</w:t>
      </w:r>
      <w:r>
        <w:rPr>
          <w:rFonts w:hint="eastAsia"/>
        </w:rPr>
        <w:t>天内仍未对样品进行批复，则视为监理人和发包人已经批准。</w:t>
      </w:r>
    </w:p>
    <w:p>
      <w:pPr>
        <w:pStyle w:val="58"/>
        <w:tabs>
          <w:tab w:val="left" w:pos="1045"/>
        </w:tabs>
        <w:spacing w:line="360" w:lineRule="auto"/>
        <w:ind w:left="0" w:right="1641" w:firstLine="468" w:firstLineChars="200"/>
        <w:jc w:val="both"/>
        <w:rPr>
          <w:sz w:val="24"/>
        </w:rPr>
      </w:pPr>
      <w:r>
        <w:rPr>
          <w:spacing w:val="-3"/>
          <w:sz w:val="24"/>
          <w:lang w:val="en-US"/>
        </w:rPr>
        <w:t>10.1.5</w:t>
      </w:r>
      <w:r>
        <w:rPr>
          <w:rFonts w:hint="eastAsia"/>
          <w:spacing w:val="-3"/>
          <w:sz w:val="24"/>
        </w:rPr>
        <w:t>得到批准后的样品由监理人负责存放，但承包人应为保存样品提供适当和固</w:t>
      </w:r>
      <w:r>
        <w:rPr>
          <w:rFonts w:hint="eastAsia"/>
          <w:sz w:val="24"/>
        </w:rPr>
        <w:t>定的场所并保持适当和良好的环境条件。</w:t>
      </w:r>
    </w:p>
    <w:p>
      <w:pPr>
        <w:pStyle w:val="58"/>
        <w:tabs>
          <w:tab w:val="left" w:pos="1045"/>
        </w:tabs>
        <w:spacing w:line="360" w:lineRule="auto"/>
        <w:ind w:left="0" w:firstLine="480" w:firstLineChars="200"/>
        <w:jc w:val="both"/>
        <w:rPr>
          <w:sz w:val="24"/>
        </w:rPr>
      </w:pPr>
      <w:r>
        <w:rPr>
          <w:sz w:val="24"/>
          <w:lang w:val="en-US"/>
        </w:rPr>
        <w:t>10.1.6</w:t>
      </w:r>
      <w:r>
        <w:rPr>
          <w:rFonts w:hint="eastAsia"/>
          <w:sz w:val="24"/>
        </w:rPr>
        <w:t>提供样品和提供存放样品场所的费用由承包人承担。</w:t>
      </w:r>
    </w:p>
    <w:p>
      <w:pPr>
        <w:pStyle w:val="58"/>
        <w:tabs>
          <w:tab w:val="left" w:pos="1045"/>
        </w:tabs>
        <w:spacing w:line="360" w:lineRule="auto"/>
        <w:ind w:left="0" w:right="1640" w:firstLine="480" w:firstLineChars="200"/>
        <w:jc w:val="both"/>
        <w:rPr>
          <w:sz w:val="24"/>
        </w:rPr>
      </w:pPr>
      <w:r>
        <w:rPr>
          <w:sz w:val="24"/>
          <w:lang w:val="en-US"/>
        </w:rPr>
        <w:t>10.1.7</w:t>
      </w:r>
      <w:r>
        <w:rPr>
          <w:rFonts w:hint="eastAsia"/>
          <w:spacing w:val="-5"/>
          <w:sz w:val="24"/>
        </w:rPr>
        <w:t>如果任何后继法律、法规、规章、规范、标准和规程等等禁止使用合同中约</w:t>
      </w:r>
      <w:r>
        <w:rPr>
          <w:rFonts w:hint="eastAsia"/>
          <w:spacing w:val="-4"/>
          <w:sz w:val="24"/>
        </w:rPr>
        <w:t>定的材料和工程设备，承包人应当按本款约定的程序使用其他替代品来实施工程或</w:t>
      </w:r>
      <w:r>
        <w:rPr>
          <w:rFonts w:hint="eastAsia"/>
          <w:spacing w:val="-6"/>
          <w:sz w:val="24"/>
        </w:rPr>
        <w:t>修补缺陷。监理人对使用替代品的批准以及承包人据此使用替代品不应减免合同约</w:t>
      </w:r>
      <w:r>
        <w:rPr>
          <w:rFonts w:hint="eastAsia"/>
          <w:sz w:val="24"/>
        </w:rPr>
        <w:t>定的承包人的任何责任和义务。</w:t>
      </w:r>
    </w:p>
    <w:p>
      <w:pPr>
        <w:pStyle w:val="7"/>
        <w:spacing w:line="360" w:lineRule="auto"/>
        <w:ind w:left="0" w:firstLine="199" w:firstLineChars="100"/>
        <w:rPr>
          <w:rFonts w:ascii="宋体" w:hAnsi="宋体" w:eastAsia="宋体" w:cs="宋体"/>
        </w:rPr>
      </w:pPr>
      <w:r>
        <w:rPr>
          <w:rFonts w:ascii="宋体" w:hAnsi="宋体" w:eastAsia="宋体" w:cs="宋体"/>
          <w:spacing w:val="2"/>
          <w:w w:val="81"/>
        </w:rPr>
        <w:t>1</w:t>
      </w:r>
      <w:r>
        <w:rPr>
          <w:rFonts w:ascii="宋体" w:hAnsi="宋体" w:eastAsia="宋体" w:cs="宋体"/>
          <w:w w:val="81"/>
        </w:rPr>
        <w:t>0</w:t>
      </w:r>
      <w:r>
        <w:rPr>
          <w:rFonts w:ascii="宋体" w:hAnsi="宋体" w:eastAsia="宋体" w:cs="宋体"/>
          <w:spacing w:val="2"/>
          <w:w w:val="175"/>
        </w:rPr>
        <w:t>.</w:t>
      </w:r>
      <w:r>
        <w:rPr>
          <w:rFonts w:ascii="宋体" w:hAnsi="宋体" w:eastAsia="宋体" w:cs="宋体"/>
          <w:w w:val="81"/>
        </w:rPr>
        <w:t>2</w:t>
      </w:r>
      <w:r>
        <w:rPr>
          <w:rFonts w:hint="eastAsia" w:ascii="宋体" w:hAnsi="宋体" w:eastAsia="宋体" w:cs="宋体"/>
        </w:rPr>
        <w:t>材料代换</w:t>
      </w:r>
    </w:p>
    <w:p>
      <w:pPr>
        <w:pStyle w:val="58"/>
        <w:tabs>
          <w:tab w:val="left" w:pos="1045"/>
        </w:tabs>
        <w:spacing w:line="360" w:lineRule="auto"/>
        <w:ind w:left="0" w:right="1641" w:firstLine="460" w:firstLineChars="200"/>
        <w:jc w:val="both"/>
      </w:pPr>
      <w:r>
        <w:rPr>
          <w:rFonts w:hint="eastAsia"/>
          <w:spacing w:val="-5"/>
          <w:sz w:val="24"/>
          <w:szCs w:val="24"/>
        </w:rPr>
        <w:t>如果任何后继法律、法规、规章、规范、标准和规程等等禁止使用合同中约定的材料和工程设备，承包人应当按本款约定的程序使用其他替代品来实施工程或修补缺</w:t>
      </w:r>
      <w:r>
        <w:rPr>
          <w:rFonts w:hint="eastAsia"/>
          <w:spacing w:val="-6"/>
          <w:sz w:val="24"/>
          <w:szCs w:val="24"/>
        </w:rPr>
        <w:t>陷。监理人对使用替代品的批准以及承包人据此使用替代品不应减免合同约定的承</w:t>
      </w:r>
      <w:r>
        <w:rPr>
          <w:rFonts w:hint="eastAsia"/>
          <w:sz w:val="24"/>
          <w:szCs w:val="24"/>
        </w:rPr>
        <w:t>包人的任何责任和义务。</w:t>
      </w:r>
    </w:p>
    <w:p>
      <w:pPr>
        <w:pStyle w:val="7"/>
        <w:tabs>
          <w:tab w:val="left" w:pos="688"/>
        </w:tabs>
        <w:spacing w:line="360" w:lineRule="auto"/>
        <w:ind w:left="0" w:firstLine="241" w:firstLineChars="100"/>
        <w:rPr>
          <w:rFonts w:ascii="宋体" w:hAnsi="宋体" w:eastAsia="宋体" w:cs="宋体"/>
        </w:rPr>
      </w:pPr>
      <w:r>
        <w:rPr>
          <w:rFonts w:ascii="宋体" w:hAnsi="宋体" w:eastAsia="宋体" w:cs="宋体"/>
          <w:lang w:val="en-US"/>
        </w:rPr>
        <w:t>11.</w:t>
      </w:r>
      <w:r>
        <w:rPr>
          <w:rFonts w:hint="eastAsia" w:ascii="宋体" w:hAnsi="宋体" w:eastAsia="宋体" w:cs="宋体"/>
        </w:rPr>
        <w:t>进口材料和工程设备</w:t>
      </w:r>
    </w:p>
    <w:p>
      <w:pPr>
        <w:pStyle w:val="58"/>
        <w:tabs>
          <w:tab w:val="left" w:pos="806"/>
        </w:tabs>
        <w:spacing w:line="360" w:lineRule="auto"/>
        <w:ind w:left="0" w:firstLine="240" w:firstLineChars="100"/>
        <w:rPr>
          <w:sz w:val="24"/>
          <w:szCs w:val="24"/>
        </w:rPr>
      </w:pPr>
      <w:r>
        <w:rPr>
          <w:sz w:val="24"/>
          <w:szCs w:val="24"/>
          <w:lang w:val="en-US"/>
        </w:rPr>
        <w:t>11.1</w:t>
      </w:r>
      <w:r>
        <w:rPr>
          <w:rFonts w:hint="eastAsia"/>
          <w:sz w:val="24"/>
          <w:szCs w:val="24"/>
        </w:rPr>
        <w:t>本工程需要进口的材料和工程设备如下：</w:t>
      </w:r>
      <w:r>
        <w:rPr>
          <w:sz w:val="24"/>
          <w:szCs w:val="24"/>
        </w:rPr>
        <w:t xml:space="preserve"> </w:t>
      </w:r>
    </w:p>
    <w:p>
      <w:pPr>
        <w:pStyle w:val="18"/>
        <w:spacing w:before="7" w:line="360" w:lineRule="auto"/>
      </w:pPr>
    </w:p>
    <w:p>
      <w:pPr>
        <w:pStyle w:val="58"/>
        <w:tabs>
          <w:tab w:val="left" w:pos="849"/>
        </w:tabs>
        <w:spacing w:before="67" w:line="360" w:lineRule="auto"/>
        <w:ind w:left="0" w:right="1644" w:firstLine="241" w:firstLineChars="100"/>
        <w:rPr>
          <w:sz w:val="24"/>
          <w:szCs w:val="24"/>
        </w:rPr>
      </w:pPr>
      <w:r>
        <w:rPr>
          <w:b/>
          <w:bCs/>
          <w:sz w:val="24"/>
          <w:szCs w:val="24"/>
          <w:lang w:val="en-US"/>
        </w:rPr>
        <w:t>11.2</w:t>
      </w:r>
      <w:r>
        <w:rPr>
          <w:rFonts w:hint="eastAsia"/>
          <w:sz w:val="24"/>
          <w:szCs w:val="24"/>
        </w:rPr>
        <w:t>上述进口材料和工程设备采购、进口、报关、清关、商检、境内运输（</w:t>
      </w:r>
      <w:r>
        <w:rPr>
          <w:rFonts w:hint="eastAsia"/>
          <w:spacing w:val="-6"/>
          <w:sz w:val="24"/>
          <w:szCs w:val="24"/>
        </w:rPr>
        <w:t>包括保险</w:t>
      </w:r>
      <w:r>
        <w:rPr>
          <w:rFonts w:hint="eastAsia"/>
          <w:spacing w:val="-120"/>
          <w:sz w:val="24"/>
          <w:szCs w:val="24"/>
        </w:rPr>
        <w:t>）</w:t>
      </w:r>
      <w:r>
        <w:rPr>
          <w:rFonts w:hint="eastAsia"/>
          <w:sz w:val="24"/>
          <w:szCs w:val="24"/>
        </w:rPr>
        <w:t>、保管的责任以及费用承担方式划分如下：</w:t>
      </w:r>
      <w:r>
        <w:rPr>
          <w:sz w:val="24"/>
          <w:szCs w:val="24"/>
        </w:rPr>
        <w:t xml:space="preserve"> </w:t>
      </w:r>
    </w:p>
    <w:p>
      <w:pPr>
        <w:pStyle w:val="7"/>
        <w:tabs>
          <w:tab w:val="left" w:pos="688"/>
        </w:tabs>
        <w:spacing w:line="360" w:lineRule="auto"/>
        <w:ind w:left="0" w:firstLine="241" w:firstLineChars="100"/>
        <w:rPr>
          <w:rFonts w:ascii="宋体" w:hAnsi="宋体" w:eastAsia="宋体" w:cs="宋体"/>
        </w:rPr>
      </w:pPr>
      <w:r>
        <w:rPr>
          <w:rFonts w:ascii="宋体" w:hAnsi="宋体" w:eastAsia="宋体" w:cs="宋体"/>
          <w:lang w:val="en-US"/>
        </w:rPr>
        <w:t>12.</w:t>
      </w:r>
      <w:r>
        <w:rPr>
          <w:rFonts w:hint="eastAsia" w:ascii="宋体" w:hAnsi="宋体" w:eastAsia="宋体" w:cs="宋体"/>
        </w:rPr>
        <w:t>进度管理</w:t>
      </w:r>
    </w:p>
    <w:p>
      <w:pPr>
        <w:pStyle w:val="7"/>
        <w:tabs>
          <w:tab w:val="left" w:pos="1293"/>
        </w:tabs>
        <w:spacing w:line="360" w:lineRule="auto"/>
        <w:ind w:left="-1" w:firstLine="241" w:firstLineChars="100"/>
        <w:rPr>
          <w:rFonts w:ascii="宋体" w:hAnsi="宋体" w:eastAsia="宋体" w:cs="宋体"/>
        </w:rPr>
      </w:pPr>
      <w:r>
        <w:rPr>
          <w:rFonts w:ascii="宋体" w:hAnsi="宋体" w:eastAsia="宋体" w:cs="宋体"/>
          <w:lang w:val="en-US"/>
        </w:rPr>
        <w:t>12.1</w:t>
      </w:r>
      <w:r>
        <w:rPr>
          <w:rFonts w:hint="eastAsia" w:ascii="宋体" w:hAnsi="宋体" w:eastAsia="宋体" w:cs="宋体"/>
        </w:rPr>
        <w:t>园林绿化工程季节性的特点</w:t>
      </w:r>
    </w:p>
    <w:p>
      <w:pPr>
        <w:pStyle w:val="58"/>
        <w:tabs>
          <w:tab w:val="left" w:pos="1526"/>
        </w:tabs>
        <w:spacing w:line="360" w:lineRule="auto"/>
        <w:ind w:left="0" w:right="1521" w:firstLine="476" w:firstLineChars="200"/>
        <w:rPr>
          <w:sz w:val="24"/>
          <w:szCs w:val="24"/>
        </w:rPr>
      </w:pPr>
      <w:r>
        <w:rPr>
          <w:spacing w:val="-1"/>
          <w:sz w:val="24"/>
          <w:szCs w:val="24"/>
          <w:lang w:val="en-US"/>
        </w:rPr>
        <w:t>12.1.1</w:t>
      </w:r>
      <w:r>
        <w:rPr>
          <w:rFonts w:hint="eastAsia"/>
          <w:spacing w:val="-1"/>
          <w:sz w:val="24"/>
          <w:szCs w:val="24"/>
        </w:rPr>
        <w:t>园林绿化用苗种植</w:t>
      </w:r>
      <w:r>
        <w:rPr>
          <w:rFonts w:hint="eastAsia"/>
          <w:sz w:val="24"/>
          <w:szCs w:val="24"/>
        </w:rPr>
        <w:t>（主要指乔木</w:t>
      </w:r>
      <w:r>
        <w:rPr>
          <w:rFonts w:hint="eastAsia"/>
          <w:spacing w:val="-8"/>
          <w:sz w:val="24"/>
          <w:szCs w:val="24"/>
        </w:rPr>
        <w:t>）</w:t>
      </w:r>
      <w:r>
        <w:rPr>
          <w:rFonts w:hint="eastAsia"/>
          <w:spacing w:val="-2"/>
          <w:sz w:val="24"/>
          <w:szCs w:val="24"/>
        </w:rPr>
        <w:t>可以在全年范围内实施施工，花卉、</w:t>
      </w:r>
      <w:r>
        <w:rPr>
          <w:rFonts w:hint="eastAsia"/>
          <w:sz w:val="24"/>
          <w:szCs w:val="24"/>
        </w:rPr>
        <w:t>草本地被、草坪在冬季（</w:t>
      </w:r>
      <w:r>
        <w:rPr>
          <w:sz w:val="24"/>
          <w:szCs w:val="24"/>
        </w:rPr>
        <w:t>11</w:t>
      </w:r>
      <w:r>
        <w:rPr>
          <w:spacing w:val="-40"/>
          <w:sz w:val="24"/>
          <w:szCs w:val="24"/>
        </w:rPr>
        <w:t xml:space="preserve"> </w:t>
      </w:r>
      <w:r>
        <w:rPr>
          <w:rFonts w:hint="eastAsia"/>
          <w:spacing w:val="-40"/>
          <w:sz w:val="24"/>
          <w:szCs w:val="24"/>
        </w:rPr>
        <w:t>月</w:t>
      </w:r>
      <w:r>
        <w:rPr>
          <w:spacing w:val="-40"/>
          <w:sz w:val="24"/>
          <w:szCs w:val="24"/>
        </w:rPr>
        <w:t xml:space="preserve"> </w:t>
      </w:r>
      <w:r>
        <w:rPr>
          <w:sz w:val="24"/>
          <w:szCs w:val="24"/>
        </w:rPr>
        <w:t>15</w:t>
      </w:r>
      <w:r>
        <w:rPr>
          <w:spacing w:val="-20"/>
          <w:sz w:val="24"/>
          <w:szCs w:val="24"/>
        </w:rPr>
        <w:t xml:space="preserve"> </w:t>
      </w:r>
      <w:r>
        <w:rPr>
          <w:rFonts w:hint="eastAsia"/>
          <w:spacing w:val="-20"/>
          <w:sz w:val="24"/>
          <w:szCs w:val="24"/>
        </w:rPr>
        <w:t>日</w:t>
      </w:r>
      <w:r>
        <w:rPr>
          <w:spacing w:val="-20"/>
          <w:sz w:val="24"/>
          <w:szCs w:val="24"/>
        </w:rPr>
        <w:t>-</w:t>
      </w:r>
      <w:r>
        <w:rPr>
          <w:rFonts w:hint="eastAsia"/>
          <w:spacing w:val="-20"/>
          <w:sz w:val="24"/>
          <w:szCs w:val="24"/>
        </w:rPr>
        <w:t>次年</w:t>
      </w:r>
      <w:r>
        <w:rPr>
          <w:spacing w:val="-20"/>
          <w:sz w:val="24"/>
          <w:szCs w:val="24"/>
        </w:rPr>
        <w:t xml:space="preserve"> </w:t>
      </w:r>
      <w:r>
        <w:rPr>
          <w:sz w:val="24"/>
          <w:szCs w:val="24"/>
        </w:rPr>
        <w:t>3</w:t>
      </w:r>
      <w:r>
        <w:rPr>
          <w:spacing w:val="-40"/>
          <w:sz w:val="24"/>
          <w:szCs w:val="24"/>
        </w:rPr>
        <w:t xml:space="preserve"> </w:t>
      </w:r>
      <w:r>
        <w:rPr>
          <w:rFonts w:hint="eastAsia"/>
          <w:spacing w:val="-40"/>
          <w:sz w:val="24"/>
          <w:szCs w:val="24"/>
        </w:rPr>
        <w:t>月</w:t>
      </w:r>
      <w:r>
        <w:rPr>
          <w:spacing w:val="-40"/>
          <w:sz w:val="24"/>
          <w:szCs w:val="24"/>
        </w:rPr>
        <w:t xml:space="preserve"> </w:t>
      </w:r>
      <w:r>
        <w:rPr>
          <w:sz w:val="24"/>
          <w:szCs w:val="24"/>
        </w:rPr>
        <w:t>15</w:t>
      </w:r>
      <w:r>
        <w:rPr>
          <w:spacing w:val="-30"/>
          <w:sz w:val="24"/>
          <w:szCs w:val="24"/>
        </w:rPr>
        <w:t xml:space="preserve"> </w:t>
      </w:r>
      <w:r>
        <w:rPr>
          <w:rFonts w:hint="eastAsia"/>
          <w:spacing w:val="-30"/>
          <w:sz w:val="24"/>
          <w:szCs w:val="24"/>
        </w:rPr>
        <w:t>日</w:t>
      </w:r>
      <w:r>
        <w:rPr>
          <w:rFonts w:hint="eastAsia"/>
          <w:sz w:val="24"/>
          <w:szCs w:val="24"/>
        </w:rPr>
        <w:t>）不能室外实施施工。</w:t>
      </w:r>
      <w:r>
        <w:rPr>
          <w:sz w:val="24"/>
          <w:szCs w:val="24"/>
        </w:rPr>
        <w:t xml:space="preserve"> </w:t>
      </w:r>
    </w:p>
    <w:p>
      <w:pPr>
        <w:pStyle w:val="58"/>
        <w:tabs>
          <w:tab w:val="left" w:pos="1526"/>
        </w:tabs>
        <w:spacing w:line="360" w:lineRule="auto"/>
        <w:ind w:left="0" w:firstLine="480" w:firstLineChars="200"/>
        <w:rPr>
          <w:sz w:val="24"/>
          <w:szCs w:val="24"/>
        </w:rPr>
      </w:pPr>
      <w:r>
        <w:rPr>
          <w:sz w:val="24"/>
          <w:szCs w:val="24"/>
          <w:lang w:val="en-US"/>
        </w:rPr>
        <w:t>12.1.2</w:t>
      </w:r>
      <w:r>
        <w:rPr>
          <w:rFonts w:hint="eastAsia"/>
          <w:sz w:val="24"/>
          <w:szCs w:val="24"/>
        </w:rPr>
        <w:t>正常种植季节有利于树木成活，降低施工成本，保证绿化景观效果。</w:t>
      </w:r>
    </w:p>
    <w:p>
      <w:pPr>
        <w:pStyle w:val="18"/>
        <w:spacing w:line="360" w:lineRule="auto"/>
        <w:ind w:firstLine="480" w:firstLineChars="200"/>
      </w:pPr>
      <w:r>
        <w:rPr>
          <w:rFonts w:hint="eastAsia"/>
        </w:rPr>
        <w:t>正常施工季节如下：</w:t>
      </w:r>
      <w:r>
        <w:t xml:space="preserve"> </w:t>
      </w:r>
    </w:p>
    <w:p>
      <w:pPr>
        <w:pStyle w:val="18"/>
        <w:spacing w:line="360" w:lineRule="auto"/>
        <w:ind w:right="1640" w:firstLine="468" w:firstLineChars="200"/>
      </w:pPr>
      <w:r>
        <w:rPr>
          <w:rFonts w:hint="eastAsia"/>
          <w:spacing w:val="-3"/>
        </w:rPr>
        <w:t>园林绿化种植工程最佳种植时机是春季</w:t>
      </w:r>
      <w:r>
        <w:rPr>
          <w:rFonts w:hint="eastAsia"/>
        </w:rPr>
        <w:t>（</w:t>
      </w:r>
      <w:r>
        <w:t>3</w:t>
      </w:r>
      <w:r>
        <w:rPr>
          <w:spacing w:val="-20"/>
        </w:rPr>
        <w:t xml:space="preserve"> </w:t>
      </w:r>
      <w:r>
        <w:rPr>
          <w:rFonts w:hint="eastAsia"/>
          <w:spacing w:val="-20"/>
        </w:rPr>
        <w:t>月中旬至</w:t>
      </w:r>
      <w:r>
        <w:rPr>
          <w:spacing w:val="-20"/>
        </w:rPr>
        <w:t xml:space="preserve"> </w:t>
      </w:r>
      <w:r>
        <w:t>4</w:t>
      </w:r>
      <w:r>
        <w:rPr>
          <w:spacing w:val="-15"/>
        </w:rPr>
        <w:t xml:space="preserve"> </w:t>
      </w:r>
      <w:r>
        <w:rPr>
          <w:rFonts w:hint="eastAsia"/>
          <w:spacing w:val="-15"/>
        </w:rPr>
        <w:t>月下旬</w:t>
      </w:r>
      <w:r>
        <w:rPr>
          <w:rFonts w:hint="eastAsia"/>
          <w:spacing w:val="-81"/>
        </w:rPr>
        <w:t>）</w:t>
      </w:r>
      <w:r>
        <w:rPr>
          <w:rFonts w:hint="eastAsia"/>
          <w:spacing w:val="-16"/>
        </w:rPr>
        <w:t>，适合大多数树</w:t>
      </w:r>
      <w:r>
        <w:rPr>
          <w:rFonts w:hint="eastAsia"/>
        </w:rPr>
        <w:t>种栽植。</w:t>
      </w:r>
      <w:r>
        <w:t xml:space="preserve"> </w:t>
      </w:r>
    </w:p>
    <w:p>
      <w:pPr>
        <w:pStyle w:val="18"/>
        <w:spacing w:line="360" w:lineRule="auto"/>
        <w:ind w:right="1640" w:firstLine="480" w:firstLineChars="200"/>
      </w:pPr>
      <w:r>
        <w:rPr>
          <w:rFonts w:hint="eastAsia"/>
        </w:rPr>
        <w:t>雨季（</w:t>
      </w:r>
      <w:r>
        <w:t xml:space="preserve">7 </w:t>
      </w:r>
      <w:r>
        <w:rPr>
          <w:rFonts w:hint="eastAsia"/>
        </w:rPr>
        <w:t>月上旬</w:t>
      </w:r>
      <w:r>
        <w:t xml:space="preserve">-8 </w:t>
      </w:r>
      <w:r>
        <w:rPr>
          <w:rFonts w:hint="eastAsia"/>
        </w:rPr>
        <w:t>月下旬）适合常绿树栽植。</w:t>
      </w:r>
      <w:r>
        <w:t xml:space="preserve"> </w:t>
      </w:r>
    </w:p>
    <w:p>
      <w:pPr>
        <w:pStyle w:val="18"/>
        <w:spacing w:line="360" w:lineRule="auto"/>
        <w:ind w:right="1972" w:firstLine="480" w:firstLineChars="200"/>
      </w:pPr>
      <w:r>
        <w:rPr>
          <w:rFonts w:hint="eastAsia"/>
        </w:rPr>
        <w:t>秋末（</w:t>
      </w:r>
      <w:r>
        <w:t xml:space="preserve">10 </w:t>
      </w:r>
      <w:r>
        <w:rPr>
          <w:rFonts w:hint="eastAsia"/>
        </w:rPr>
        <w:t>月下旬至</w:t>
      </w:r>
      <w:r>
        <w:t xml:space="preserve"> 11 </w:t>
      </w:r>
      <w:r>
        <w:rPr>
          <w:rFonts w:hint="eastAsia"/>
        </w:rPr>
        <w:t>月下旬）冬初适合乡土树种（耐寒树种）的栽植。铺种草坪、木本</w:t>
      </w:r>
      <w:r>
        <w:t xml:space="preserve"> (</w:t>
      </w:r>
      <w:r>
        <w:rPr>
          <w:rFonts w:hint="eastAsia"/>
        </w:rPr>
        <w:t>盆移</w:t>
      </w:r>
      <w:r>
        <w:t xml:space="preserve">) </w:t>
      </w:r>
      <w:r>
        <w:rPr>
          <w:rFonts w:hint="eastAsia"/>
        </w:rPr>
        <w:t>花卉、草花适合</w:t>
      </w:r>
      <w:r>
        <w:t xml:space="preserve"> 4 </w:t>
      </w:r>
      <w:r>
        <w:rPr>
          <w:rFonts w:hint="eastAsia"/>
        </w:rPr>
        <w:t>月下旬</w:t>
      </w:r>
      <w:r>
        <w:t xml:space="preserve">-9 </w:t>
      </w:r>
      <w:r>
        <w:rPr>
          <w:rFonts w:hint="eastAsia"/>
        </w:rPr>
        <w:t>月下旬栽植。</w:t>
      </w:r>
      <w:r>
        <w:t xml:space="preserve"> </w:t>
      </w:r>
    </w:p>
    <w:p>
      <w:pPr>
        <w:pStyle w:val="58"/>
        <w:tabs>
          <w:tab w:val="left" w:pos="1526"/>
        </w:tabs>
        <w:spacing w:line="360" w:lineRule="auto"/>
        <w:ind w:left="0" w:right="1648" w:firstLine="480" w:firstLineChars="200"/>
        <w:rPr>
          <w:sz w:val="24"/>
          <w:szCs w:val="24"/>
        </w:rPr>
      </w:pPr>
      <w:r>
        <w:rPr>
          <w:sz w:val="24"/>
          <w:szCs w:val="24"/>
          <w:lang w:val="en-US"/>
        </w:rPr>
        <w:t>12.1.3</w:t>
      </w:r>
      <w:r>
        <w:rPr>
          <w:rFonts w:hint="eastAsia"/>
          <w:sz w:val="24"/>
          <w:szCs w:val="24"/>
        </w:rPr>
        <w:t>上述时间以外栽植的属于非正常种植季节栽植，需要采取各种对应的措施，所增加的措施费应该计算在合同单价之中。</w:t>
      </w:r>
      <w:r>
        <w:rPr>
          <w:sz w:val="24"/>
          <w:szCs w:val="24"/>
        </w:rPr>
        <w:t xml:space="preserve"> </w:t>
      </w:r>
    </w:p>
    <w:p>
      <w:pPr>
        <w:pStyle w:val="58"/>
        <w:tabs>
          <w:tab w:val="left" w:pos="1526"/>
        </w:tabs>
        <w:spacing w:line="360" w:lineRule="auto"/>
        <w:ind w:left="0" w:right="1640" w:firstLine="480" w:firstLineChars="200"/>
        <w:jc w:val="both"/>
        <w:rPr>
          <w:sz w:val="24"/>
          <w:szCs w:val="24"/>
        </w:rPr>
      </w:pPr>
      <w:r>
        <w:rPr>
          <w:sz w:val="24"/>
          <w:szCs w:val="24"/>
          <w:lang w:val="en-US"/>
        </w:rPr>
        <w:t>12.1.4</w:t>
      </w:r>
      <w:r>
        <w:rPr>
          <w:rFonts w:hint="eastAsia"/>
          <w:sz w:val="24"/>
          <w:szCs w:val="24"/>
        </w:rPr>
        <w:t>发包人在安排园林绿化工程的设计及施工后招标进度时，需充分考虑</w:t>
      </w:r>
      <w:r>
        <w:rPr>
          <w:rFonts w:hint="eastAsia"/>
          <w:spacing w:val="-1"/>
          <w:sz w:val="24"/>
          <w:szCs w:val="24"/>
        </w:rPr>
        <w:t>绿化种植工程的季节性要求，宜将园林绿化工程的施工期安排在</w:t>
      </w:r>
      <w:r>
        <w:rPr>
          <w:spacing w:val="-1"/>
          <w:sz w:val="24"/>
          <w:szCs w:val="24"/>
        </w:rPr>
        <w:t xml:space="preserve"> </w:t>
      </w:r>
      <w:r>
        <w:rPr>
          <w:sz w:val="24"/>
          <w:szCs w:val="24"/>
        </w:rPr>
        <w:t>12.1.1</w:t>
      </w:r>
      <w:r>
        <w:rPr>
          <w:spacing w:val="-6"/>
          <w:sz w:val="24"/>
          <w:szCs w:val="24"/>
        </w:rPr>
        <w:t xml:space="preserve"> </w:t>
      </w:r>
      <w:r>
        <w:rPr>
          <w:rFonts w:hint="eastAsia"/>
          <w:spacing w:val="-6"/>
          <w:sz w:val="24"/>
          <w:szCs w:val="24"/>
        </w:rPr>
        <w:t>所述正常</w:t>
      </w:r>
      <w:r>
        <w:rPr>
          <w:rFonts w:hint="eastAsia"/>
          <w:spacing w:val="-4"/>
          <w:sz w:val="24"/>
          <w:szCs w:val="24"/>
        </w:rPr>
        <w:t>种植季节之内，这既有利于保证绿化种植成活率及施工后的景观效果，也有利于发包人节约工程成本，降低投资。如发包人确因前期工程及工程投入销售或使用的时</w:t>
      </w:r>
      <w:r>
        <w:rPr>
          <w:rFonts w:hint="eastAsia"/>
          <w:spacing w:val="-5"/>
          <w:sz w:val="24"/>
          <w:szCs w:val="24"/>
        </w:rPr>
        <w:t>间限制，必需在非正常季节进行绿化种植施工，则发包人需在工程投资中按相关技</w:t>
      </w:r>
      <w:r>
        <w:rPr>
          <w:rFonts w:hint="eastAsia"/>
          <w:spacing w:val="2"/>
          <w:sz w:val="24"/>
          <w:szCs w:val="24"/>
        </w:rPr>
        <w:t>术要求增加工程投资额（主要是非正常种植季节施工的措施费</w:t>
      </w:r>
      <w:r>
        <w:rPr>
          <w:rFonts w:hint="eastAsia"/>
          <w:spacing w:val="-116"/>
          <w:sz w:val="24"/>
          <w:szCs w:val="24"/>
        </w:rPr>
        <w:t>）</w:t>
      </w:r>
      <w:r>
        <w:rPr>
          <w:rFonts w:hint="eastAsia"/>
          <w:spacing w:val="2"/>
          <w:sz w:val="24"/>
          <w:szCs w:val="24"/>
        </w:rPr>
        <w:t>，以确保植物成活</w:t>
      </w:r>
      <w:r>
        <w:rPr>
          <w:rFonts w:hint="eastAsia"/>
          <w:sz w:val="24"/>
          <w:szCs w:val="24"/>
        </w:rPr>
        <w:t>率和建成后的景观效果。</w:t>
      </w:r>
      <w:r>
        <w:rPr>
          <w:sz w:val="24"/>
          <w:szCs w:val="24"/>
        </w:rPr>
        <w:t xml:space="preserve"> </w:t>
      </w:r>
    </w:p>
    <w:p>
      <w:pPr>
        <w:pStyle w:val="58"/>
        <w:tabs>
          <w:tab w:val="left" w:pos="1526"/>
        </w:tabs>
        <w:spacing w:line="360" w:lineRule="auto"/>
        <w:ind w:left="0" w:right="1640" w:firstLine="480" w:firstLineChars="200"/>
        <w:jc w:val="both"/>
        <w:rPr>
          <w:sz w:val="24"/>
          <w:szCs w:val="24"/>
        </w:rPr>
      </w:pPr>
      <w:r>
        <w:rPr>
          <w:sz w:val="24"/>
          <w:szCs w:val="24"/>
          <w:lang w:val="en-US"/>
        </w:rPr>
        <w:t>12.1.5</w:t>
      </w:r>
      <w:r>
        <w:rPr>
          <w:rFonts w:hint="eastAsia"/>
          <w:sz w:val="24"/>
          <w:szCs w:val="24"/>
        </w:rPr>
        <w:t>承包人在安排绿化种植工程施工时应首选在蒸腾量小和有利根系恢复</w:t>
      </w:r>
      <w:r>
        <w:rPr>
          <w:rFonts w:hint="eastAsia"/>
          <w:spacing w:val="-4"/>
          <w:sz w:val="24"/>
          <w:szCs w:val="24"/>
        </w:rPr>
        <w:t>生长的季节，非正常种植季节种植，应对苗木提前采取修枝、断根或在适宜季节起</w:t>
      </w:r>
      <w:r>
        <w:rPr>
          <w:rFonts w:hint="eastAsia"/>
          <w:spacing w:val="-5"/>
          <w:sz w:val="24"/>
          <w:szCs w:val="24"/>
        </w:rPr>
        <w:t>苗用容器假植处理。夏</w:t>
      </w:r>
      <w:r>
        <w:rPr>
          <w:rFonts w:hint="eastAsia"/>
          <w:sz w:val="24"/>
          <w:szCs w:val="24"/>
        </w:rPr>
        <w:t>（雨</w:t>
      </w:r>
      <w:r>
        <w:rPr>
          <w:rFonts w:hint="eastAsia"/>
          <w:spacing w:val="-5"/>
          <w:sz w:val="24"/>
          <w:szCs w:val="24"/>
        </w:rPr>
        <w:t>）</w:t>
      </w:r>
      <w:r>
        <w:rPr>
          <w:rFonts w:hint="eastAsia"/>
          <w:spacing w:val="-3"/>
          <w:sz w:val="24"/>
          <w:szCs w:val="24"/>
        </w:rPr>
        <w:t>季应避开中午高温时间，宜选择阴天、小雨天，或当</w:t>
      </w:r>
      <w:r>
        <w:rPr>
          <w:rFonts w:hint="eastAsia"/>
          <w:spacing w:val="-4"/>
          <w:sz w:val="24"/>
          <w:szCs w:val="24"/>
        </w:rPr>
        <w:t>日气温较低时</w:t>
      </w:r>
      <w:r>
        <w:rPr>
          <w:rFonts w:hint="eastAsia"/>
          <w:sz w:val="24"/>
          <w:szCs w:val="24"/>
        </w:rPr>
        <w:t>（</w:t>
      </w:r>
      <w:r>
        <w:rPr>
          <w:rFonts w:hint="eastAsia"/>
          <w:spacing w:val="-3"/>
          <w:sz w:val="24"/>
          <w:szCs w:val="24"/>
        </w:rPr>
        <w:t>清晨、傍晚、夜晚</w:t>
      </w:r>
      <w:r>
        <w:rPr>
          <w:rFonts w:hint="eastAsia"/>
          <w:spacing w:val="-5"/>
          <w:sz w:val="24"/>
          <w:szCs w:val="24"/>
        </w:rPr>
        <w:t>）</w:t>
      </w:r>
      <w:r>
        <w:rPr>
          <w:rFonts w:hint="eastAsia"/>
          <w:spacing w:val="-1"/>
          <w:sz w:val="24"/>
          <w:szCs w:val="24"/>
        </w:rPr>
        <w:t>带土球移植；夏季施工应尽量缩短苗木从掘苗</w:t>
      </w:r>
      <w:r>
        <w:rPr>
          <w:rFonts w:hint="eastAsia"/>
          <w:spacing w:val="-5"/>
          <w:sz w:val="24"/>
          <w:szCs w:val="24"/>
        </w:rPr>
        <w:t>到栽植后浇完第一遍水的间隔时间，并采取根部喷、灌促进生根类激素，遮荫、树</w:t>
      </w:r>
      <w:r>
        <w:rPr>
          <w:rFonts w:hint="eastAsia"/>
          <w:spacing w:val="-15"/>
          <w:sz w:val="24"/>
          <w:szCs w:val="24"/>
        </w:rPr>
        <w:t>冠喷雾、喷施抗蒸腾剂、输营养液等促根、保水措施；冬季栽植应采取树干缠草绳、</w:t>
      </w:r>
      <w:r>
        <w:rPr>
          <w:rFonts w:hint="eastAsia"/>
          <w:sz w:val="24"/>
          <w:szCs w:val="24"/>
        </w:rPr>
        <w:t>覆膜、搭设防风障等保温措施。</w:t>
      </w:r>
      <w:r>
        <w:rPr>
          <w:sz w:val="24"/>
          <w:szCs w:val="24"/>
        </w:rPr>
        <w:t xml:space="preserve"> </w:t>
      </w:r>
    </w:p>
    <w:p>
      <w:pPr>
        <w:pStyle w:val="7"/>
        <w:tabs>
          <w:tab w:val="left" w:pos="1293"/>
        </w:tabs>
        <w:spacing w:line="360" w:lineRule="auto"/>
        <w:ind w:left="0" w:firstLine="482" w:firstLineChars="200"/>
        <w:rPr>
          <w:rFonts w:ascii="宋体" w:hAnsi="宋体" w:eastAsia="宋体" w:cs="宋体"/>
        </w:rPr>
      </w:pPr>
      <w:r>
        <w:rPr>
          <w:rFonts w:ascii="宋体" w:hAnsi="宋体" w:eastAsia="宋体" w:cs="宋体"/>
          <w:lang w:val="en-US"/>
        </w:rPr>
        <w:t>12.2</w:t>
      </w:r>
      <w:r>
        <w:rPr>
          <w:rFonts w:hint="eastAsia" w:ascii="宋体" w:hAnsi="宋体" w:eastAsia="宋体" w:cs="宋体"/>
        </w:rPr>
        <w:t>进度报告</w:t>
      </w:r>
    </w:p>
    <w:p>
      <w:pPr>
        <w:pStyle w:val="58"/>
        <w:tabs>
          <w:tab w:val="left" w:pos="1526"/>
        </w:tabs>
        <w:spacing w:line="360" w:lineRule="auto"/>
        <w:ind w:left="0" w:right="1648" w:firstLine="480" w:firstLineChars="200"/>
        <w:rPr>
          <w:sz w:val="24"/>
          <w:szCs w:val="24"/>
        </w:rPr>
      </w:pPr>
      <w:r>
        <w:rPr>
          <w:sz w:val="24"/>
          <w:szCs w:val="24"/>
          <w:lang w:val="en-US"/>
        </w:rPr>
        <w:t>12.2.1</w:t>
      </w:r>
      <w:r>
        <w:rPr>
          <w:rFonts w:hint="eastAsia"/>
          <w:sz w:val="24"/>
          <w:szCs w:val="24"/>
        </w:rPr>
        <w:t>施工过程中，承包人应向监理人指定的代表按监理人的要求提供日进度报表、周进度报表、月进度报表。</w:t>
      </w:r>
      <w:r>
        <w:rPr>
          <w:sz w:val="24"/>
          <w:szCs w:val="24"/>
        </w:rPr>
        <w:t xml:space="preserve"> </w:t>
      </w:r>
    </w:p>
    <w:p>
      <w:pPr>
        <w:pStyle w:val="58"/>
        <w:tabs>
          <w:tab w:val="left" w:pos="1526"/>
        </w:tabs>
        <w:spacing w:line="360" w:lineRule="auto"/>
        <w:ind w:left="0" w:right="1639" w:firstLine="480" w:firstLineChars="200"/>
        <w:jc w:val="both"/>
        <w:rPr>
          <w:sz w:val="24"/>
          <w:szCs w:val="24"/>
        </w:rPr>
      </w:pPr>
      <w:r>
        <w:rPr>
          <w:sz w:val="24"/>
          <w:szCs w:val="24"/>
          <w:lang w:val="en-US"/>
        </w:rPr>
        <w:t>12.2.2</w:t>
      </w:r>
      <w:r>
        <w:rPr>
          <w:rFonts w:hint="eastAsia"/>
          <w:sz w:val="24"/>
          <w:szCs w:val="24"/>
        </w:rPr>
        <w:t>日和周进度报表的内容应至少包括每日在现场工作的技术管理人员数</w:t>
      </w:r>
      <w:r>
        <w:rPr>
          <w:rFonts w:hint="eastAsia"/>
          <w:spacing w:val="-6"/>
          <w:sz w:val="24"/>
          <w:szCs w:val="24"/>
        </w:rPr>
        <w:t>量、各工种技术工人和非技术工人数量、后勤人员数量、参观现场的人员数量，包</w:t>
      </w:r>
      <w:r>
        <w:rPr>
          <w:rFonts w:hint="eastAsia"/>
          <w:spacing w:val="-4"/>
          <w:sz w:val="24"/>
          <w:szCs w:val="24"/>
        </w:rPr>
        <w:t>括分包人人员数量；还应包括所使用的各种主要机械设备和车辆的型号、数量和台</w:t>
      </w:r>
      <w:r>
        <w:rPr>
          <w:rFonts w:hint="eastAsia"/>
          <w:spacing w:val="-6"/>
          <w:sz w:val="24"/>
          <w:szCs w:val="24"/>
        </w:rPr>
        <w:t>班，工作的区段，以及工程进度情况、天气情况记录、停工、质量和安全事故等特</w:t>
      </w:r>
      <w:r>
        <w:rPr>
          <w:rFonts w:hint="eastAsia"/>
          <w:sz w:val="24"/>
          <w:szCs w:val="24"/>
        </w:rPr>
        <w:t>别事项说明。</w:t>
      </w:r>
      <w:r>
        <w:rPr>
          <w:sz w:val="24"/>
          <w:szCs w:val="24"/>
        </w:rPr>
        <w:t xml:space="preserve">  </w:t>
      </w:r>
    </w:p>
    <w:p>
      <w:pPr>
        <w:pStyle w:val="58"/>
        <w:tabs>
          <w:tab w:val="left" w:pos="1526"/>
        </w:tabs>
        <w:spacing w:line="360" w:lineRule="auto"/>
        <w:ind w:left="0" w:right="1639" w:firstLine="480" w:firstLineChars="200"/>
        <w:jc w:val="both"/>
        <w:rPr>
          <w:sz w:val="24"/>
          <w:szCs w:val="24"/>
        </w:rPr>
      </w:pPr>
      <w:r>
        <w:rPr>
          <w:sz w:val="24"/>
          <w:szCs w:val="24"/>
          <w:lang w:val="en-US"/>
        </w:rPr>
        <w:t>12.2.3</w:t>
      </w:r>
      <w:r>
        <w:rPr>
          <w:rFonts w:hint="eastAsia"/>
          <w:sz w:val="24"/>
          <w:szCs w:val="24"/>
        </w:rPr>
        <w:t>月进度报表应当反映月完成工程量和累计完成工程量（包括永久工程和临时工程</w:t>
      </w:r>
      <w:r>
        <w:rPr>
          <w:rFonts w:hint="eastAsia"/>
          <w:spacing w:val="-118"/>
          <w:sz w:val="24"/>
          <w:szCs w:val="24"/>
        </w:rPr>
        <w:t>）</w:t>
      </w:r>
      <w:r>
        <w:rPr>
          <w:rFonts w:hint="eastAsia"/>
          <w:sz w:val="24"/>
          <w:szCs w:val="24"/>
        </w:rPr>
        <w:t>、材料实际进货、消耗和库存量、现场施工设备的投运数量和运行状况、工程设备的到货情况、劳动力数量</w:t>
      </w:r>
      <w:r>
        <w:rPr>
          <w:rFonts w:hint="eastAsia"/>
          <w:spacing w:val="4"/>
          <w:sz w:val="24"/>
          <w:szCs w:val="24"/>
        </w:rPr>
        <w:t>（</w:t>
      </w:r>
      <w:r>
        <w:rPr>
          <w:rFonts w:hint="eastAsia"/>
          <w:sz w:val="24"/>
          <w:szCs w:val="24"/>
        </w:rPr>
        <w:t>本月及预计未来三个月劳动力的数量</w:t>
      </w:r>
      <w:r>
        <w:rPr>
          <w:rFonts w:hint="eastAsia"/>
          <w:spacing w:val="-118"/>
          <w:sz w:val="24"/>
          <w:szCs w:val="24"/>
        </w:rPr>
        <w:t>）</w:t>
      </w:r>
      <w:r>
        <w:rPr>
          <w:rFonts w:hint="eastAsia"/>
          <w:sz w:val="24"/>
          <w:szCs w:val="24"/>
        </w:rPr>
        <w:t>、</w:t>
      </w:r>
    </w:p>
    <w:p>
      <w:pPr>
        <w:pStyle w:val="18"/>
        <w:spacing w:line="360" w:lineRule="auto"/>
        <w:ind w:right="1640"/>
        <w:jc w:val="both"/>
      </w:pPr>
      <w:r>
        <w:rPr>
          <w:rFonts w:hint="eastAsia"/>
          <w:spacing w:val="-3"/>
        </w:rPr>
        <w:t>当前影响施工进度计划的因素和采取的改进措施、进度计划调整及其说明、质量事</w:t>
      </w:r>
      <w:r>
        <w:rPr>
          <w:rFonts w:hint="eastAsia"/>
          <w:spacing w:val="-4"/>
        </w:rPr>
        <w:t>故和质量缺陷处理纪录、质量状况评价、安全施工措施计划实施情况、安全事故以</w:t>
      </w:r>
      <w:r>
        <w:rPr>
          <w:rFonts w:hint="eastAsia"/>
        </w:rPr>
        <w:t>及人员伤亡和财产损失情况（如果有</w:t>
      </w:r>
      <w:r>
        <w:rPr>
          <w:rFonts w:hint="eastAsia"/>
          <w:spacing w:val="-118"/>
        </w:rPr>
        <w:t>）</w:t>
      </w:r>
      <w:r>
        <w:rPr>
          <w:rFonts w:hint="eastAsia"/>
        </w:rPr>
        <w:t>、环境保护措施实施和文明施工措施实施情况。</w:t>
      </w:r>
      <w:r>
        <w:t xml:space="preserve"> </w:t>
      </w:r>
    </w:p>
    <w:p>
      <w:pPr>
        <w:pStyle w:val="58"/>
        <w:tabs>
          <w:tab w:val="left" w:pos="1526"/>
        </w:tabs>
        <w:spacing w:line="360" w:lineRule="auto"/>
        <w:ind w:left="0" w:right="1641" w:firstLine="480" w:firstLineChars="200"/>
        <w:jc w:val="both"/>
        <w:rPr>
          <w:sz w:val="24"/>
          <w:szCs w:val="24"/>
        </w:rPr>
      </w:pPr>
      <w:r>
        <w:rPr>
          <w:sz w:val="24"/>
          <w:szCs w:val="24"/>
          <w:lang w:val="en-US"/>
        </w:rPr>
        <w:t>12.2.4</w:t>
      </w:r>
      <w:r>
        <w:rPr>
          <w:rFonts w:hint="eastAsia"/>
          <w:sz w:val="24"/>
          <w:szCs w:val="24"/>
        </w:rPr>
        <w:t>月进度报告还应附有一组充分显示工程形象进度的定点摄影照片。照</w:t>
      </w:r>
      <w:r>
        <w:rPr>
          <w:rFonts w:hint="eastAsia"/>
          <w:spacing w:val="-3"/>
          <w:sz w:val="24"/>
          <w:szCs w:val="24"/>
        </w:rPr>
        <w:t>片应当在经监理人批准的不同位置定期拍摄，每张照片都应标上相应的拍摄日期和</w:t>
      </w:r>
      <w:r>
        <w:rPr>
          <w:rFonts w:hint="eastAsia"/>
          <w:sz w:val="24"/>
          <w:szCs w:val="24"/>
        </w:rPr>
        <w:t>简要文字说明，且应用经发包人和监理人批准的标准或格式装裱后呈交。</w:t>
      </w:r>
      <w:r>
        <w:rPr>
          <w:sz w:val="24"/>
          <w:szCs w:val="24"/>
        </w:rPr>
        <w:t xml:space="preserve"> </w:t>
      </w:r>
    </w:p>
    <w:p>
      <w:pPr>
        <w:pStyle w:val="58"/>
        <w:tabs>
          <w:tab w:val="left" w:pos="1526"/>
        </w:tabs>
        <w:spacing w:line="360" w:lineRule="auto"/>
        <w:ind w:left="0" w:right="1648" w:firstLine="480" w:firstLineChars="200"/>
        <w:rPr>
          <w:sz w:val="24"/>
          <w:szCs w:val="24"/>
        </w:rPr>
      </w:pPr>
      <w:r>
        <w:rPr>
          <w:sz w:val="24"/>
          <w:szCs w:val="24"/>
          <w:lang w:val="en-US"/>
        </w:rPr>
        <w:t>12.2.5</w:t>
      </w:r>
      <w:r>
        <w:rPr>
          <w:rFonts w:hint="eastAsia"/>
          <w:sz w:val="24"/>
          <w:szCs w:val="24"/>
        </w:rPr>
        <w:t>各个进度报表的格式和内容应经过监理人的审批。进度报表应如实填写，由承包人授权代表签名，并报监理人的指定代表签名确认后再行分发。</w:t>
      </w:r>
      <w:r>
        <w:rPr>
          <w:sz w:val="24"/>
          <w:szCs w:val="24"/>
        </w:rPr>
        <w:t xml:space="preserve"> </w:t>
      </w:r>
    </w:p>
    <w:p>
      <w:pPr>
        <w:pStyle w:val="58"/>
        <w:tabs>
          <w:tab w:val="left" w:pos="1526"/>
        </w:tabs>
        <w:spacing w:line="360" w:lineRule="auto"/>
        <w:ind w:left="0" w:right="1641" w:firstLine="480" w:firstLineChars="200"/>
        <w:jc w:val="both"/>
        <w:rPr>
          <w:sz w:val="24"/>
          <w:szCs w:val="24"/>
        </w:rPr>
      </w:pPr>
      <w:r>
        <w:rPr>
          <w:sz w:val="24"/>
          <w:szCs w:val="24"/>
          <w:lang w:val="en-US"/>
        </w:rPr>
        <w:t>12.2.6</w:t>
      </w:r>
      <w:r>
        <w:rPr>
          <w:rFonts w:hint="eastAsia"/>
          <w:sz w:val="24"/>
          <w:szCs w:val="24"/>
        </w:rPr>
        <w:t>如果监理人认为必要，进度报告和进度照片应同时以存储在磁盘或光</w:t>
      </w:r>
      <w:r>
        <w:rPr>
          <w:rFonts w:hint="eastAsia"/>
          <w:spacing w:val="-3"/>
          <w:sz w:val="24"/>
          <w:szCs w:val="24"/>
        </w:rPr>
        <w:t>盘中的数据文件的形式递交给发包人和监理人。数据文件采用的应用软件及其版本</w:t>
      </w:r>
      <w:r>
        <w:rPr>
          <w:rFonts w:hint="eastAsia"/>
          <w:sz w:val="24"/>
          <w:szCs w:val="24"/>
        </w:rPr>
        <w:t>应经过监理人的审批。</w:t>
      </w:r>
      <w:r>
        <w:rPr>
          <w:sz w:val="24"/>
          <w:szCs w:val="24"/>
        </w:rPr>
        <w:t xml:space="preserve"> </w:t>
      </w:r>
    </w:p>
    <w:p>
      <w:pPr>
        <w:pStyle w:val="58"/>
        <w:tabs>
          <w:tab w:val="left" w:pos="1526"/>
        </w:tabs>
        <w:spacing w:line="360" w:lineRule="auto"/>
        <w:ind w:left="0" w:firstLine="480" w:firstLineChars="200"/>
        <w:rPr>
          <w:sz w:val="24"/>
          <w:szCs w:val="24"/>
        </w:rPr>
      </w:pPr>
      <w:r>
        <w:rPr>
          <w:sz w:val="24"/>
          <w:szCs w:val="24"/>
          <w:lang w:val="en-US"/>
        </w:rPr>
        <w:t>12.2.7</w:t>
      </w:r>
      <w:r>
        <w:rPr>
          <w:rFonts w:hint="eastAsia"/>
          <w:sz w:val="24"/>
          <w:szCs w:val="24"/>
        </w:rPr>
        <w:t>有关进度报告的其他要求：</w:t>
      </w:r>
      <w:r>
        <w:rPr>
          <w:sz w:val="24"/>
          <w:szCs w:val="24"/>
        </w:rPr>
        <w:t xml:space="preserve"> </w:t>
      </w:r>
    </w:p>
    <w:p>
      <w:pPr>
        <w:pStyle w:val="7"/>
        <w:tabs>
          <w:tab w:val="left" w:pos="1293"/>
        </w:tabs>
        <w:spacing w:line="360" w:lineRule="auto"/>
        <w:ind w:left="0" w:firstLine="482" w:firstLineChars="200"/>
        <w:rPr>
          <w:rFonts w:ascii="宋体" w:hAnsi="宋体" w:eastAsia="宋体" w:cs="宋体"/>
        </w:rPr>
      </w:pPr>
      <w:r>
        <w:rPr>
          <w:rFonts w:ascii="宋体" w:hAnsi="宋体" w:eastAsia="宋体" w:cs="宋体"/>
          <w:lang w:val="en-US"/>
        </w:rPr>
        <w:t>12.3</w:t>
      </w:r>
      <w:r>
        <w:rPr>
          <w:rFonts w:hint="eastAsia" w:ascii="宋体" w:hAnsi="宋体" w:eastAsia="宋体" w:cs="宋体"/>
        </w:rPr>
        <w:t>进度例会</w:t>
      </w:r>
    </w:p>
    <w:p>
      <w:pPr>
        <w:pStyle w:val="58"/>
        <w:tabs>
          <w:tab w:val="left" w:pos="1526"/>
        </w:tabs>
        <w:spacing w:line="360" w:lineRule="auto"/>
        <w:ind w:left="0" w:right="1641" w:firstLine="480" w:firstLineChars="200"/>
        <w:jc w:val="both"/>
        <w:rPr>
          <w:sz w:val="24"/>
          <w:szCs w:val="24"/>
        </w:rPr>
      </w:pPr>
      <w:r>
        <w:rPr>
          <w:sz w:val="24"/>
          <w:szCs w:val="24"/>
          <w:lang w:val="en-US"/>
        </w:rPr>
        <w:t>12.3.1</w:t>
      </w:r>
      <w:r>
        <w:rPr>
          <w:rFonts w:hint="eastAsia"/>
          <w:sz w:val="24"/>
          <w:szCs w:val="24"/>
        </w:rPr>
        <w:t>监理人将主持召开有发包人、承包人、分包人等与本工程建设有关各</w:t>
      </w:r>
      <w:r>
        <w:rPr>
          <w:rFonts w:hint="eastAsia"/>
          <w:spacing w:val="-3"/>
          <w:sz w:val="24"/>
          <w:szCs w:val="24"/>
        </w:rPr>
        <w:t>方出席的每周一次的进度例会。承包人应保证能代表其当场作出决定的高级管理人</w:t>
      </w:r>
      <w:r>
        <w:rPr>
          <w:rFonts w:hint="eastAsia"/>
          <w:sz w:val="24"/>
          <w:szCs w:val="24"/>
        </w:rPr>
        <w:t>员出席会议。</w:t>
      </w:r>
      <w:r>
        <w:rPr>
          <w:sz w:val="24"/>
          <w:szCs w:val="24"/>
        </w:rPr>
        <w:t xml:space="preserve"> </w:t>
      </w:r>
    </w:p>
    <w:p>
      <w:pPr>
        <w:pStyle w:val="58"/>
        <w:tabs>
          <w:tab w:val="left" w:pos="1526"/>
        </w:tabs>
        <w:spacing w:line="360" w:lineRule="auto"/>
        <w:ind w:left="0" w:right="1618" w:firstLine="480" w:firstLineChars="200"/>
        <w:jc w:val="both"/>
        <w:rPr>
          <w:sz w:val="24"/>
          <w:szCs w:val="24"/>
        </w:rPr>
      </w:pPr>
      <w:r>
        <w:rPr>
          <w:sz w:val="24"/>
          <w:szCs w:val="24"/>
          <w:lang w:val="en-US"/>
        </w:rPr>
        <w:t>12.3.2</w:t>
      </w:r>
      <w:r>
        <w:rPr>
          <w:rFonts w:hint="eastAsia"/>
          <w:sz w:val="24"/>
          <w:szCs w:val="24"/>
        </w:rPr>
        <w:t>进度例会的内容将涉及合同管理、进度协调和工程管理的各个方面，</w:t>
      </w:r>
      <w:r>
        <w:rPr>
          <w:sz w:val="24"/>
          <w:szCs w:val="24"/>
        </w:rPr>
        <w:t xml:space="preserve"> </w:t>
      </w:r>
      <w:r>
        <w:rPr>
          <w:rFonts w:hint="eastAsia"/>
          <w:spacing w:val="-3"/>
          <w:sz w:val="24"/>
          <w:szCs w:val="24"/>
        </w:rPr>
        <w:t>由监理人准备的会议议题将随会议通知在会议召开前至少</w:t>
      </w:r>
      <w:r>
        <w:rPr>
          <w:spacing w:val="-3"/>
          <w:sz w:val="24"/>
          <w:szCs w:val="24"/>
        </w:rPr>
        <w:t xml:space="preserve"> </w:t>
      </w:r>
      <w:r>
        <w:rPr>
          <w:sz w:val="24"/>
          <w:szCs w:val="24"/>
        </w:rPr>
        <w:t>24</w:t>
      </w:r>
      <w:r>
        <w:rPr>
          <w:spacing w:val="-8"/>
          <w:sz w:val="24"/>
          <w:szCs w:val="24"/>
        </w:rPr>
        <w:t xml:space="preserve"> </w:t>
      </w:r>
      <w:r>
        <w:rPr>
          <w:rFonts w:hint="eastAsia"/>
          <w:spacing w:val="-8"/>
          <w:sz w:val="24"/>
          <w:szCs w:val="24"/>
        </w:rPr>
        <w:t>小时发给各参会方。</w:t>
      </w:r>
      <w:r>
        <w:rPr>
          <w:spacing w:val="-8"/>
          <w:sz w:val="24"/>
          <w:szCs w:val="24"/>
        </w:rPr>
        <w:t xml:space="preserve"> </w:t>
      </w:r>
    </w:p>
    <w:p>
      <w:pPr>
        <w:pStyle w:val="58"/>
        <w:tabs>
          <w:tab w:val="left" w:pos="1526"/>
        </w:tabs>
        <w:spacing w:line="360" w:lineRule="auto"/>
        <w:ind w:left="0" w:right="1523" w:firstLine="480" w:firstLineChars="200"/>
        <w:rPr>
          <w:sz w:val="24"/>
          <w:szCs w:val="24"/>
        </w:rPr>
      </w:pPr>
      <w:r>
        <w:rPr>
          <w:sz w:val="24"/>
          <w:szCs w:val="24"/>
          <w:lang w:val="en-US"/>
        </w:rPr>
        <w:t>12.3.3</w:t>
      </w:r>
      <w:r>
        <w:rPr>
          <w:rFonts w:hint="eastAsia"/>
          <w:sz w:val="24"/>
          <w:szCs w:val="24"/>
        </w:rPr>
        <w:t>监理人应当做好会议记录，并在会议结束时由与会各方签字确认。监理</w:t>
      </w:r>
      <w:r>
        <w:rPr>
          <w:rFonts w:hint="eastAsia"/>
          <w:spacing w:val="-1"/>
          <w:sz w:val="24"/>
          <w:szCs w:val="24"/>
        </w:rPr>
        <w:t>人应根据会议记录整理出会议纪要，并在相应会议后</w:t>
      </w:r>
      <w:r>
        <w:rPr>
          <w:spacing w:val="-1"/>
          <w:sz w:val="24"/>
          <w:szCs w:val="24"/>
        </w:rPr>
        <w:t xml:space="preserve"> </w:t>
      </w:r>
      <w:r>
        <w:rPr>
          <w:sz w:val="24"/>
          <w:szCs w:val="24"/>
        </w:rPr>
        <w:t>24</w:t>
      </w:r>
      <w:r>
        <w:rPr>
          <w:spacing w:val="-3"/>
          <w:sz w:val="24"/>
          <w:szCs w:val="24"/>
        </w:rPr>
        <w:t xml:space="preserve"> </w:t>
      </w:r>
      <w:r>
        <w:rPr>
          <w:rFonts w:hint="eastAsia"/>
          <w:spacing w:val="-3"/>
          <w:sz w:val="24"/>
          <w:szCs w:val="24"/>
        </w:rPr>
        <w:t>小时内分发给出席会议的</w:t>
      </w:r>
      <w:r>
        <w:rPr>
          <w:rFonts w:hint="eastAsia"/>
          <w:spacing w:val="-5"/>
          <w:sz w:val="24"/>
          <w:szCs w:val="24"/>
        </w:rPr>
        <w:t>各方。会议纪要应当如实反映会议记录的内容，包括任何决定、存在的问题、责任</w:t>
      </w:r>
      <w:r>
        <w:rPr>
          <w:rFonts w:hint="eastAsia"/>
          <w:spacing w:val="-8"/>
          <w:sz w:val="24"/>
          <w:szCs w:val="24"/>
        </w:rPr>
        <w:t>方、有关工作的时间目标等等。各方在收到会议纪要后</w:t>
      </w:r>
      <w:r>
        <w:rPr>
          <w:spacing w:val="-8"/>
          <w:sz w:val="24"/>
          <w:szCs w:val="24"/>
        </w:rPr>
        <w:t xml:space="preserve"> </w:t>
      </w:r>
      <w:r>
        <w:rPr>
          <w:sz w:val="24"/>
          <w:szCs w:val="24"/>
        </w:rPr>
        <w:t>24</w:t>
      </w:r>
      <w:r>
        <w:rPr>
          <w:spacing w:val="-9"/>
          <w:sz w:val="24"/>
          <w:szCs w:val="24"/>
        </w:rPr>
        <w:t xml:space="preserve"> </w:t>
      </w:r>
      <w:r>
        <w:rPr>
          <w:rFonts w:hint="eastAsia"/>
          <w:spacing w:val="-9"/>
          <w:sz w:val="24"/>
          <w:szCs w:val="24"/>
        </w:rPr>
        <w:t>小时内给予签字确认，如有任何异议，应将有关异议以书面形式通知监理人，由监理人与有异议一方或各方</w:t>
      </w:r>
      <w:r>
        <w:rPr>
          <w:rFonts w:hint="eastAsia"/>
          <w:spacing w:val="-10"/>
          <w:sz w:val="24"/>
          <w:szCs w:val="24"/>
        </w:rPr>
        <w:t>共同核对会议记录，有异议的一方或者各方对与会议记录内容一致的会议纪要必须给予签字确认，否则监理人可以用会议记录作为会议纪要。经参会各方签字认可的会议纪要对各方有合同约束力。</w:t>
      </w:r>
      <w:r>
        <w:rPr>
          <w:spacing w:val="-10"/>
          <w:sz w:val="24"/>
          <w:szCs w:val="24"/>
        </w:rPr>
        <w:t xml:space="preserve"> </w:t>
      </w:r>
    </w:p>
    <w:p>
      <w:pPr>
        <w:pStyle w:val="7"/>
        <w:tabs>
          <w:tab w:val="left" w:pos="688"/>
        </w:tabs>
        <w:spacing w:line="360" w:lineRule="auto"/>
        <w:ind w:left="0" w:firstLine="240" w:firstLineChars="100"/>
        <w:rPr>
          <w:rFonts w:ascii="宋体" w:hAnsi="宋体" w:eastAsia="宋体" w:cs="宋体"/>
        </w:rPr>
      </w:pPr>
      <w:r>
        <w:rPr>
          <w:rFonts w:ascii="宋体" w:hAnsi="宋体" w:eastAsia="宋体" w:cs="宋体"/>
          <w:b w:val="0"/>
          <w:bCs w:val="0"/>
          <w:lang w:val="en-US"/>
        </w:rPr>
        <w:t>12.3.4</w:t>
      </w:r>
      <w:r>
        <w:rPr>
          <w:rFonts w:hint="eastAsia" w:ascii="宋体" w:hAnsi="宋体" w:eastAsia="宋体" w:cs="宋体"/>
          <w:b w:val="0"/>
          <w:bCs w:val="0"/>
        </w:rPr>
        <w:t>有关进度例会的其他要求：</w:t>
      </w:r>
    </w:p>
    <w:p>
      <w:pPr>
        <w:pStyle w:val="7"/>
        <w:tabs>
          <w:tab w:val="left" w:pos="688"/>
        </w:tabs>
        <w:spacing w:line="360" w:lineRule="auto"/>
        <w:ind w:left="0" w:firstLine="241" w:firstLineChars="100"/>
        <w:rPr>
          <w:rFonts w:ascii="宋体" w:hAnsi="宋体" w:eastAsia="宋体" w:cs="宋体"/>
        </w:rPr>
      </w:pPr>
      <w:r>
        <w:rPr>
          <w:rFonts w:ascii="宋体" w:hAnsi="宋体" w:eastAsia="宋体" w:cs="宋体"/>
          <w:lang w:val="en-US"/>
        </w:rPr>
        <w:t>13.</w:t>
      </w:r>
      <w:r>
        <w:rPr>
          <w:rFonts w:hint="eastAsia" w:ascii="宋体" w:hAnsi="宋体" w:eastAsia="宋体" w:cs="宋体"/>
        </w:rPr>
        <w:t>试验和检验</w:t>
      </w:r>
    </w:p>
    <w:p>
      <w:pPr>
        <w:pStyle w:val="58"/>
        <w:tabs>
          <w:tab w:val="left" w:pos="806"/>
        </w:tabs>
        <w:spacing w:line="360" w:lineRule="auto"/>
        <w:ind w:right="1520" w:firstLine="0"/>
        <w:jc w:val="both"/>
        <w:rPr>
          <w:sz w:val="24"/>
          <w:szCs w:val="24"/>
        </w:rPr>
      </w:pPr>
      <w:r>
        <w:rPr>
          <w:sz w:val="24"/>
          <w:szCs w:val="24"/>
          <w:lang w:val="en-US"/>
        </w:rPr>
        <w:t>13.1</w:t>
      </w:r>
      <w:r>
        <w:rPr>
          <w:rFonts w:hint="eastAsia"/>
          <w:sz w:val="24"/>
          <w:szCs w:val="24"/>
        </w:rPr>
        <w:t>承包人应当按照国家行业和相关园林绿化工程施工及相关施工验收规范</w:t>
      </w:r>
      <w:r>
        <w:rPr>
          <w:rFonts w:hint="eastAsia"/>
          <w:spacing w:val="-6"/>
          <w:sz w:val="24"/>
          <w:szCs w:val="24"/>
        </w:rPr>
        <w:t>和标准的规定和合同条款的约定，对用于永久工程的主要材料</w:t>
      </w:r>
      <w:r>
        <w:rPr>
          <w:rFonts w:hint="eastAsia"/>
          <w:sz w:val="24"/>
          <w:szCs w:val="24"/>
        </w:rPr>
        <w:t>（含苗木及种子</w:t>
      </w:r>
      <w:r>
        <w:rPr>
          <w:rFonts w:hint="eastAsia"/>
          <w:spacing w:val="-20"/>
          <w:sz w:val="24"/>
          <w:szCs w:val="24"/>
        </w:rPr>
        <w:t>）</w:t>
      </w:r>
      <w:r>
        <w:rPr>
          <w:rFonts w:hint="eastAsia"/>
          <w:spacing w:val="-10"/>
          <w:sz w:val="24"/>
          <w:szCs w:val="24"/>
        </w:rPr>
        <w:t>、半成品、成品、建筑构配件、工程设备等进行试验和检验。监理人可</w:t>
      </w:r>
      <w:r>
        <w:rPr>
          <w:rFonts w:hint="eastAsia"/>
          <w:spacing w:val="-14"/>
          <w:sz w:val="24"/>
          <w:szCs w:val="24"/>
        </w:rPr>
        <w:t>以根据工程需要，指示承包人进行其他现场材料和工艺的试验和检验。</w:t>
      </w:r>
    </w:p>
    <w:p>
      <w:pPr>
        <w:pStyle w:val="58"/>
        <w:tabs>
          <w:tab w:val="left" w:pos="806"/>
        </w:tabs>
        <w:spacing w:line="360" w:lineRule="auto"/>
        <w:ind w:right="1642" w:firstLine="0"/>
        <w:jc w:val="both"/>
        <w:rPr>
          <w:sz w:val="24"/>
          <w:szCs w:val="24"/>
        </w:rPr>
      </w:pPr>
      <w:r>
        <w:rPr>
          <w:sz w:val="24"/>
          <w:szCs w:val="24"/>
          <w:lang w:val="en-US"/>
        </w:rPr>
        <w:t>13.2</w:t>
      </w:r>
      <w:r>
        <w:rPr>
          <w:rFonts w:hint="eastAsia"/>
          <w:sz w:val="24"/>
          <w:szCs w:val="24"/>
        </w:rPr>
        <w:t>园林绿化工程灌溉的非饮用水、种植土（含种植基质）、种子、钢筋、水泥、砂、卵石、碎石、混凝土、</w:t>
      </w:r>
      <w:r>
        <w:rPr>
          <w:sz w:val="24"/>
          <w:szCs w:val="24"/>
        </w:rPr>
        <w:t xml:space="preserve"> </w:t>
      </w:r>
      <w:r>
        <w:rPr>
          <w:rFonts w:hint="eastAsia"/>
          <w:sz w:val="24"/>
          <w:szCs w:val="24"/>
        </w:rPr>
        <w:t>木材、防水材料（</w:t>
      </w:r>
      <w:r>
        <w:rPr>
          <w:rFonts w:hint="eastAsia"/>
          <w:spacing w:val="-2"/>
          <w:sz w:val="24"/>
          <w:szCs w:val="24"/>
        </w:rPr>
        <w:t>含防水毯及耐根穿刺防水材料</w:t>
      </w:r>
      <w:r>
        <w:rPr>
          <w:rFonts w:hint="eastAsia"/>
          <w:spacing w:val="-111"/>
          <w:sz w:val="24"/>
          <w:szCs w:val="24"/>
        </w:rPr>
        <w:t>）</w:t>
      </w:r>
      <w:r>
        <w:rPr>
          <w:rFonts w:hint="eastAsia"/>
          <w:spacing w:val="-1"/>
          <w:sz w:val="24"/>
          <w:szCs w:val="24"/>
        </w:rPr>
        <w:t>等材料或产品需根据国家行业和相关园林绿化工程施工及相关</w:t>
      </w:r>
      <w:r>
        <w:rPr>
          <w:rFonts w:hint="eastAsia"/>
          <w:spacing w:val="-9"/>
          <w:sz w:val="24"/>
          <w:szCs w:val="24"/>
        </w:rPr>
        <w:t>施工验收规范的要求进行见证取样，送有相应检测资质的检测单位进行检测，并取得试（检）验报告。</w:t>
      </w:r>
      <w:r>
        <w:rPr>
          <w:spacing w:val="-9"/>
          <w:sz w:val="24"/>
          <w:szCs w:val="24"/>
        </w:rPr>
        <w:t xml:space="preserve"> </w:t>
      </w:r>
    </w:p>
    <w:p>
      <w:pPr>
        <w:pStyle w:val="58"/>
        <w:tabs>
          <w:tab w:val="left" w:pos="806"/>
        </w:tabs>
        <w:spacing w:line="360" w:lineRule="auto"/>
        <w:ind w:right="1651" w:firstLine="0"/>
        <w:rPr>
          <w:sz w:val="24"/>
          <w:szCs w:val="24"/>
        </w:rPr>
      </w:pPr>
      <w:r>
        <w:rPr>
          <w:sz w:val="24"/>
          <w:szCs w:val="24"/>
          <w:lang w:val="en-US"/>
        </w:rPr>
        <w:t>13.3</w:t>
      </w:r>
      <w:r>
        <w:rPr>
          <w:rFonts w:hint="eastAsia"/>
          <w:sz w:val="24"/>
          <w:szCs w:val="24"/>
        </w:rPr>
        <w:t>本工程需要由监理人和承包人共同进行试验和检验的材料、工程设备和工艺如下：</w:t>
      </w:r>
    </w:p>
    <w:p>
      <w:pPr>
        <w:pStyle w:val="58"/>
        <w:tabs>
          <w:tab w:val="left" w:pos="806"/>
        </w:tabs>
        <w:spacing w:line="360" w:lineRule="auto"/>
        <w:ind w:right="1651" w:firstLine="0"/>
        <w:rPr>
          <w:sz w:val="24"/>
          <w:szCs w:val="24"/>
        </w:rPr>
      </w:pPr>
      <w:r>
        <w:rPr>
          <w:sz w:val="24"/>
          <w:szCs w:val="24"/>
          <w:lang w:val="en-US"/>
        </w:rPr>
        <w:t>13.4</w:t>
      </w:r>
      <w:r>
        <w:rPr>
          <w:rFonts w:hint="eastAsia"/>
          <w:sz w:val="24"/>
          <w:szCs w:val="24"/>
        </w:rPr>
        <w:t>本条上述约定需要进行检验的材料、工程设备和工艺在经过检验并获得监理人批准以前，不得用于任何永久工程。</w:t>
      </w:r>
      <w:r>
        <w:rPr>
          <w:sz w:val="24"/>
          <w:szCs w:val="24"/>
        </w:rPr>
        <w:t xml:space="preserve"> </w:t>
      </w:r>
    </w:p>
    <w:p>
      <w:pPr>
        <w:pStyle w:val="58"/>
        <w:tabs>
          <w:tab w:val="left" w:pos="806"/>
        </w:tabs>
        <w:spacing w:line="360" w:lineRule="auto"/>
        <w:ind w:right="1651" w:firstLine="0"/>
        <w:rPr>
          <w:sz w:val="24"/>
          <w:szCs w:val="24"/>
        </w:rPr>
      </w:pPr>
      <w:r>
        <w:rPr>
          <w:sz w:val="24"/>
          <w:szCs w:val="24"/>
          <w:lang w:val="en-US"/>
        </w:rPr>
        <w:t>13.5</w:t>
      </w:r>
      <w:r>
        <w:rPr>
          <w:rFonts w:hint="eastAsia"/>
          <w:sz w:val="24"/>
          <w:szCs w:val="24"/>
        </w:rPr>
        <w:t>承包人应为材料、工程设备和工艺的检查、检测和检验提供劳务、电力、燃料、备用品、设备和仪器以及必要的协助。</w:t>
      </w:r>
      <w:r>
        <w:rPr>
          <w:sz w:val="24"/>
          <w:szCs w:val="24"/>
        </w:rPr>
        <w:t xml:space="preserve"> </w:t>
      </w:r>
    </w:p>
    <w:p>
      <w:pPr>
        <w:pStyle w:val="58"/>
        <w:tabs>
          <w:tab w:val="left" w:pos="806"/>
        </w:tabs>
        <w:spacing w:line="360" w:lineRule="auto"/>
        <w:ind w:left="0" w:right="1638" w:firstLine="240" w:firstLineChars="100"/>
        <w:jc w:val="both"/>
        <w:rPr>
          <w:sz w:val="24"/>
          <w:szCs w:val="24"/>
        </w:rPr>
      </w:pPr>
      <w:r>
        <w:rPr>
          <w:sz w:val="24"/>
          <w:szCs w:val="24"/>
          <w:lang w:val="en-US"/>
        </w:rPr>
        <w:t>13.6</w:t>
      </w:r>
      <w:r>
        <w:rPr>
          <w:rFonts w:hint="eastAsia"/>
          <w:sz w:val="24"/>
          <w:szCs w:val="24"/>
        </w:rPr>
        <w:t>如果检查、检测、检验或试验的结果表明，材料、工程设备和工艺有缺陷或</w:t>
      </w:r>
      <w:r>
        <w:rPr>
          <w:rFonts w:hint="eastAsia"/>
          <w:spacing w:val="-9"/>
          <w:sz w:val="24"/>
          <w:szCs w:val="24"/>
        </w:rPr>
        <w:t>不符合合同约定，监理人和发包人可拒收此类材料、工程设备和工艺，并应</w:t>
      </w:r>
      <w:r>
        <w:rPr>
          <w:rFonts w:hint="eastAsia"/>
          <w:spacing w:val="-15"/>
          <w:sz w:val="24"/>
          <w:szCs w:val="24"/>
        </w:rPr>
        <w:t>立即通知承包人同时说明理由。承包人应立即修复上述缺陷并保证其符合合</w:t>
      </w:r>
      <w:r>
        <w:rPr>
          <w:rFonts w:hint="eastAsia"/>
          <w:spacing w:val="-14"/>
          <w:sz w:val="24"/>
          <w:szCs w:val="24"/>
        </w:rPr>
        <w:t>同约定。若监理人或发包人要求对此类工程设备、材料、设计或工艺重新进</w:t>
      </w:r>
      <w:r>
        <w:rPr>
          <w:rFonts w:hint="eastAsia"/>
          <w:spacing w:val="-13"/>
          <w:sz w:val="24"/>
          <w:szCs w:val="24"/>
        </w:rPr>
        <w:t>行检验，则此类检验应按相同条款和条件重新进行。如果此类拒收和重新检</w:t>
      </w:r>
      <w:r>
        <w:rPr>
          <w:rFonts w:hint="eastAsia"/>
          <w:spacing w:val="-17"/>
          <w:sz w:val="24"/>
          <w:szCs w:val="24"/>
        </w:rPr>
        <w:t>验致使发包人产生了额外费用，则此类费用应由承包人支付给发包人，或从发包人应支付给承包人的款项中扣除。</w:t>
      </w:r>
      <w:r>
        <w:rPr>
          <w:spacing w:val="-17"/>
          <w:sz w:val="24"/>
          <w:szCs w:val="24"/>
        </w:rPr>
        <w:t xml:space="preserve"> </w:t>
      </w:r>
    </w:p>
    <w:p>
      <w:pPr>
        <w:pStyle w:val="58"/>
        <w:tabs>
          <w:tab w:val="left" w:pos="806"/>
        </w:tabs>
        <w:spacing w:line="360" w:lineRule="auto"/>
        <w:ind w:left="0" w:right="1651" w:firstLine="480" w:firstLineChars="200"/>
        <w:rPr>
          <w:sz w:val="24"/>
          <w:szCs w:val="24"/>
        </w:rPr>
      </w:pPr>
      <w:r>
        <w:rPr>
          <w:sz w:val="24"/>
          <w:szCs w:val="24"/>
          <w:lang w:val="en-US"/>
        </w:rPr>
        <w:t>13.7</w:t>
      </w:r>
      <w:r>
        <w:rPr>
          <w:rFonts w:hint="eastAsia"/>
          <w:sz w:val="24"/>
          <w:szCs w:val="24"/>
        </w:rPr>
        <w:t>除合同另有约定外，承包人应负担本合同项下的所有材料、工程设备和工艺检验的费用。</w:t>
      </w:r>
      <w:r>
        <w:rPr>
          <w:sz w:val="24"/>
          <w:szCs w:val="24"/>
        </w:rPr>
        <w:t xml:space="preserve"> </w:t>
      </w:r>
    </w:p>
    <w:p>
      <w:pPr>
        <w:pStyle w:val="7"/>
        <w:tabs>
          <w:tab w:val="left" w:pos="688"/>
        </w:tabs>
        <w:spacing w:before="182" w:line="360" w:lineRule="auto"/>
        <w:ind w:left="440" w:firstLine="0"/>
        <w:rPr>
          <w:rFonts w:ascii="宋体" w:hAnsi="宋体" w:eastAsia="宋体" w:cs="宋体"/>
        </w:rPr>
      </w:pPr>
      <w:r>
        <w:rPr>
          <w:rFonts w:ascii="宋体" w:hAnsi="宋体" w:eastAsia="宋体" w:cs="宋体"/>
          <w:lang w:val="en-US"/>
        </w:rPr>
        <w:t>14.</w:t>
      </w:r>
      <w:r>
        <w:rPr>
          <w:rFonts w:hint="eastAsia" w:ascii="宋体" w:hAnsi="宋体" w:eastAsia="宋体" w:cs="宋体"/>
        </w:rPr>
        <w:t>暂列金额、暂估价、计日工、总包服务费</w:t>
      </w:r>
    </w:p>
    <w:p>
      <w:pPr>
        <w:pStyle w:val="58"/>
        <w:tabs>
          <w:tab w:val="left" w:pos="849"/>
        </w:tabs>
        <w:spacing w:line="360" w:lineRule="auto"/>
        <w:ind w:left="367" w:right="1576" w:firstLine="0"/>
        <w:jc w:val="both"/>
        <w:rPr>
          <w:sz w:val="24"/>
          <w:szCs w:val="24"/>
        </w:rPr>
      </w:pPr>
      <w:r>
        <w:rPr>
          <w:spacing w:val="-1"/>
          <w:sz w:val="24"/>
          <w:szCs w:val="24"/>
          <w:lang w:val="en-US"/>
        </w:rPr>
        <w:t>14.1</w:t>
      </w:r>
      <w:r>
        <w:rPr>
          <w:rFonts w:hint="eastAsia"/>
          <w:spacing w:val="-1"/>
          <w:sz w:val="24"/>
          <w:szCs w:val="24"/>
        </w:rPr>
        <w:t>暂列金额是招标人用于工程合同签订时尚未确定或者不可预见的所需材料、工程设备、服务的采购，施工中可能发生的工程变更、合同约定调整因素出现时的合同价款调整以及发生的索赔、现场签证等确认的费用。</w:t>
      </w:r>
      <w:r>
        <w:rPr>
          <w:spacing w:val="-1"/>
          <w:sz w:val="24"/>
          <w:szCs w:val="24"/>
        </w:rPr>
        <w:t xml:space="preserve"> </w:t>
      </w:r>
    </w:p>
    <w:p>
      <w:pPr>
        <w:pStyle w:val="58"/>
        <w:tabs>
          <w:tab w:val="left" w:pos="806"/>
        </w:tabs>
        <w:spacing w:line="360" w:lineRule="auto"/>
        <w:ind w:left="0" w:right="1638" w:firstLine="240" w:firstLineChars="100"/>
        <w:jc w:val="both"/>
        <w:rPr>
          <w:sz w:val="24"/>
          <w:szCs w:val="24"/>
          <w:lang w:val="en-US"/>
        </w:rPr>
      </w:pPr>
      <w:r>
        <w:rPr>
          <w:sz w:val="24"/>
          <w:szCs w:val="24"/>
          <w:lang w:val="en-US"/>
        </w:rPr>
        <w:t>14.3</w:t>
      </w:r>
      <w:r>
        <w:rPr>
          <w:rFonts w:hint="eastAsia"/>
          <w:sz w:val="24"/>
          <w:szCs w:val="24"/>
          <w:lang w:val="en-US"/>
        </w:rPr>
        <w:t>暂估价是招标人在工程量清单中提供的用于支付必然发生但暂时不能确定价格的材料、工程设备的单价以及专业工程的金额。暂估价包括材料暂估单价、工程设备暂估单价、专业工程暂估价。暂估价中的材料、工程设备暂估单价应根据工程造价信息或参考市场价格的估算，列出明细表；专业工程暂估价应分不同专业，按有关计价规定估算，列出明细表。</w:t>
      </w:r>
    </w:p>
    <w:p>
      <w:pPr>
        <w:pStyle w:val="58"/>
        <w:tabs>
          <w:tab w:val="left" w:pos="806"/>
        </w:tabs>
        <w:spacing w:line="360" w:lineRule="auto"/>
        <w:ind w:left="0" w:right="1638" w:firstLine="480" w:firstLineChars="200"/>
        <w:jc w:val="both"/>
        <w:rPr>
          <w:sz w:val="24"/>
          <w:szCs w:val="24"/>
        </w:rPr>
      </w:pPr>
      <w:r>
        <w:rPr>
          <w:rFonts w:hint="eastAsia"/>
          <w:sz w:val="24"/>
          <w:szCs w:val="24"/>
          <w:lang w:val="en-US"/>
        </w:rPr>
        <w:t>计日工是指在施工过程中，承包人完成发包人提出的工程合同范围以外的零</w:t>
      </w:r>
      <w:r>
        <w:rPr>
          <w:rFonts w:hint="eastAsia"/>
          <w:spacing w:val="-11"/>
          <w:sz w:val="24"/>
          <w:szCs w:val="24"/>
        </w:rPr>
        <w:t>星工程或工作，按合同中约定的单价计价的一种方式。计日工应列出工程名称、计量单位和暂估数量。</w:t>
      </w:r>
      <w:r>
        <w:rPr>
          <w:spacing w:val="-11"/>
          <w:sz w:val="24"/>
          <w:szCs w:val="24"/>
        </w:rPr>
        <w:t xml:space="preserve"> </w:t>
      </w:r>
    </w:p>
    <w:p>
      <w:pPr>
        <w:pStyle w:val="58"/>
        <w:tabs>
          <w:tab w:val="left" w:pos="806"/>
        </w:tabs>
        <w:spacing w:line="360" w:lineRule="auto"/>
        <w:ind w:left="0" w:right="1641" w:firstLine="480" w:firstLineChars="200"/>
        <w:jc w:val="both"/>
        <w:rPr>
          <w:spacing w:val="-10"/>
          <w:sz w:val="24"/>
          <w:szCs w:val="24"/>
        </w:rPr>
      </w:pPr>
      <w:r>
        <w:rPr>
          <w:sz w:val="24"/>
          <w:lang w:val="en-US"/>
        </w:rPr>
        <w:t>14.4</w:t>
      </w:r>
      <w:r>
        <w:rPr>
          <w:rFonts w:hint="eastAsia"/>
          <w:sz w:val="24"/>
        </w:rPr>
        <w:t>总承包服务费是总承包人为配合协调发包人进行的专业工程发包，对发包人</w:t>
      </w:r>
      <w:r>
        <w:rPr>
          <w:rFonts w:hint="eastAsia"/>
          <w:spacing w:val="-10"/>
          <w:sz w:val="24"/>
        </w:rPr>
        <w:t>自行采购的材料、工程设备等进行保管以及施工现场管理、竣工资料汇总整理等服务所需的</w:t>
      </w:r>
      <w:r>
        <w:rPr>
          <w:rFonts w:hint="eastAsia"/>
          <w:spacing w:val="-10"/>
          <w:sz w:val="24"/>
          <w:szCs w:val="24"/>
        </w:rPr>
        <w:t>费用。</w:t>
      </w:r>
      <w:r>
        <w:rPr>
          <w:spacing w:val="-10"/>
          <w:sz w:val="24"/>
          <w:szCs w:val="24"/>
        </w:rPr>
        <w:t xml:space="preserve"> </w:t>
      </w:r>
    </w:p>
    <w:p>
      <w:pPr>
        <w:pStyle w:val="58"/>
        <w:tabs>
          <w:tab w:val="left" w:pos="806"/>
        </w:tabs>
        <w:spacing w:line="360" w:lineRule="auto"/>
        <w:ind w:left="440" w:leftChars="200" w:right="1641" w:firstLine="0"/>
        <w:jc w:val="both"/>
        <w:rPr>
          <w:b/>
          <w:bCs/>
          <w:sz w:val="24"/>
          <w:szCs w:val="24"/>
        </w:rPr>
      </w:pPr>
      <w:r>
        <w:rPr>
          <w:b/>
          <w:bCs/>
          <w:sz w:val="24"/>
          <w:szCs w:val="24"/>
          <w:lang w:val="en-US"/>
        </w:rPr>
        <w:t>15.</w:t>
      </w:r>
      <w:r>
        <w:rPr>
          <w:rFonts w:hint="eastAsia"/>
          <w:b/>
          <w:bCs/>
          <w:sz w:val="24"/>
          <w:szCs w:val="24"/>
        </w:rPr>
        <w:t>计量与支付</w:t>
      </w:r>
    </w:p>
    <w:p>
      <w:pPr>
        <w:pStyle w:val="58"/>
        <w:tabs>
          <w:tab w:val="left" w:pos="806"/>
        </w:tabs>
        <w:spacing w:line="360" w:lineRule="auto"/>
        <w:ind w:left="440" w:leftChars="200" w:right="1641" w:firstLine="0"/>
        <w:jc w:val="both"/>
        <w:rPr>
          <w:b/>
          <w:bCs/>
          <w:sz w:val="24"/>
          <w:szCs w:val="24"/>
        </w:rPr>
      </w:pPr>
      <w:r>
        <w:rPr>
          <w:sz w:val="24"/>
          <w:szCs w:val="24"/>
          <w:lang w:val="en-US"/>
        </w:rPr>
        <w:t>15.1</w:t>
      </w:r>
      <w:r>
        <w:rPr>
          <w:rFonts w:hint="eastAsia"/>
          <w:b/>
          <w:bCs/>
          <w:sz w:val="24"/>
          <w:szCs w:val="24"/>
        </w:rPr>
        <w:t>工程计量</w:t>
      </w:r>
    </w:p>
    <w:p>
      <w:pPr>
        <w:pStyle w:val="18"/>
        <w:spacing w:line="360" w:lineRule="auto"/>
        <w:ind w:right="1646" w:firstLine="480" w:firstLineChars="200"/>
        <w:jc w:val="both"/>
      </w:pPr>
      <w:r>
        <w:rPr>
          <w:rFonts w:hint="eastAsia"/>
        </w:rPr>
        <w:t>工程计量必须按照相关工程现行国家计量规范规定的工程量计算规则计算。工程计量可选择按月或按工程形象进度分段计量，具体计量周期在合同中约定。</w:t>
      </w:r>
      <w:r>
        <w:t xml:space="preserve"> </w:t>
      </w:r>
    </w:p>
    <w:p>
      <w:pPr>
        <w:pStyle w:val="7"/>
        <w:tabs>
          <w:tab w:val="left" w:pos="810"/>
        </w:tabs>
        <w:spacing w:line="360" w:lineRule="auto"/>
        <w:ind w:left="0" w:firstLine="240" w:firstLineChars="100"/>
        <w:rPr>
          <w:rFonts w:ascii="宋体" w:hAnsi="宋体" w:eastAsia="宋体" w:cs="宋体"/>
        </w:rPr>
      </w:pPr>
      <w:r>
        <w:rPr>
          <w:rFonts w:ascii="宋体" w:hAnsi="宋体" w:eastAsia="宋体" w:cs="宋体"/>
          <w:b w:val="0"/>
          <w:bCs w:val="0"/>
          <w:lang w:val="en-US"/>
        </w:rPr>
        <w:t>15.2</w:t>
      </w:r>
      <w:r>
        <w:rPr>
          <w:rFonts w:hint="eastAsia" w:ascii="宋体" w:hAnsi="宋体" w:eastAsia="宋体" w:cs="宋体"/>
        </w:rPr>
        <w:t>工程款支付</w:t>
      </w:r>
    </w:p>
    <w:p>
      <w:pPr>
        <w:pStyle w:val="58"/>
        <w:tabs>
          <w:tab w:val="left" w:pos="1046"/>
        </w:tabs>
        <w:spacing w:line="360" w:lineRule="auto"/>
        <w:ind w:left="0" w:right="1649" w:firstLine="480" w:firstLineChars="200"/>
        <w:jc w:val="both"/>
        <w:rPr>
          <w:sz w:val="24"/>
          <w:szCs w:val="24"/>
        </w:rPr>
      </w:pPr>
      <w:r>
        <w:rPr>
          <w:sz w:val="24"/>
          <w:szCs w:val="24"/>
          <w:lang w:val="en-US"/>
        </w:rPr>
        <w:t>15.2.1</w:t>
      </w:r>
      <w:r>
        <w:rPr>
          <w:rFonts w:hint="eastAsia"/>
          <w:sz w:val="24"/>
          <w:szCs w:val="24"/>
        </w:rPr>
        <w:t>发包人根据工程的特点、工期长短、市场行情、供求规律等因素，招标时</w:t>
      </w:r>
      <w:r>
        <w:rPr>
          <w:rFonts w:hint="eastAsia"/>
          <w:spacing w:val="-1"/>
          <w:sz w:val="24"/>
          <w:szCs w:val="24"/>
        </w:rPr>
        <w:t>在合同条件中约定工程预付款的百分比。预付款的比例原则上不低于合同</w:t>
      </w:r>
      <w:r>
        <w:rPr>
          <w:rFonts w:hint="eastAsia"/>
          <w:spacing w:val="-15"/>
          <w:sz w:val="24"/>
          <w:szCs w:val="24"/>
        </w:rPr>
        <w:t>金额的</w:t>
      </w:r>
      <w:r>
        <w:rPr>
          <w:spacing w:val="-15"/>
          <w:sz w:val="24"/>
          <w:szCs w:val="24"/>
        </w:rPr>
        <w:t xml:space="preserve"> </w:t>
      </w:r>
      <w:r>
        <w:rPr>
          <w:sz w:val="24"/>
          <w:szCs w:val="24"/>
        </w:rPr>
        <w:t>10%</w:t>
      </w:r>
      <w:r>
        <w:rPr>
          <w:rFonts w:hint="eastAsia"/>
          <w:sz w:val="24"/>
          <w:szCs w:val="24"/>
        </w:rPr>
        <w:t>，</w:t>
      </w:r>
      <w:r>
        <w:rPr>
          <w:rFonts w:hint="eastAsia"/>
          <w:spacing w:val="-7"/>
          <w:sz w:val="24"/>
          <w:szCs w:val="24"/>
        </w:rPr>
        <w:t>不高于合同金额的</w:t>
      </w:r>
      <w:r>
        <w:rPr>
          <w:spacing w:val="-7"/>
          <w:sz w:val="24"/>
          <w:szCs w:val="24"/>
        </w:rPr>
        <w:t xml:space="preserve"> </w:t>
      </w:r>
      <w:r>
        <w:rPr>
          <w:sz w:val="24"/>
          <w:szCs w:val="24"/>
        </w:rPr>
        <w:t>30%</w:t>
      </w:r>
      <w:r>
        <w:rPr>
          <w:rFonts w:hint="eastAsia"/>
          <w:sz w:val="24"/>
          <w:szCs w:val="24"/>
        </w:rPr>
        <w:t>。</w:t>
      </w:r>
      <w:r>
        <w:rPr>
          <w:sz w:val="24"/>
          <w:szCs w:val="24"/>
        </w:rPr>
        <w:t xml:space="preserve"> </w:t>
      </w:r>
    </w:p>
    <w:p>
      <w:pPr>
        <w:pStyle w:val="58"/>
        <w:tabs>
          <w:tab w:val="left" w:pos="1046"/>
        </w:tabs>
        <w:spacing w:line="360" w:lineRule="auto"/>
        <w:ind w:left="0" w:right="1649" w:firstLine="480" w:firstLineChars="200"/>
        <w:jc w:val="both"/>
        <w:rPr>
          <w:sz w:val="24"/>
          <w:szCs w:val="24"/>
        </w:rPr>
      </w:pPr>
      <w:r>
        <w:rPr>
          <w:sz w:val="24"/>
          <w:szCs w:val="24"/>
          <w:lang w:val="en-US"/>
        </w:rPr>
        <w:t>15.2.2</w:t>
      </w:r>
      <w:r>
        <w:rPr>
          <w:rFonts w:hint="eastAsia"/>
          <w:sz w:val="24"/>
          <w:szCs w:val="24"/>
        </w:rPr>
        <w:t>发承包双方应按照合同约定的时间、程序和方法，根据工程计量结果，办</w:t>
      </w:r>
      <w:r>
        <w:rPr>
          <w:rFonts w:hint="eastAsia"/>
          <w:spacing w:val="-1"/>
          <w:sz w:val="24"/>
          <w:szCs w:val="24"/>
        </w:rPr>
        <w:t>理期中价款结算，支付工程进度款。进度款支付周期，应与合同约定的工</w:t>
      </w:r>
      <w:r>
        <w:rPr>
          <w:rFonts w:hint="eastAsia"/>
          <w:sz w:val="24"/>
          <w:szCs w:val="24"/>
        </w:rPr>
        <w:t>程计量周期一致。</w:t>
      </w:r>
      <w:r>
        <w:rPr>
          <w:sz w:val="24"/>
          <w:szCs w:val="24"/>
        </w:rPr>
        <w:t xml:space="preserve"> </w:t>
      </w:r>
    </w:p>
    <w:p>
      <w:pPr>
        <w:pStyle w:val="58"/>
        <w:tabs>
          <w:tab w:val="left" w:pos="1046"/>
        </w:tabs>
        <w:spacing w:line="360" w:lineRule="auto"/>
        <w:ind w:left="0" w:right="1649" w:firstLine="480" w:firstLineChars="200"/>
        <w:jc w:val="both"/>
        <w:rPr>
          <w:sz w:val="24"/>
          <w:szCs w:val="24"/>
        </w:rPr>
      </w:pPr>
      <w:r>
        <w:rPr>
          <w:sz w:val="24"/>
          <w:szCs w:val="24"/>
          <w:lang w:val="en-US"/>
        </w:rPr>
        <w:t>15.2.3</w:t>
      </w:r>
      <w:r>
        <w:rPr>
          <w:rFonts w:hint="eastAsia"/>
          <w:sz w:val="24"/>
          <w:szCs w:val="24"/>
        </w:rPr>
        <w:t>工程完工后，发承包双方必须在合同约定时间内办理工程竣工结算。</w:t>
      </w:r>
      <w:r>
        <w:rPr>
          <w:sz w:val="24"/>
          <w:szCs w:val="24"/>
        </w:rPr>
        <w:t xml:space="preserve"> </w:t>
      </w:r>
    </w:p>
    <w:p>
      <w:pPr>
        <w:pStyle w:val="58"/>
        <w:tabs>
          <w:tab w:val="left" w:pos="1046"/>
        </w:tabs>
        <w:spacing w:line="360" w:lineRule="auto"/>
        <w:ind w:left="0" w:right="1649" w:firstLine="480" w:firstLineChars="200"/>
        <w:jc w:val="both"/>
        <w:rPr>
          <w:sz w:val="24"/>
          <w:szCs w:val="24"/>
        </w:rPr>
      </w:pPr>
      <w:r>
        <w:rPr>
          <w:sz w:val="24"/>
          <w:szCs w:val="24"/>
          <w:lang w:val="en-US"/>
        </w:rPr>
        <w:t>15.2.4</w:t>
      </w:r>
      <w:r>
        <w:rPr>
          <w:rFonts w:hint="eastAsia"/>
          <w:sz w:val="24"/>
          <w:szCs w:val="24"/>
        </w:rPr>
        <w:t>发包人应按照合同约定的质量保证金比例从结算款中预留质量保证金。在</w:t>
      </w:r>
      <w:r>
        <w:rPr>
          <w:rFonts w:hint="eastAsia"/>
          <w:spacing w:val="-1"/>
          <w:sz w:val="24"/>
          <w:szCs w:val="24"/>
        </w:rPr>
        <w:t>合同约定的缺陷责任期终止后，发包人应将剩余的质量保证金返还给承包</w:t>
      </w:r>
      <w:r>
        <w:rPr>
          <w:rFonts w:hint="eastAsia"/>
          <w:sz w:val="24"/>
          <w:szCs w:val="24"/>
        </w:rPr>
        <w:t>人。</w:t>
      </w:r>
    </w:p>
    <w:p>
      <w:pPr>
        <w:pStyle w:val="7"/>
        <w:tabs>
          <w:tab w:val="left" w:pos="688"/>
        </w:tabs>
        <w:spacing w:line="360" w:lineRule="auto"/>
        <w:ind w:left="0" w:firstLine="482" w:firstLineChars="200"/>
        <w:rPr>
          <w:rFonts w:ascii="宋体" w:hAnsi="宋体" w:eastAsia="宋体" w:cs="宋体"/>
        </w:rPr>
      </w:pPr>
      <w:r>
        <w:rPr>
          <w:rFonts w:ascii="宋体" w:hAnsi="宋体" w:eastAsia="宋体" w:cs="宋体"/>
          <w:lang w:val="en-US"/>
        </w:rPr>
        <w:t>16.</w:t>
      </w:r>
      <w:r>
        <w:rPr>
          <w:rFonts w:hint="eastAsia" w:ascii="宋体" w:hAnsi="宋体" w:eastAsia="宋体" w:cs="宋体"/>
        </w:rPr>
        <w:t>工程验收和工程移交</w:t>
      </w:r>
    </w:p>
    <w:p>
      <w:pPr>
        <w:pStyle w:val="7"/>
        <w:tabs>
          <w:tab w:val="left" w:pos="1293"/>
        </w:tabs>
        <w:spacing w:line="360" w:lineRule="auto"/>
        <w:ind w:left="-1" w:firstLine="480" w:firstLineChars="200"/>
        <w:rPr>
          <w:rFonts w:ascii="宋体" w:hAnsi="宋体" w:eastAsia="宋体" w:cs="宋体"/>
        </w:rPr>
      </w:pPr>
      <w:r>
        <w:rPr>
          <w:rFonts w:ascii="宋体" w:hAnsi="宋体" w:eastAsia="宋体" w:cs="宋体"/>
          <w:b w:val="0"/>
          <w:bCs w:val="0"/>
          <w:lang w:val="en-US"/>
        </w:rPr>
        <w:t>16.1</w:t>
      </w:r>
      <w:r>
        <w:rPr>
          <w:rFonts w:hint="eastAsia" w:ascii="宋体" w:hAnsi="宋体" w:eastAsia="宋体" w:cs="宋体"/>
        </w:rPr>
        <w:t>验收基本要求</w:t>
      </w:r>
    </w:p>
    <w:p>
      <w:pPr>
        <w:pStyle w:val="18"/>
        <w:spacing w:line="360" w:lineRule="auto"/>
        <w:ind w:firstLine="480" w:firstLineChars="200"/>
      </w:pPr>
      <w:r>
        <w:rPr>
          <w:rFonts w:hint="eastAsia"/>
        </w:rPr>
        <w:t>工程验收需满足以下基本要求：</w:t>
      </w:r>
      <w:r>
        <w:t xml:space="preserve"> </w:t>
      </w:r>
    </w:p>
    <w:p>
      <w:pPr>
        <w:pStyle w:val="18"/>
        <w:spacing w:line="360" w:lineRule="auto"/>
        <w:ind w:right="4139" w:firstLine="480" w:firstLineChars="200"/>
      </w:pPr>
      <w:r>
        <w:rPr>
          <w:rFonts w:hint="eastAsia"/>
        </w:rPr>
        <w:t>工程质量应符合本规范和相关专业验收规范的规定。</w:t>
      </w:r>
      <w:r>
        <w:rPr>
          <w:rFonts w:hint="eastAsia"/>
          <w:lang w:val="en-US"/>
        </w:rPr>
        <w:t>工</w:t>
      </w:r>
      <w:r>
        <w:rPr>
          <w:rFonts w:hint="eastAsia"/>
        </w:rPr>
        <w:t>程施工应符合工程勘察、设计文件的要求。</w:t>
      </w:r>
      <w:r>
        <w:t xml:space="preserve"> </w:t>
      </w:r>
    </w:p>
    <w:p>
      <w:pPr>
        <w:pStyle w:val="18"/>
        <w:spacing w:line="360" w:lineRule="auto"/>
        <w:ind w:firstLine="480" w:firstLineChars="200"/>
      </w:pPr>
      <w:r>
        <w:rPr>
          <w:rFonts w:hint="eastAsia"/>
        </w:rPr>
        <w:t>参加工程验收的人员应具备相应的资格。</w:t>
      </w:r>
      <w:r>
        <w:t xml:space="preserve"> </w:t>
      </w:r>
    </w:p>
    <w:p>
      <w:pPr>
        <w:pStyle w:val="18"/>
        <w:spacing w:line="360" w:lineRule="auto"/>
        <w:ind w:firstLine="480" w:firstLineChars="200"/>
      </w:pPr>
      <w:r>
        <w:rPr>
          <w:rFonts w:hint="eastAsia"/>
        </w:rPr>
        <w:t>工程质量的验收应在承包人自行检查评定的基础上进行。</w:t>
      </w:r>
      <w:r>
        <w:t xml:space="preserve"> </w:t>
      </w:r>
    </w:p>
    <w:p>
      <w:pPr>
        <w:pStyle w:val="18"/>
        <w:spacing w:line="360" w:lineRule="auto"/>
        <w:ind w:right="1645" w:firstLine="480" w:firstLineChars="200"/>
      </w:pPr>
      <w:r>
        <w:rPr>
          <w:rFonts w:hint="eastAsia"/>
        </w:rPr>
        <w:t>隐蔽工程在隐蔽前应由承包人通知有关单位进行验收，并应形成验收文件。</w:t>
      </w:r>
    </w:p>
    <w:p>
      <w:pPr>
        <w:pStyle w:val="18"/>
        <w:spacing w:line="360" w:lineRule="auto"/>
        <w:ind w:right="1645" w:firstLine="456" w:firstLineChars="200"/>
      </w:pPr>
      <w:r>
        <w:rPr>
          <w:rFonts w:hint="eastAsia"/>
          <w:spacing w:val="-6"/>
        </w:rPr>
        <w:t>关系植物成活的水、土、基质，涉及结构安全的试块、试件以及有关材料，应</w:t>
      </w:r>
    </w:p>
    <w:p>
      <w:pPr>
        <w:pStyle w:val="18"/>
        <w:spacing w:line="360" w:lineRule="auto"/>
      </w:pPr>
      <w:r>
        <w:rPr>
          <w:rFonts w:hint="eastAsia"/>
        </w:rPr>
        <w:t>按规定进行见证取样检测。</w:t>
      </w:r>
      <w:r>
        <w:t xml:space="preserve"> </w:t>
      </w:r>
    </w:p>
    <w:p>
      <w:pPr>
        <w:pStyle w:val="18"/>
        <w:spacing w:line="360" w:lineRule="auto"/>
        <w:ind w:firstLine="480" w:firstLineChars="200"/>
      </w:pPr>
      <w:r>
        <w:rPr>
          <w:rFonts w:hint="eastAsia"/>
        </w:rPr>
        <w:t>检验批的质量应按主控工程和一般工程验收。</w:t>
      </w:r>
      <w:r>
        <w:t xml:space="preserve"> </w:t>
      </w:r>
    </w:p>
    <w:p>
      <w:pPr>
        <w:pStyle w:val="18"/>
        <w:spacing w:line="360" w:lineRule="auto"/>
        <w:ind w:right="1978" w:firstLine="480" w:firstLineChars="200"/>
      </w:pPr>
      <w:r>
        <w:rPr>
          <w:rFonts w:hint="eastAsia"/>
        </w:rPr>
        <w:t>对涉及植物成活、结构安全和使用功能的重要分部工程应进行抽样检测。</w:t>
      </w:r>
    </w:p>
    <w:p>
      <w:pPr>
        <w:pStyle w:val="18"/>
        <w:spacing w:line="360" w:lineRule="auto"/>
        <w:ind w:right="1978" w:firstLine="480" w:firstLineChars="200"/>
      </w:pPr>
      <w:r>
        <w:rPr>
          <w:rFonts w:hint="eastAsia"/>
        </w:rPr>
        <w:t>承担见证取样检测及有关结构安全检测的单位应具有相应资格。</w:t>
      </w:r>
      <w:r>
        <w:t xml:space="preserve"> </w:t>
      </w:r>
    </w:p>
    <w:p>
      <w:pPr>
        <w:spacing w:line="360" w:lineRule="auto"/>
        <w:ind w:right="3659" w:firstLine="480" w:firstLineChars="200"/>
        <w:rPr>
          <w:sz w:val="24"/>
          <w:szCs w:val="24"/>
        </w:rPr>
      </w:pPr>
      <w:r>
        <w:rPr>
          <w:rFonts w:hint="eastAsia"/>
          <w:sz w:val="24"/>
          <w:szCs w:val="24"/>
        </w:rPr>
        <w:t>工程的观感质量应由验收人员通过现场检查，共同确认</w:t>
      </w:r>
    </w:p>
    <w:p>
      <w:pPr>
        <w:spacing w:before="3" w:line="360" w:lineRule="auto"/>
        <w:ind w:right="3659" w:firstLine="482" w:firstLineChars="200"/>
        <w:rPr>
          <w:b/>
          <w:sz w:val="24"/>
        </w:rPr>
      </w:pPr>
      <w:r>
        <w:rPr>
          <w:b/>
          <w:sz w:val="24"/>
        </w:rPr>
        <w:t xml:space="preserve">16.2 </w:t>
      </w:r>
      <w:r>
        <w:rPr>
          <w:rFonts w:hint="eastAsia"/>
          <w:b/>
          <w:sz w:val="24"/>
        </w:rPr>
        <w:t>工程验收的划分及相应规定</w:t>
      </w:r>
    </w:p>
    <w:p>
      <w:pPr>
        <w:pStyle w:val="58"/>
        <w:tabs>
          <w:tab w:val="left" w:pos="1526"/>
        </w:tabs>
        <w:spacing w:line="360" w:lineRule="auto"/>
        <w:ind w:left="0" w:firstLine="480" w:firstLineChars="200"/>
        <w:rPr>
          <w:sz w:val="24"/>
        </w:rPr>
      </w:pPr>
      <w:r>
        <w:rPr>
          <w:sz w:val="24"/>
          <w:lang w:val="en-US"/>
        </w:rPr>
        <w:t>16.2.1</w:t>
      </w:r>
      <w:r>
        <w:rPr>
          <w:rFonts w:hint="eastAsia"/>
          <w:sz w:val="24"/>
        </w:rPr>
        <w:t>园林绿化工程质量验收应划分为：单位（</w:t>
      </w:r>
      <w:r>
        <w:rPr>
          <w:rFonts w:hint="eastAsia"/>
          <w:spacing w:val="1"/>
          <w:sz w:val="24"/>
        </w:rPr>
        <w:t>子单位</w:t>
      </w:r>
      <w:r>
        <w:rPr>
          <w:rFonts w:hint="eastAsia"/>
          <w:spacing w:val="4"/>
          <w:sz w:val="24"/>
        </w:rPr>
        <w:t>）</w:t>
      </w:r>
      <w:r>
        <w:rPr>
          <w:rFonts w:hint="eastAsia"/>
          <w:sz w:val="24"/>
        </w:rPr>
        <w:t>工程、分部（子分</w:t>
      </w:r>
    </w:p>
    <w:p>
      <w:pPr>
        <w:pStyle w:val="18"/>
        <w:spacing w:before="84" w:line="360" w:lineRule="auto"/>
      </w:pPr>
      <w:r>
        <w:rPr>
          <w:rFonts w:hint="eastAsia"/>
        </w:rPr>
        <w:t>部）工程、分项工程和检验批。</w:t>
      </w:r>
      <w:r>
        <w:t xml:space="preserve"> </w:t>
      </w:r>
    </w:p>
    <w:p>
      <w:pPr>
        <w:pStyle w:val="18"/>
        <w:spacing w:before="84" w:line="360" w:lineRule="auto"/>
        <w:ind w:left="324"/>
      </w:pPr>
      <w:r>
        <w:rPr>
          <w:lang w:val="en-US"/>
        </w:rPr>
        <w:t>16.2.2</w:t>
      </w:r>
      <w:r>
        <w:rPr>
          <w:rFonts w:hint="eastAsia"/>
        </w:rPr>
        <w:t>检验批合格质量应符合下列规定：</w:t>
      </w:r>
      <w:r>
        <w:t xml:space="preserve">  </w:t>
      </w:r>
    </w:p>
    <w:p>
      <w:pPr>
        <w:pStyle w:val="18"/>
        <w:spacing w:line="360" w:lineRule="auto"/>
        <w:ind w:left="324"/>
      </w:pPr>
      <w:r>
        <w:rPr>
          <w:lang w:val="en-US"/>
        </w:rPr>
        <w:t>16.2.3</w:t>
      </w:r>
      <w:r>
        <w:rPr>
          <w:rFonts w:hint="eastAsia"/>
        </w:rPr>
        <w:t>主控工程和一般工程的质量经抽样检验合格。</w:t>
      </w:r>
    </w:p>
    <w:p>
      <w:pPr>
        <w:pStyle w:val="18"/>
        <w:spacing w:line="360" w:lineRule="auto"/>
        <w:ind w:left="324"/>
      </w:pPr>
      <w:r>
        <w:t xml:space="preserve"> </w:t>
      </w:r>
      <w:r>
        <w:rPr>
          <w:rFonts w:hint="eastAsia"/>
        </w:rPr>
        <w:t>具有完整的施工操作依据、质量检查记录。</w:t>
      </w:r>
      <w:r>
        <w:t xml:space="preserve"> </w:t>
      </w:r>
    </w:p>
    <w:p>
      <w:pPr>
        <w:pStyle w:val="58"/>
        <w:numPr>
          <w:ilvl w:val="2"/>
          <w:numId w:val="14"/>
        </w:numPr>
        <w:tabs>
          <w:tab w:val="left" w:pos="1526"/>
        </w:tabs>
        <w:spacing w:line="360" w:lineRule="auto"/>
        <w:ind w:left="804" w:right="4379" w:firstLine="0"/>
        <w:rPr>
          <w:sz w:val="24"/>
          <w:szCs w:val="24"/>
        </w:rPr>
      </w:pPr>
      <w:r>
        <w:rPr>
          <w:rFonts w:hint="eastAsia"/>
          <w:sz w:val="24"/>
          <w:szCs w:val="24"/>
        </w:rPr>
        <w:t>分项工程质量验收合格应符合下列规定：</w:t>
      </w:r>
    </w:p>
    <w:p>
      <w:pPr>
        <w:pStyle w:val="58"/>
        <w:numPr>
          <w:ilvl w:val="2"/>
          <w:numId w:val="14"/>
        </w:numPr>
        <w:tabs>
          <w:tab w:val="left" w:pos="1526"/>
        </w:tabs>
        <w:spacing w:line="360" w:lineRule="auto"/>
        <w:ind w:left="804" w:right="4379" w:firstLine="0"/>
        <w:rPr>
          <w:sz w:val="24"/>
          <w:szCs w:val="24"/>
        </w:rPr>
      </w:pPr>
      <w:r>
        <w:rPr>
          <w:sz w:val="24"/>
          <w:szCs w:val="24"/>
        </w:rPr>
        <w:t xml:space="preserve"> </w:t>
      </w:r>
      <w:r>
        <w:rPr>
          <w:rFonts w:hint="eastAsia"/>
          <w:sz w:val="24"/>
          <w:szCs w:val="24"/>
        </w:rPr>
        <w:t>分项工程所含的检验批均应符合合格质量的规定。</w:t>
      </w:r>
      <w:r>
        <w:rPr>
          <w:sz w:val="24"/>
          <w:szCs w:val="24"/>
        </w:rPr>
        <w:t xml:space="preserve"> </w:t>
      </w:r>
      <w:r>
        <w:rPr>
          <w:rFonts w:hint="eastAsia"/>
          <w:sz w:val="24"/>
          <w:szCs w:val="24"/>
        </w:rPr>
        <w:t>分项工程所含的检验批的质量验收记录应完整。</w:t>
      </w:r>
      <w:r>
        <w:rPr>
          <w:sz w:val="24"/>
          <w:szCs w:val="24"/>
        </w:rPr>
        <w:t xml:space="preserve"> </w:t>
      </w:r>
    </w:p>
    <w:p>
      <w:pPr>
        <w:pStyle w:val="58"/>
        <w:numPr>
          <w:ilvl w:val="2"/>
          <w:numId w:val="14"/>
        </w:numPr>
        <w:tabs>
          <w:tab w:val="left" w:pos="1526"/>
        </w:tabs>
        <w:spacing w:line="360" w:lineRule="auto"/>
        <w:ind w:left="804" w:right="3298" w:firstLine="0"/>
        <w:rPr>
          <w:sz w:val="24"/>
          <w:szCs w:val="24"/>
        </w:rPr>
      </w:pPr>
      <w:r>
        <w:rPr>
          <w:rFonts w:hint="eastAsia"/>
          <w:sz w:val="24"/>
          <w:szCs w:val="24"/>
        </w:rPr>
        <w:t>分部（子分部）工程质量验收合格应符合下列规定：</w:t>
      </w:r>
      <w:r>
        <w:rPr>
          <w:sz w:val="24"/>
          <w:szCs w:val="24"/>
        </w:rPr>
        <w:t xml:space="preserve"> </w:t>
      </w:r>
      <w:r>
        <w:rPr>
          <w:rFonts w:hint="eastAsia"/>
          <w:sz w:val="24"/>
          <w:szCs w:val="24"/>
        </w:rPr>
        <w:t>分部（子分部）工程所含工程的质量均应验收合格。</w:t>
      </w:r>
      <w:r>
        <w:rPr>
          <w:sz w:val="24"/>
          <w:szCs w:val="24"/>
        </w:rPr>
        <w:t xml:space="preserve"> </w:t>
      </w:r>
    </w:p>
    <w:p>
      <w:pPr>
        <w:pStyle w:val="18"/>
        <w:spacing w:line="360" w:lineRule="auto"/>
        <w:ind w:left="804"/>
      </w:pPr>
      <w:r>
        <w:rPr>
          <w:rFonts w:hint="eastAsia"/>
        </w:rPr>
        <w:t>质量控制资料应完整。</w:t>
      </w:r>
      <w:r>
        <w:t xml:space="preserve"> </w:t>
      </w:r>
    </w:p>
    <w:p>
      <w:pPr>
        <w:pStyle w:val="18"/>
        <w:spacing w:line="360" w:lineRule="auto"/>
        <w:ind w:left="324" w:right="1594" w:firstLine="479"/>
      </w:pPr>
      <w:r>
        <w:rPr>
          <w:rFonts w:hint="eastAsia"/>
        </w:rPr>
        <w:t>分部工程各有关安全、功能及涉及植物成活要素的检验和抽样检测结果应符合有关规定。</w:t>
      </w:r>
      <w:r>
        <w:t xml:space="preserve"> </w:t>
      </w:r>
    </w:p>
    <w:p>
      <w:pPr>
        <w:pStyle w:val="18"/>
        <w:spacing w:line="360" w:lineRule="auto"/>
        <w:ind w:left="804"/>
      </w:pPr>
      <w:r>
        <w:rPr>
          <w:rFonts w:hint="eastAsia"/>
        </w:rPr>
        <w:t>观感质量验收应符合要求。</w:t>
      </w:r>
      <w:r>
        <w:t xml:space="preserve"> </w:t>
      </w:r>
    </w:p>
    <w:p>
      <w:pPr>
        <w:pStyle w:val="58"/>
        <w:numPr>
          <w:ilvl w:val="2"/>
          <w:numId w:val="14"/>
        </w:numPr>
        <w:tabs>
          <w:tab w:val="left" w:pos="1526"/>
        </w:tabs>
        <w:spacing w:line="360" w:lineRule="auto"/>
        <w:ind w:hanging="722"/>
        <w:rPr>
          <w:sz w:val="24"/>
          <w:szCs w:val="24"/>
        </w:rPr>
      </w:pPr>
      <w:r>
        <w:rPr>
          <w:rFonts w:hint="eastAsia"/>
          <w:sz w:val="24"/>
          <w:szCs w:val="24"/>
        </w:rPr>
        <w:t>单位（子单位）工程质量验收合格应符合下列规定：</w:t>
      </w:r>
      <w:r>
        <w:rPr>
          <w:sz w:val="24"/>
          <w:szCs w:val="24"/>
        </w:rPr>
        <w:t xml:space="preserve"> </w:t>
      </w:r>
    </w:p>
    <w:p>
      <w:pPr>
        <w:pStyle w:val="18"/>
        <w:spacing w:line="360" w:lineRule="auto"/>
        <w:ind w:left="804" w:right="2458"/>
      </w:pPr>
      <w:r>
        <w:rPr>
          <w:rFonts w:hint="eastAsia"/>
        </w:rPr>
        <w:t>单位（子单位）工程所含分部（子分部）工程的质量均应验收合格。质量控制资料应完整。</w:t>
      </w:r>
      <w:r>
        <w:t xml:space="preserve"> </w:t>
      </w:r>
    </w:p>
    <w:p>
      <w:pPr>
        <w:pStyle w:val="18"/>
        <w:spacing w:line="360" w:lineRule="auto"/>
        <w:ind w:left="324" w:right="1594" w:firstLine="479"/>
      </w:pPr>
      <w:r>
        <w:rPr>
          <w:rFonts w:hint="eastAsia"/>
        </w:rPr>
        <w:t>单位（子单位）工程所含分部工程有关安全、功能及涉及植物成活要素的检测资料应完整。</w:t>
      </w:r>
      <w:r>
        <w:t xml:space="preserve"> </w:t>
      </w:r>
    </w:p>
    <w:p>
      <w:pPr>
        <w:pStyle w:val="18"/>
        <w:spacing w:line="360" w:lineRule="auto"/>
        <w:ind w:left="804" w:right="2938"/>
      </w:pPr>
      <w:r>
        <w:rPr>
          <w:rFonts w:hint="eastAsia"/>
        </w:rPr>
        <w:t>主要功能工程的抽查结果应符合相关专业质量验收规范的规定。观感质量验收应符合要求。</w:t>
      </w:r>
      <w:r>
        <w:t xml:space="preserve"> </w:t>
      </w:r>
    </w:p>
    <w:p>
      <w:pPr>
        <w:pStyle w:val="58"/>
        <w:numPr>
          <w:ilvl w:val="2"/>
          <w:numId w:val="14"/>
        </w:numPr>
        <w:tabs>
          <w:tab w:val="left" w:pos="1526"/>
        </w:tabs>
        <w:spacing w:line="360" w:lineRule="auto"/>
        <w:ind w:left="804" w:right="3298" w:firstLine="0"/>
        <w:rPr>
          <w:sz w:val="24"/>
          <w:szCs w:val="24"/>
        </w:rPr>
      </w:pPr>
      <w:r>
        <w:rPr>
          <w:rFonts w:hint="eastAsia"/>
          <w:sz w:val="24"/>
          <w:szCs w:val="24"/>
        </w:rPr>
        <w:t>当工程质量不符合要求时，应按下列规定进行处理：</w:t>
      </w:r>
      <w:r>
        <w:rPr>
          <w:sz w:val="24"/>
          <w:szCs w:val="24"/>
        </w:rPr>
        <w:t xml:space="preserve"> </w:t>
      </w:r>
      <w:r>
        <w:rPr>
          <w:rFonts w:hint="eastAsia"/>
          <w:sz w:val="24"/>
          <w:szCs w:val="24"/>
        </w:rPr>
        <w:t>经返工重做或更换设备的检验批，应重新进行验收。</w:t>
      </w:r>
      <w:r>
        <w:rPr>
          <w:sz w:val="24"/>
          <w:szCs w:val="24"/>
        </w:rPr>
        <w:t xml:space="preserve"> </w:t>
      </w:r>
    </w:p>
    <w:p>
      <w:pPr>
        <w:pStyle w:val="18"/>
        <w:spacing w:line="360" w:lineRule="auto"/>
        <w:ind w:left="804"/>
      </w:pPr>
      <w:r>
        <w:rPr>
          <w:rFonts w:hint="eastAsia"/>
        </w:rPr>
        <w:t>经有资质的检测单位检测鉴定能够达到设计要求的检验批，应予以验收。</w:t>
      </w:r>
      <w:r>
        <w:t xml:space="preserve"> </w:t>
      </w:r>
    </w:p>
    <w:p>
      <w:pPr>
        <w:pStyle w:val="18"/>
        <w:spacing w:line="360" w:lineRule="auto"/>
        <w:ind w:left="324" w:right="1594" w:firstLine="479"/>
      </w:pPr>
      <w:r>
        <w:rPr>
          <w:rFonts w:hint="eastAsia"/>
        </w:rPr>
        <w:t>经有资质的检测单位检测鉴定达不到设计要求、但经原设计单位核算认可能够满足结构安全和使用功能的检验批，可予以验收。</w:t>
      </w:r>
      <w:r>
        <w:t xml:space="preserve"> </w:t>
      </w:r>
    </w:p>
    <w:p>
      <w:pPr>
        <w:pStyle w:val="18"/>
        <w:spacing w:line="360" w:lineRule="auto"/>
        <w:ind w:left="324" w:right="1594" w:firstLine="479"/>
      </w:pPr>
      <w:r>
        <w:rPr>
          <w:rFonts w:hint="eastAsia"/>
        </w:rPr>
        <w:t>经返修或加固处理的分项、分部工程，虽然改变外形尺寸但仍能满足安全使用要求，可按技术处理方案和协商文件进行验收。</w:t>
      </w:r>
      <w:r>
        <w:t xml:space="preserve"> </w:t>
      </w:r>
    </w:p>
    <w:p>
      <w:pPr>
        <w:pStyle w:val="58"/>
        <w:numPr>
          <w:ilvl w:val="2"/>
          <w:numId w:val="14"/>
        </w:numPr>
        <w:tabs>
          <w:tab w:val="left" w:pos="1526"/>
        </w:tabs>
        <w:spacing w:line="360" w:lineRule="auto"/>
        <w:ind w:left="324" w:right="1648" w:firstLine="479"/>
        <w:rPr>
          <w:sz w:val="24"/>
          <w:szCs w:val="24"/>
        </w:rPr>
      </w:pPr>
      <w:r>
        <w:rPr>
          <w:rFonts w:hint="eastAsia"/>
          <w:sz w:val="24"/>
          <w:szCs w:val="24"/>
        </w:rPr>
        <w:t>通过返修或加固处理仍不能满足安全使用要求的分部工程、单位（子单位）工程，不得验收。</w:t>
      </w:r>
      <w:r>
        <w:rPr>
          <w:sz w:val="24"/>
          <w:szCs w:val="24"/>
        </w:rPr>
        <w:t xml:space="preserve"> </w:t>
      </w:r>
    </w:p>
    <w:p>
      <w:pPr>
        <w:pStyle w:val="7"/>
        <w:numPr>
          <w:ilvl w:val="1"/>
          <w:numId w:val="15"/>
        </w:numPr>
        <w:tabs>
          <w:tab w:val="left" w:pos="1293"/>
        </w:tabs>
        <w:spacing w:line="360" w:lineRule="auto"/>
        <w:ind w:hanging="487"/>
        <w:rPr>
          <w:rFonts w:ascii="宋体" w:hAnsi="宋体" w:eastAsia="宋体" w:cs="宋体"/>
        </w:rPr>
      </w:pPr>
      <w:r>
        <w:rPr>
          <w:rFonts w:hint="eastAsia" w:ascii="宋体" w:hAnsi="宋体" w:eastAsia="宋体" w:cs="宋体"/>
        </w:rPr>
        <w:t>验收程序和组织</w:t>
      </w:r>
    </w:p>
    <w:p>
      <w:pPr>
        <w:pStyle w:val="58"/>
        <w:numPr>
          <w:ilvl w:val="2"/>
          <w:numId w:val="15"/>
        </w:numPr>
        <w:tabs>
          <w:tab w:val="left" w:pos="1526"/>
        </w:tabs>
        <w:spacing w:line="360" w:lineRule="auto"/>
        <w:ind w:right="1648" w:firstLine="479"/>
        <w:rPr>
          <w:sz w:val="24"/>
        </w:rPr>
      </w:pPr>
      <w:r>
        <w:rPr>
          <w:rFonts w:hint="eastAsia"/>
          <w:sz w:val="24"/>
        </w:rPr>
        <w:t>检验批及分项工程应由监理工程师</w:t>
      </w:r>
      <w:r>
        <w:rPr>
          <w:rFonts w:hint="eastAsia"/>
          <w:spacing w:val="4"/>
          <w:sz w:val="24"/>
        </w:rPr>
        <w:t>（</w:t>
      </w:r>
      <w:r>
        <w:rPr>
          <w:rFonts w:hint="eastAsia"/>
          <w:sz w:val="24"/>
        </w:rPr>
        <w:t>发包人工程技术负责人）组织承包人工程专业质量（技术）负责人等进行验收。</w:t>
      </w:r>
      <w:r>
        <w:rPr>
          <w:sz w:val="24"/>
        </w:rPr>
        <w:t xml:space="preserve"> </w:t>
      </w:r>
    </w:p>
    <w:p>
      <w:pPr>
        <w:pStyle w:val="58"/>
        <w:numPr>
          <w:ilvl w:val="2"/>
          <w:numId w:val="15"/>
        </w:numPr>
        <w:tabs>
          <w:tab w:val="left" w:pos="1526"/>
        </w:tabs>
        <w:spacing w:line="360" w:lineRule="auto"/>
        <w:ind w:right="1520" w:firstLine="479"/>
        <w:jc w:val="both"/>
        <w:rPr>
          <w:sz w:val="24"/>
        </w:rPr>
      </w:pPr>
      <w:r>
        <w:rPr>
          <w:rFonts w:hint="eastAsia"/>
          <w:sz w:val="24"/>
        </w:rPr>
        <w:t>分部工程应由总监理工程师</w:t>
      </w:r>
      <w:r>
        <w:rPr>
          <w:rFonts w:hint="eastAsia"/>
          <w:spacing w:val="6"/>
          <w:sz w:val="24"/>
        </w:rPr>
        <w:t>（</w:t>
      </w:r>
      <w:r>
        <w:rPr>
          <w:rFonts w:hint="eastAsia"/>
          <w:sz w:val="24"/>
        </w:rPr>
        <w:t>发包人项目负责人</w:t>
      </w:r>
      <w:r>
        <w:rPr>
          <w:rFonts w:hint="eastAsia"/>
          <w:spacing w:val="4"/>
          <w:sz w:val="24"/>
        </w:rPr>
        <w:t>）</w:t>
      </w:r>
      <w:r>
        <w:rPr>
          <w:rFonts w:hint="eastAsia"/>
          <w:sz w:val="24"/>
        </w:rPr>
        <w:t>组织承包人项目负责</w:t>
      </w:r>
      <w:r>
        <w:rPr>
          <w:rFonts w:hint="eastAsia"/>
          <w:spacing w:val="-4"/>
          <w:sz w:val="24"/>
        </w:rPr>
        <w:t>人和技术、质量负责人等进行验收；涉及主体结构安全的分部工程的勘察、设计单</w:t>
      </w:r>
      <w:r>
        <w:rPr>
          <w:rFonts w:hint="eastAsia"/>
          <w:spacing w:val="-5"/>
          <w:sz w:val="24"/>
        </w:rPr>
        <w:t>位工程项目负责人和承包人技术、质量部门负责人也应参加相关分部工程验收。</w:t>
      </w:r>
    </w:p>
    <w:p>
      <w:pPr>
        <w:pStyle w:val="18"/>
        <w:spacing w:line="360" w:lineRule="auto"/>
        <w:ind w:right="1640"/>
        <w:jc w:val="right"/>
      </w:pPr>
      <w:r>
        <w:rPr>
          <w:rFonts w:hint="eastAsia"/>
          <w:spacing w:val="-1"/>
        </w:rPr>
        <w:t>除合同另有约定外，承包人应提前</w:t>
      </w:r>
      <w:r>
        <w:rPr>
          <w:spacing w:val="-1"/>
        </w:rPr>
        <w:t xml:space="preserve"> </w:t>
      </w:r>
      <w:r>
        <w:t>48</w:t>
      </w:r>
      <w:r>
        <w:rPr>
          <w:spacing w:val="-3"/>
        </w:rPr>
        <w:t xml:space="preserve"> </w:t>
      </w:r>
      <w:r>
        <w:rPr>
          <w:rFonts w:hint="eastAsia"/>
          <w:spacing w:val="-3"/>
        </w:rPr>
        <w:t>小时通知监理人进行检验批及分部分项</w:t>
      </w:r>
    </w:p>
    <w:p>
      <w:pPr>
        <w:pStyle w:val="18"/>
        <w:spacing w:line="360" w:lineRule="auto"/>
        <w:ind w:right="1640"/>
        <w:jc w:val="right"/>
      </w:pPr>
      <w:r>
        <w:rPr>
          <w:rFonts w:hint="eastAsia"/>
          <w:spacing w:val="-1"/>
        </w:rPr>
        <w:t>工程验收。监理人不能按时进行验收的，应在验收前</w:t>
      </w:r>
      <w:r>
        <w:rPr>
          <w:spacing w:val="-1"/>
        </w:rPr>
        <w:t xml:space="preserve"> </w:t>
      </w:r>
      <w:r>
        <w:t>24</w:t>
      </w:r>
      <w:r>
        <w:rPr>
          <w:spacing w:val="-3"/>
        </w:rPr>
        <w:t xml:space="preserve"> </w:t>
      </w:r>
      <w:r>
        <w:rPr>
          <w:rFonts w:hint="eastAsia"/>
          <w:spacing w:val="-3"/>
        </w:rPr>
        <w:t>小时向承包人提交书面延</w:t>
      </w:r>
    </w:p>
    <w:p>
      <w:pPr>
        <w:pStyle w:val="18"/>
        <w:spacing w:line="360" w:lineRule="auto"/>
        <w:ind w:left="324" w:right="1522"/>
        <w:jc w:val="both"/>
      </w:pPr>
      <w:r>
        <w:rPr>
          <w:rFonts w:hint="eastAsia"/>
          <w:spacing w:val="-7"/>
        </w:rPr>
        <w:t>期要求，但延期不能超过</w:t>
      </w:r>
      <w:r>
        <w:rPr>
          <w:spacing w:val="-7"/>
        </w:rPr>
        <w:t xml:space="preserve"> </w:t>
      </w:r>
      <w:r>
        <w:t>48</w:t>
      </w:r>
      <w:r>
        <w:rPr>
          <w:spacing w:val="-10"/>
        </w:rPr>
        <w:t xml:space="preserve"> </w:t>
      </w:r>
      <w:r>
        <w:rPr>
          <w:rFonts w:hint="eastAsia"/>
          <w:spacing w:val="-10"/>
        </w:rPr>
        <w:t>小时。监理人未按时进行验收，也未提出延期要求的，</w:t>
      </w:r>
      <w:r>
        <w:rPr>
          <w:spacing w:val="-10"/>
        </w:rPr>
        <w:t xml:space="preserve"> </w:t>
      </w:r>
      <w:r>
        <w:rPr>
          <w:rFonts w:hint="eastAsia"/>
        </w:rPr>
        <w:t>承包人有权自行验收，监理人应认可验收结果。</w:t>
      </w:r>
      <w:r>
        <w:t xml:space="preserve"> </w:t>
      </w:r>
    </w:p>
    <w:p>
      <w:pPr>
        <w:pStyle w:val="58"/>
        <w:numPr>
          <w:ilvl w:val="2"/>
          <w:numId w:val="15"/>
        </w:numPr>
        <w:tabs>
          <w:tab w:val="left" w:pos="1526"/>
        </w:tabs>
        <w:spacing w:line="360" w:lineRule="auto"/>
        <w:ind w:right="1640" w:firstLine="479"/>
        <w:jc w:val="both"/>
        <w:rPr>
          <w:sz w:val="24"/>
          <w:szCs w:val="24"/>
        </w:rPr>
      </w:pPr>
      <w:r>
        <w:rPr>
          <w:rFonts w:hint="eastAsia"/>
          <w:sz w:val="24"/>
          <w:szCs w:val="24"/>
        </w:rPr>
        <w:t>承包人在单位（</w:t>
      </w:r>
      <w:r>
        <w:rPr>
          <w:rFonts w:hint="eastAsia"/>
          <w:spacing w:val="1"/>
          <w:sz w:val="24"/>
          <w:szCs w:val="24"/>
        </w:rPr>
        <w:t>子单位</w:t>
      </w:r>
      <w:r>
        <w:rPr>
          <w:rFonts w:hint="eastAsia"/>
          <w:sz w:val="24"/>
          <w:szCs w:val="24"/>
        </w:rPr>
        <w:t>）工程完工，经自检合格并达到竣工验收条件</w:t>
      </w:r>
      <w:r>
        <w:rPr>
          <w:rFonts w:hint="eastAsia"/>
          <w:spacing w:val="-10"/>
          <w:sz w:val="24"/>
          <w:szCs w:val="24"/>
        </w:rPr>
        <w:t>后，填写《单位工程竣工预验收报验表》，并附相应竣工资料</w:t>
      </w:r>
      <w:r>
        <w:rPr>
          <w:spacing w:val="-10"/>
          <w:sz w:val="24"/>
          <w:szCs w:val="24"/>
        </w:rPr>
        <w:t>{</w:t>
      </w:r>
      <w:r>
        <w:rPr>
          <w:rFonts w:hint="eastAsia"/>
          <w:spacing w:val="-10"/>
          <w:sz w:val="24"/>
          <w:szCs w:val="24"/>
        </w:rPr>
        <w:t>《分部</w:t>
      </w:r>
      <w:r>
        <w:rPr>
          <w:rFonts w:hint="eastAsia"/>
          <w:sz w:val="24"/>
          <w:szCs w:val="24"/>
        </w:rPr>
        <w:t>（子分部</w:t>
      </w:r>
      <w:r>
        <w:rPr>
          <w:rFonts w:hint="eastAsia"/>
          <w:spacing w:val="-5"/>
          <w:sz w:val="24"/>
          <w:szCs w:val="24"/>
        </w:rPr>
        <w:t>）</w:t>
      </w:r>
      <w:r>
        <w:rPr>
          <w:rFonts w:hint="eastAsia"/>
          <w:spacing w:val="-15"/>
          <w:sz w:val="24"/>
          <w:szCs w:val="24"/>
        </w:rPr>
        <w:t>工</w:t>
      </w:r>
      <w:r>
        <w:rPr>
          <w:rFonts w:hint="eastAsia"/>
          <w:spacing w:val="-21"/>
          <w:sz w:val="24"/>
          <w:szCs w:val="24"/>
        </w:rPr>
        <w:t>程质量验收记录表》，《单位</w:t>
      </w:r>
      <w:r>
        <w:rPr>
          <w:rFonts w:hint="eastAsia"/>
          <w:sz w:val="24"/>
          <w:szCs w:val="24"/>
        </w:rPr>
        <w:t>（子单位</w:t>
      </w:r>
      <w:r>
        <w:rPr>
          <w:rFonts w:hint="eastAsia"/>
          <w:spacing w:val="-5"/>
          <w:sz w:val="24"/>
          <w:szCs w:val="24"/>
        </w:rPr>
        <w:t>）</w:t>
      </w:r>
      <w:r>
        <w:rPr>
          <w:rFonts w:hint="eastAsia"/>
          <w:spacing w:val="-17"/>
          <w:sz w:val="24"/>
          <w:szCs w:val="24"/>
        </w:rPr>
        <w:t>工程质量控制资料核查记录》，《单位</w:t>
      </w:r>
      <w:r>
        <w:rPr>
          <w:rFonts w:hint="eastAsia"/>
          <w:sz w:val="24"/>
          <w:szCs w:val="24"/>
        </w:rPr>
        <w:t>（</w:t>
      </w:r>
      <w:r>
        <w:rPr>
          <w:rFonts w:hint="eastAsia"/>
          <w:spacing w:val="-7"/>
          <w:sz w:val="24"/>
          <w:szCs w:val="24"/>
        </w:rPr>
        <w:t>子单</w:t>
      </w:r>
      <w:r>
        <w:rPr>
          <w:rFonts w:hint="eastAsia"/>
          <w:sz w:val="24"/>
          <w:szCs w:val="24"/>
        </w:rPr>
        <w:t>位</w:t>
      </w:r>
      <w:r>
        <w:rPr>
          <w:rFonts w:hint="eastAsia"/>
          <w:spacing w:val="-8"/>
          <w:sz w:val="24"/>
          <w:szCs w:val="24"/>
        </w:rPr>
        <w:t>）</w:t>
      </w:r>
      <w:r>
        <w:rPr>
          <w:rFonts w:hint="eastAsia"/>
          <w:spacing w:val="-11"/>
          <w:sz w:val="24"/>
          <w:szCs w:val="24"/>
        </w:rPr>
        <w:t>工程安全、功能及涉及植物成活要素检验资料核查及主要功能抽查记录》，《单</w:t>
      </w:r>
      <w:r>
        <w:rPr>
          <w:rFonts w:hint="eastAsia"/>
          <w:spacing w:val="-5"/>
          <w:sz w:val="24"/>
          <w:szCs w:val="24"/>
        </w:rPr>
        <w:t>位</w:t>
      </w:r>
      <w:r>
        <w:rPr>
          <w:rFonts w:hint="eastAsia"/>
          <w:sz w:val="24"/>
          <w:szCs w:val="24"/>
        </w:rPr>
        <w:t>（子单位</w:t>
      </w:r>
      <w:r>
        <w:rPr>
          <w:rFonts w:hint="eastAsia"/>
          <w:spacing w:val="-5"/>
          <w:sz w:val="24"/>
          <w:szCs w:val="24"/>
        </w:rPr>
        <w:t>）</w:t>
      </w:r>
      <w:r>
        <w:rPr>
          <w:rFonts w:hint="eastAsia"/>
          <w:spacing w:val="-19"/>
          <w:sz w:val="24"/>
          <w:szCs w:val="24"/>
        </w:rPr>
        <w:t>工程观感质量检查记录》，《单位</w:t>
      </w:r>
      <w:r>
        <w:rPr>
          <w:rFonts w:hint="eastAsia"/>
          <w:sz w:val="24"/>
          <w:szCs w:val="24"/>
        </w:rPr>
        <w:t>（子单位</w:t>
      </w:r>
      <w:r>
        <w:rPr>
          <w:rFonts w:hint="eastAsia"/>
          <w:spacing w:val="-5"/>
          <w:sz w:val="24"/>
          <w:szCs w:val="24"/>
        </w:rPr>
        <w:t>）</w:t>
      </w:r>
      <w:r>
        <w:rPr>
          <w:rFonts w:hint="eastAsia"/>
          <w:spacing w:val="-2"/>
          <w:sz w:val="24"/>
          <w:szCs w:val="24"/>
        </w:rPr>
        <w:t>工程植物成活率及地被覆</w:t>
      </w:r>
      <w:r>
        <w:rPr>
          <w:rFonts w:hint="eastAsia"/>
          <w:sz w:val="24"/>
          <w:szCs w:val="24"/>
        </w:rPr>
        <w:t>盖率统计记录》</w:t>
      </w:r>
      <w:r>
        <w:rPr>
          <w:sz w:val="24"/>
          <w:szCs w:val="24"/>
        </w:rPr>
        <w:t>}</w:t>
      </w:r>
      <w:r>
        <w:rPr>
          <w:rFonts w:hint="eastAsia"/>
          <w:sz w:val="24"/>
          <w:szCs w:val="24"/>
        </w:rPr>
        <w:t>，报监理人，申请工程竣工初验收。总监理工程师组织监理工程部人员与承包人根据有关规定共同对工程进行工程竣工初验收。</w:t>
      </w:r>
      <w:r>
        <w:rPr>
          <w:sz w:val="24"/>
          <w:szCs w:val="24"/>
        </w:rPr>
        <w:t xml:space="preserve"> </w:t>
      </w:r>
    </w:p>
    <w:p>
      <w:pPr>
        <w:pStyle w:val="18"/>
        <w:spacing w:line="360" w:lineRule="auto"/>
        <w:ind w:left="804"/>
      </w:pPr>
      <w:r>
        <w:rPr>
          <w:rFonts w:hint="eastAsia"/>
        </w:rPr>
        <w:t>工程预验收前承包人还应向监理人提交以下资料：</w:t>
      </w:r>
      <w:r>
        <w:t xml:space="preserve"> </w:t>
      </w:r>
    </w:p>
    <w:p>
      <w:pPr>
        <w:pStyle w:val="18"/>
        <w:spacing w:line="360" w:lineRule="auto"/>
        <w:ind w:left="324" w:right="1520" w:firstLine="479"/>
        <w:jc w:val="both"/>
      </w:pPr>
      <w:r>
        <w:rPr>
          <w:rFonts w:hint="eastAsia"/>
          <w:spacing w:val="-2"/>
        </w:rPr>
        <w:t>承包人的自行检查和评定记录文件，即除监理人、发包人同意列入缺陷责任期</w:t>
      </w:r>
      <w:r>
        <w:rPr>
          <w:rFonts w:hint="eastAsia"/>
          <w:spacing w:val="-4"/>
        </w:rPr>
        <w:t>内完成的尾工</w:t>
      </w:r>
      <w:r>
        <w:rPr>
          <w:rFonts w:hint="eastAsia"/>
        </w:rPr>
        <w:t>（甩项</w:t>
      </w:r>
      <w:r>
        <w:rPr>
          <w:rFonts w:hint="eastAsia"/>
          <w:spacing w:val="-8"/>
        </w:rPr>
        <w:t>）</w:t>
      </w:r>
      <w:r>
        <w:rPr>
          <w:rFonts w:hint="eastAsia"/>
          <w:spacing w:val="-1"/>
        </w:rPr>
        <w:t>工程和缺陷修补工作外，合同范围内的全部单位工程以及有</w:t>
      </w:r>
      <w:r>
        <w:rPr>
          <w:rFonts w:hint="eastAsia"/>
          <w:spacing w:val="-16"/>
        </w:rPr>
        <w:t>关工作，包括合同要求的试验、试运行以及检验和验收均已完成，并符合合同要求；</w:t>
      </w:r>
    </w:p>
    <w:p>
      <w:pPr>
        <w:pStyle w:val="18"/>
        <w:spacing w:line="360" w:lineRule="auto"/>
        <w:ind w:left="804"/>
      </w:pPr>
      <w:r>
        <w:rPr>
          <w:rFonts w:hint="eastAsia"/>
        </w:rPr>
        <w:t>按合同条款约定的内容和份数整理的符合要求的竣工资料；</w:t>
      </w:r>
      <w:r>
        <w:t xml:space="preserve">  </w:t>
      </w:r>
    </w:p>
    <w:p>
      <w:pPr>
        <w:pStyle w:val="18"/>
        <w:spacing w:line="360" w:lineRule="auto"/>
        <w:ind w:left="324" w:right="1594" w:firstLine="479"/>
      </w:pPr>
      <w:r>
        <w:rPr>
          <w:rFonts w:hint="eastAsia"/>
        </w:rPr>
        <w:t>按监理人、发包人的要求编制了在缺陷责任期内完成的尾工（甩项）工程和缺陷修补工作清单以及相应施工计划；</w:t>
      </w:r>
      <w:r>
        <w:t xml:space="preserve"> </w:t>
      </w:r>
    </w:p>
    <w:p>
      <w:pPr>
        <w:pStyle w:val="18"/>
        <w:spacing w:line="360" w:lineRule="auto"/>
        <w:ind w:left="804" w:right="3659"/>
      </w:pPr>
      <w:r>
        <w:rPr>
          <w:rFonts w:hint="eastAsia"/>
        </w:rPr>
        <w:t>监理人要求在竣工验收前应完成的其他工作的证明材料；</w:t>
      </w:r>
      <w:r>
        <w:t xml:space="preserve"> </w:t>
      </w:r>
      <w:r>
        <w:rPr>
          <w:rFonts w:hint="eastAsia"/>
        </w:rPr>
        <w:t>监理人要求提交的竣工验收资料清单；</w:t>
      </w:r>
      <w:r>
        <w:t xml:space="preserve"> </w:t>
      </w:r>
    </w:p>
    <w:p>
      <w:pPr>
        <w:pStyle w:val="18"/>
        <w:spacing w:line="360" w:lineRule="auto"/>
        <w:ind w:left="804"/>
      </w:pPr>
      <w:r>
        <w:rPr>
          <w:rFonts w:hint="eastAsia"/>
        </w:rPr>
        <w:t>其他资料</w:t>
      </w:r>
      <w:r>
        <w:t xml:space="preserve"> </w:t>
      </w:r>
      <w:r>
        <w:rPr>
          <w:rFonts w:hint="eastAsia"/>
        </w:rPr>
        <w:t>：</w:t>
      </w:r>
      <w:r>
        <w:t xml:space="preserve">                                            </w:t>
      </w:r>
      <w:r>
        <w:rPr>
          <w:rFonts w:hint="eastAsia"/>
        </w:rPr>
        <w:t>。</w:t>
      </w:r>
      <w:r>
        <w:t xml:space="preserve"> </w:t>
      </w:r>
    </w:p>
    <w:p>
      <w:pPr>
        <w:pStyle w:val="18"/>
        <w:spacing w:line="360" w:lineRule="auto"/>
        <w:ind w:left="324" w:right="1640" w:firstLine="479"/>
        <w:jc w:val="both"/>
      </w:pPr>
      <w:r>
        <w:rPr>
          <w:rFonts w:hint="eastAsia"/>
          <w:spacing w:val="-1"/>
        </w:rPr>
        <w:t>监理人应在收到《单位工程竣工预验收报验表》及相关资料后</w:t>
      </w:r>
      <w:r>
        <w:rPr>
          <w:spacing w:val="-1"/>
        </w:rPr>
        <w:t xml:space="preserve"> </w:t>
      </w:r>
      <w:r>
        <w:t>14</w:t>
      </w:r>
      <w:r>
        <w:rPr>
          <w:spacing w:val="-6"/>
        </w:rPr>
        <w:t xml:space="preserve"> </w:t>
      </w:r>
      <w:r>
        <w:rPr>
          <w:rFonts w:hint="eastAsia"/>
          <w:spacing w:val="-6"/>
        </w:rPr>
        <w:t>天内完成组</w:t>
      </w:r>
      <w:r>
        <w:rPr>
          <w:rFonts w:hint="eastAsia"/>
        </w:rPr>
        <w:t>织完成申报工程的初验，并将工程初验合格信息及相关资料报送发包人。</w:t>
      </w:r>
      <w:r>
        <w:t xml:space="preserve"> </w:t>
      </w:r>
    </w:p>
    <w:p>
      <w:pPr>
        <w:pStyle w:val="58"/>
        <w:numPr>
          <w:ilvl w:val="2"/>
          <w:numId w:val="15"/>
        </w:numPr>
        <w:tabs>
          <w:tab w:val="left" w:pos="1526"/>
        </w:tabs>
        <w:spacing w:line="360" w:lineRule="auto"/>
        <w:ind w:right="1619" w:firstLine="479"/>
        <w:jc w:val="both"/>
        <w:rPr>
          <w:sz w:val="24"/>
        </w:rPr>
      </w:pPr>
      <w:r>
        <w:rPr>
          <w:rFonts w:hint="eastAsia"/>
          <w:sz w:val="24"/>
        </w:rPr>
        <w:t>工程竣工初验收合格后，发包人</w:t>
      </w:r>
      <w:r>
        <w:rPr>
          <w:rFonts w:hint="eastAsia"/>
          <w:spacing w:val="4"/>
          <w:sz w:val="24"/>
        </w:rPr>
        <w:t>（</w:t>
      </w:r>
      <w:r>
        <w:rPr>
          <w:rFonts w:hint="eastAsia"/>
          <w:spacing w:val="2"/>
          <w:sz w:val="24"/>
        </w:rPr>
        <w:t>工程</w:t>
      </w:r>
      <w:r>
        <w:rPr>
          <w:rFonts w:hint="eastAsia"/>
          <w:sz w:val="24"/>
        </w:rPr>
        <w:t>）负责人应在收到经监理人工</w:t>
      </w:r>
      <w:r>
        <w:rPr>
          <w:rFonts w:hint="eastAsia"/>
          <w:spacing w:val="-4"/>
          <w:sz w:val="24"/>
        </w:rPr>
        <w:t>程初验合格的报告及相关资料后</w:t>
      </w:r>
      <w:r>
        <w:rPr>
          <w:spacing w:val="-4"/>
          <w:sz w:val="24"/>
        </w:rPr>
        <w:t xml:space="preserve"> </w:t>
      </w:r>
      <w:r>
        <w:rPr>
          <w:sz w:val="24"/>
        </w:rPr>
        <w:t>28</w:t>
      </w:r>
      <w:r>
        <w:rPr>
          <w:spacing w:val="-8"/>
          <w:sz w:val="24"/>
        </w:rPr>
        <w:t xml:space="preserve"> </w:t>
      </w:r>
      <w:r>
        <w:rPr>
          <w:rFonts w:hint="eastAsia"/>
          <w:spacing w:val="-8"/>
          <w:sz w:val="24"/>
        </w:rPr>
        <w:t>天内审批完毕，并组织承包人</w:t>
      </w:r>
      <w:r>
        <w:rPr>
          <w:rFonts w:hint="eastAsia"/>
          <w:sz w:val="24"/>
        </w:rPr>
        <w:t>（含分包单位</w:t>
      </w:r>
      <w:r>
        <w:rPr>
          <w:rFonts w:hint="eastAsia"/>
          <w:spacing w:val="-120"/>
          <w:sz w:val="24"/>
        </w:rPr>
        <w:t>）</w:t>
      </w:r>
      <w:r>
        <w:rPr>
          <w:rFonts w:hint="eastAsia"/>
          <w:spacing w:val="-17"/>
          <w:sz w:val="24"/>
        </w:rPr>
        <w:t>、</w:t>
      </w:r>
      <w:r>
        <w:rPr>
          <w:rFonts w:hint="eastAsia"/>
          <w:sz w:val="24"/>
        </w:rPr>
        <w:t>设计、监理等单位（</w:t>
      </w:r>
      <w:r>
        <w:rPr>
          <w:rFonts w:hint="eastAsia"/>
          <w:spacing w:val="2"/>
          <w:sz w:val="24"/>
        </w:rPr>
        <w:t>工程</w:t>
      </w:r>
      <w:r>
        <w:rPr>
          <w:rFonts w:hint="eastAsia"/>
          <w:sz w:val="24"/>
        </w:rPr>
        <w:t>）负责人完成单位</w:t>
      </w:r>
      <w:r>
        <w:rPr>
          <w:rFonts w:hint="eastAsia"/>
          <w:spacing w:val="4"/>
          <w:sz w:val="24"/>
        </w:rPr>
        <w:t>（</w:t>
      </w:r>
      <w:r>
        <w:rPr>
          <w:rFonts w:hint="eastAsia"/>
          <w:sz w:val="24"/>
        </w:rPr>
        <w:t>子单位）工程验收，签署《单位</w:t>
      </w:r>
      <w:r>
        <w:rPr>
          <w:sz w:val="24"/>
        </w:rPr>
        <w:t>(</w:t>
      </w:r>
      <w:r>
        <w:rPr>
          <w:rFonts w:hint="eastAsia"/>
          <w:sz w:val="24"/>
        </w:rPr>
        <w:t>子</w:t>
      </w:r>
      <w:r>
        <w:rPr>
          <w:rFonts w:hint="eastAsia"/>
          <w:spacing w:val="-9"/>
          <w:sz w:val="24"/>
        </w:rPr>
        <w:t>单位</w:t>
      </w:r>
      <w:r>
        <w:rPr>
          <w:spacing w:val="-9"/>
          <w:sz w:val="24"/>
        </w:rPr>
        <w:t>)</w:t>
      </w:r>
      <w:r>
        <w:rPr>
          <w:rFonts w:hint="eastAsia"/>
          <w:spacing w:val="-9"/>
          <w:sz w:val="24"/>
        </w:rPr>
        <w:t>工程质量竣工验收记录》。</w:t>
      </w:r>
      <w:r>
        <w:rPr>
          <w:spacing w:val="-9"/>
          <w:sz w:val="24"/>
        </w:rPr>
        <w:t xml:space="preserve"> </w:t>
      </w:r>
    </w:p>
    <w:p>
      <w:pPr>
        <w:pStyle w:val="58"/>
        <w:numPr>
          <w:ilvl w:val="2"/>
          <w:numId w:val="15"/>
        </w:numPr>
        <w:tabs>
          <w:tab w:val="left" w:pos="1526"/>
        </w:tabs>
        <w:spacing w:line="360" w:lineRule="auto"/>
        <w:ind w:right="1641" w:firstLine="479"/>
        <w:jc w:val="both"/>
        <w:rPr>
          <w:sz w:val="24"/>
        </w:rPr>
      </w:pPr>
      <w:r>
        <w:rPr>
          <w:rFonts w:hint="eastAsia"/>
          <w:sz w:val="24"/>
        </w:rPr>
        <w:t>单位工程有分包单位施工时，分包单位对所承包的工程工程应按本标</w:t>
      </w:r>
      <w:r>
        <w:rPr>
          <w:rFonts w:hint="eastAsia"/>
          <w:spacing w:val="-4"/>
          <w:sz w:val="24"/>
        </w:rPr>
        <w:t>准规定的程序检查评定，总包单位应派人参加。分包工程完成后，应将工程有关资</w:t>
      </w:r>
      <w:r>
        <w:rPr>
          <w:rFonts w:hint="eastAsia"/>
          <w:sz w:val="24"/>
        </w:rPr>
        <w:t>料交总包单位。</w:t>
      </w:r>
      <w:r>
        <w:rPr>
          <w:sz w:val="24"/>
        </w:rPr>
        <w:t xml:space="preserve"> </w:t>
      </w:r>
    </w:p>
    <w:p>
      <w:pPr>
        <w:pStyle w:val="58"/>
        <w:numPr>
          <w:ilvl w:val="2"/>
          <w:numId w:val="15"/>
        </w:numPr>
        <w:tabs>
          <w:tab w:val="left" w:pos="1526"/>
        </w:tabs>
        <w:spacing w:line="360" w:lineRule="auto"/>
        <w:ind w:right="1648" w:firstLine="479"/>
        <w:rPr>
          <w:sz w:val="24"/>
        </w:rPr>
      </w:pPr>
      <w:r>
        <w:rPr>
          <w:rFonts w:hint="eastAsia"/>
          <w:sz w:val="24"/>
        </w:rPr>
        <w:t>当参加验收各方对工程质量验收意见不一致时，可请本市园林绿化行政主管部门或工程质量监督机构协调处理。</w:t>
      </w:r>
      <w:r>
        <w:rPr>
          <w:sz w:val="24"/>
        </w:rPr>
        <w:t xml:space="preserve"> </w:t>
      </w:r>
    </w:p>
    <w:p>
      <w:pPr>
        <w:pStyle w:val="58"/>
        <w:numPr>
          <w:ilvl w:val="2"/>
          <w:numId w:val="15"/>
        </w:numPr>
        <w:tabs>
          <w:tab w:val="left" w:pos="1585"/>
        </w:tabs>
        <w:spacing w:line="360" w:lineRule="auto"/>
        <w:ind w:right="1641" w:firstLine="479"/>
        <w:jc w:val="both"/>
        <w:rPr>
          <w:sz w:val="24"/>
        </w:rPr>
      </w:pPr>
      <w:r>
        <w:rPr>
          <w:rFonts w:hint="eastAsia"/>
          <w:spacing w:val="-8"/>
          <w:sz w:val="24"/>
        </w:rPr>
        <w:t>竣工验收不合格的，监理人应按照验收意见发出指示，要求承包人对不</w:t>
      </w:r>
      <w:r>
        <w:rPr>
          <w:rFonts w:hint="eastAsia"/>
          <w:spacing w:val="-3"/>
          <w:sz w:val="24"/>
        </w:rPr>
        <w:t>合格工程返工、修复或采取其他补救措施，由此增加的费用和</w:t>
      </w:r>
      <w:r>
        <w:rPr>
          <w:rFonts w:hint="eastAsia"/>
          <w:sz w:val="24"/>
        </w:rPr>
        <w:t>（或</w:t>
      </w:r>
      <w:r>
        <w:rPr>
          <w:rFonts w:hint="eastAsia"/>
          <w:spacing w:val="-8"/>
          <w:sz w:val="24"/>
        </w:rPr>
        <w:t>）</w:t>
      </w:r>
      <w:r>
        <w:rPr>
          <w:rFonts w:hint="eastAsia"/>
          <w:spacing w:val="-3"/>
          <w:sz w:val="24"/>
        </w:rPr>
        <w:t>延误的工期由</w:t>
      </w:r>
      <w:r>
        <w:rPr>
          <w:rFonts w:hint="eastAsia"/>
          <w:spacing w:val="-5"/>
          <w:sz w:val="24"/>
        </w:rPr>
        <w:t>承包人承担。承包人在完成不合格工程的返工、修复或采取其他补救措施后，应重</w:t>
      </w:r>
      <w:r>
        <w:rPr>
          <w:rFonts w:hint="eastAsia"/>
          <w:spacing w:val="-9"/>
          <w:sz w:val="24"/>
        </w:rPr>
        <w:t>新提交《单位工程竣工预验收报验表》，并按</w:t>
      </w:r>
      <w:r>
        <w:rPr>
          <w:spacing w:val="-9"/>
          <w:sz w:val="24"/>
        </w:rPr>
        <w:t xml:space="preserve"> </w:t>
      </w:r>
      <w:r>
        <w:rPr>
          <w:sz w:val="24"/>
        </w:rPr>
        <w:t>16.3.3-16.3.6</w:t>
      </w:r>
      <w:r>
        <w:rPr>
          <w:spacing w:val="-5"/>
          <w:sz w:val="24"/>
        </w:rPr>
        <w:t xml:space="preserve"> </w:t>
      </w:r>
      <w:r>
        <w:rPr>
          <w:rFonts w:hint="eastAsia"/>
          <w:spacing w:val="-5"/>
          <w:sz w:val="24"/>
        </w:rPr>
        <w:t>约定的程序重新进行</w:t>
      </w:r>
      <w:r>
        <w:rPr>
          <w:rFonts w:hint="eastAsia"/>
          <w:sz w:val="24"/>
        </w:rPr>
        <w:t>验收。</w:t>
      </w:r>
      <w:r>
        <w:rPr>
          <w:sz w:val="24"/>
        </w:rPr>
        <w:t xml:space="preserve"> </w:t>
      </w:r>
    </w:p>
    <w:p>
      <w:pPr>
        <w:pStyle w:val="58"/>
        <w:numPr>
          <w:ilvl w:val="2"/>
          <w:numId w:val="15"/>
        </w:numPr>
        <w:tabs>
          <w:tab w:val="left" w:pos="1526"/>
        </w:tabs>
        <w:spacing w:line="360" w:lineRule="auto"/>
        <w:ind w:right="1521" w:firstLine="479"/>
        <w:jc w:val="both"/>
        <w:rPr>
          <w:sz w:val="24"/>
        </w:rPr>
      </w:pPr>
      <w:r>
        <w:rPr>
          <w:rFonts w:hint="eastAsia"/>
          <w:spacing w:val="-25"/>
          <w:sz w:val="24"/>
        </w:rPr>
        <w:t>以上</w:t>
      </w:r>
      <w:r>
        <w:rPr>
          <w:spacing w:val="-25"/>
          <w:sz w:val="24"/>
        </w:rPr>
        <w:t xml:space="preserve"> </w:t>
      </w:r>
      <w:r>
        <w:rPr>
          <w:sz w:val="24"/>
        </w:rPr>
        <w:t>16.3</w:t>
      </w:r>
      <w:r>
        <w:rPr>
          <w:spacing w:val="-16"/>
          <w:sz w:val="24"/>
        </w:rPr>
        <w:t xml:space="preserve"> </w:t>
      </w:r>
      <w:r>
        <w:rPr>
          <w:rFonts w:hint="eastAsia"/>
          <w:spacing w:val="-16"/>
          <w:sz w:val="24"/>
        </w:rPr>
        <w:t>条中所涉及的表单格式详见《园林绿化工程施工及验收规范》</w:t>
      </w:r>
      <w:r>
        <w:rPr>
          <w:sz w:val="24"/>
        </w:rPr>
        <w:t>(DB11/T 212)</w:t>
      </w:r>
      <w:r>
        <w:rPr>
          <w:spacing w:val="-1"/>
          <w:sz w:val="24"/>
        </w:rPr>
        <w:t xml:space="preserve"> </w:t>
      </w:r>
      <w:r>
        <w:rPr>
          <w:rFonts w:hint="eastAsia"/>
          <w:spacing w:val="-1"/>
          <w:sz w:val="24"/>
        </w:rPr>
        <w:t>具体以最新版本为准。</w:t>
      </w:r>
      <w:r>
        <w:rPr>
          <w:spacing w:val="-1"/>
          <w:sz w:val="24"/>
        </w:rPr>
        <w:t xml:space="preserve"> </w:t>
      </w:r>
    </w:p>
    <w:p>
      <w:pPr>
        <w:pStyle w:val="7"/>
        <w:numPr>
          <w:ilvl w:val="1"/>
          <w:numId w:val="15"/>
        </w:numPr>
        <w:tabs>
          <w:tab w:val="left" w:pos="1293"/>
        </w:tabs>
        <w:spacing w:line="360" w:lineRule="auto"/>
        <w:ind w:hanging="487"/>
        <w:rPr>
          <w:rFonts w:ascii="宋体" w:hAnsi="宋体" w:eastAsia="宋体" w:cs="宋体"/>
        </w:rPr>
      </w:pPr>
      <w:r>
        <w:rPr>
          <w:rFonts w:hint="eastAsia" w:ascii="宋体" w:hAnsi="宋体" w:eastAsia="宋体" w:cs="宋体"/>
        </w:rPr>
        <w:t>竣工日期</w:t>
      </w:r>
    </w:p>
    <w:p>
      <w:pPr>
        <w:pStyle w:val="18"/>
        <w:spacing w:line="360" w:lineRule="auto"/>
        <w:ind w:left="324" w:right="1640" w:firstLine="479"/>
        <w:jc w:val="both"/>
      </w:pPr>
      <w:r>
        <w:rPr>
          <w:rFonts w:hint="eastAsia"/>
          <w:spacing w:val="-2"/>
        </w:rPr>
        <w:t>单位工程质量竣工验收合格并具备法律法规规定的其他条件后，建设单位</w:t>
      </w:r>
      <w:r>
        <w:rPr>
          <w:rFonts w:hint="eastAsia"/>
          <w:spacing w:val="-6"/>
        </w:rPr>
        <w:t>应当组织勘察、设计、施工、监理等单位进行工程竣工验收；对住宅工程，工程竣</w:t>
      </w:r>
      <w:r>
        <w:rPr>
          <w:rFonts w:hint="eastAsia"/>
        </w:rPr>
        <w:t>工验收前建设单位应当组织施工、监理等单位进行单位工程验收。</w:t>
      </w:r>
      <w:r>
        <w:t xml:space="preserve"> </w:t>
      </w:r>
    </w:p>
    <w:p>
      <w:pPr>
        <w:pStyle w:val="18"/>
        <w:spacing w:line="360" w:lineRule="auto"/>
        <w:ind w:left="324" w:right="1641" w:firstLine="479"/>
        <w:jc w:val="both"/>
      </w:pPr>
      <w:r>
        <w:rPr>
          <w:rFonts w:hint="eastAsia"/>
          <w:spacing w:val="-5"/>
        </w:rPr>
        <w:t>工程竣工验收应当形成经建设、勘察、设计、施工、监理等单位项目负责人签</w:t>
      </w:r>
      <w:r>
        <w:rPr>
          <w:rFonts w:hint="eastAsia"/>
          <w:spacing w:val="-4"/>
        </w:rPr>
        <w:t>署的工程竣工验收记录，作为工程竣工验收合格的证明文件。工程竣工验收记录中</w:t>
      </w:r>
      <w:r>
        <w:rPr>
          <w:rFonts w:hint="eastAsia"/>
        </w:rPr>
        <w:t>各方意见签署齐备的日期为工程竣工时间。</w:t>
      </w:r>
      <w:r>
        <w:t xml:space="preserve"> </w:t>
      </w:r>
    </w:p>
    <w:p>
      <w:pPr>
        <w:pStyle w:val="7"/>
        <w:numPr>
          <w:ilvl w:val="1"/>
          <w:numId w:val="15"/>
        </w:numPr>
        <w:tabs>
          <w:tab w:val="left" w:pos="1293"/>
        </w:tabs>
        <w:spacing w:line="360" w:lineRule="auto"/>
        <w:ind w:hanging="487"/>
        <w:rPr>
          <w:rFonts w:ascii="宋体" w:hAnsi="宋体" w:eastAsia="宋体" w:cs="宋体"/>
        </w:rPr>
      </w:pPr>
      <w:r>
        <w:rPr>
          <w:rFonts w:hint="eastAsia" w:ascii="宋体" w:hAnsi="宋体" w:eastAsia="宋体" w:cs="宋体"/>
        </w:rPr>
        <w:t>工程移交</w:t>
      </w:r>
    </w:p>
    <w:p>
      <w:pPr>
        <w:pStyle w:val="18"/>
        <w:spacing w:line="360" w:lineRule="auto"/>
        <w:ind w:left="324" w:right="1640" w:firstLine="479"/>
        <w:jc w:val="both"/>
      </w:pPr>
      <w:r>
        <w:rPr>
          <w:rFonts w:hint="eastAsia"/>
          <w:spacing w:val="-6"/>
        </w:rPr>
        <w:t>工程竣工验收合格或视同为已竣工验收合格的，发包人应在验收合格后</w:t>
      </w:r>
      <w:r>
        <w:rPr>
          <w:spacing w:val="-6"/>
        </w:rPr>
        <w:t xml:space="preserve"> </w:t>
      </w:r>
      <w:r>
        <w:rPr>
          <w:spacing w:val="-8"/>
        </w:rPr>
        <w:t xml:space="preserve">14 </w:t>
      </w:r>
      <w:r>
        <w:rPr>
          <w:rFonts w:hint="eastAsia"/>
          <w:spacing w:val="-2"/>
        </w:rPr>
        <w:t>天内向承包人颁发工程接收证书或签署工程移交证书。发包人无正当理由逾期不颁</w:t>
      </w:r>
      <w:r>
        <w:rPr>
          <w:rFonts w:hint="eastAsia"/>
          <w:spacing w:val="-1"/>
        </w:rPr>
        <w:t>发工程接收证书或不签署工程移交证书的，自验收合格后第</w:t>
      </w:r>
      <w:r>
        <w:rPr>
          <w:spacing w:val="-1"/>
        </w:rPr>
        <w:t xml:space="preserve"> </w:t>
      </w:r>
      <w:r>
        <w:t>15</w:t>
      </w:r>
      <w:r>
        <w:rPr>
          <w:spacing w:val="-5"/>
        </w:rPr>
        <w:t xml:space="preserve"> </w:t>
      </w:r>
      <w:r>
        <w:rPr>
          <w:rFonts w:hint="eastAsia"/>
          <w:spacing w:val="-5"/>
        </w:rPr>
        <w:t>天起视为已颁发工</w:t>
      </w:r>
      <w:r>
        <w:rPr>
          <w:rFonts w:hint="eastAsia"/>
          <w:spacing w:val="-3"/>
        </w:rPr>
        <w:t>程接收证书或已签署工程移交证书。承包人自工程接收证书颁发日或工程移交证书</w:t>
      </w:r>
      <w:r>
        <w:rPr>
          <w:rFonts w:hint="eastAsia"/>
          <w:spacing w:val="-5"/>
        </w:rPr>
        <w:t>签署日起，不再承担除合同约定的绿化养护工作以外的工程的照管、成品保护、保</w:t>
      </w:r>
      <w:r>
        <w:rPr>
          <w:rFonts w:hint="eastAsia"/>
        </w:rPr>
        <w:t>管义务。</w:t>
      </w:r>
      <w:r>
        <w:t xml:space="preserve"> </w:t>
      </w:r>
    </w:p>
    <w:p>
      <w:pPr>
        <w:pStyle w:val="7"/>
        <w:numPr>
          <w:ilvl w:val="0"/>
          <w:numId w:val="5"/>
        </w:numPr>
        <w:tabs>
          <w:tab w:val="left" w:pos="688"/>
        </w:tabs>
        <w:spacing w:before="193" w:line="360" w:lineRule="auto"/>
        <w:ind w:left="804" w:hanging="364"/>
        <w:rPr>
          <w:rFonts w:ascii="宋体" w:hAnsi="宋体" w:eastAsia="宋体" w:cs="宋体"/>
        </w:rPr>
      </w:pPr>
      <w:r>
        <w:rPr>
          <w:rFonts w:hint="eastAsia" w:ascii="宋体" w:hAnsi="宋体" w:eastAsia="宋体" w:cs="宋体"/>
        </w:rPr>
        <w:t>其他要求</w:t>
      </w:r>
    </w:p>
    <w:p>
      <w:pPr>
        <w:pStyle w:val="18"/>
        <w:spacing w:before="17" w:line="360" w:lineRule="auto"/>
        <w:rPr>
          <w:b/>
          <w:sz w:val="17"/>
        </w:rPr>
      </w:pPr>
    </w:p>
    <w:p>
      <w:pPr>
        <w:pStyle w:val="18"/>
        <w:spacing w:line="360" w:lineRule="auto"/>
        <w:ind w:left="324"/>
      </w:pPr>
    </w:p>
    <w:p>
      <w:pPr>
        <w:pStyle w:val="18"/>
        <w:spacing w:before="201" w:line="360" w:lineRule="auto"/>
        <w:ind w:left="324"/>
        <w:rPr>
          <w:sz w:val="21"/>
        </w:rPr>
      </w:pPr>
    </w:p>
    <w:p>
      <w:pPr>
        <w:spacing w:line="360" w:lineRule="auto"/>
        <w:rPr>
          <w:sz w:val="21"/>
        </w:rPr>
        <w:sectPr>
          <w:footerReference r:id="rId27" w:type="default"/>
          <w:pgSz w:w="11910" w:h="16840"/>
          <w:pgMar w:top="1300" w:right="0" w:bottom="1100" w:left="1320" w:header="0" w:footer="838" w:gutter="0"/>
          <w:cols w:space="720" w:num="1"/>
        </w:sectPr>
      </w:pPr>
    </w:p>
    <w:p>
      <w:pPr>
        <w:pStyle w:val="7"/>
        <w:spacing w:line="360" w:lineRule="auto"/>
        <w:ind w:left="324" w:right="4284" w:firstLine="2803"/>
        <w:rPr>
          <w:rFonts w:ascii="宋体" w:hAnsi="宋体" w:eastAsia="宋体" w:cs="宋体"/>
        </w:rPr>
      </w:pPr>
      <w:r>
        <w:rPr>
          <w:rFonts w:hint="eastAsia" w:ascii="宋体" w:hAnsi="宋体" w:eastAsia="宋体" w:cs="宋体"/>
          <w:w w:val="105"/>
        </w:rPr>
        <w:t>第二节</w:t>
      </w:r>
      <w:r>
        <w:rPr>
          <w:rFonts w:ascii="宋体" w:hAnsi="宋体" w:eastAsia="宋体" w:cs="宋体"/>
          <w:w w:val="105"/>
        </w:rPr>
        <w:t xml:space="preserve"> </w:t>
      </w:r>
      <w:r>
        <w:rPr>
          <w:rFonts w:hint="eastAsia" w:ascii="宋体" w:hAnsi="宋体" w:eastAsia="宋体" w:cs="宋体"/>
          <w:w w:val="105"/>
        </w:rPr>
        <w:t>特殊技术标准和要求</w:t>
      </w:r>
      <w:r>
        <w:rPr>
          <w:rFonts w:ascii="宋体" w:hAnsi="宋体" w:eastAsia="宋体" w:cs="宋体"/>
          <w:w w:val="81"/>
        </w:rPr>
        <w:t>1</w:t>
      </w:r>
      <w:r>
        <w:rPr>
          <w:rFonts w:ascii="宋体" w:hAnsi="宋体" w:eastAsia="宋体" w:cs="宋体"/>
          <w:w w:val="171"/>
        </w:rPr>
        <w:t xml:space="preserve">. </w:t>
      </w:r>
      <w:r>
        <w:rPr>
          <w:rFonts w:hint="eastAsia" w:ascii="宋体" w:hAnsi="宋体" w:eastAsia="宋体" w:cs="宋体"/>
        </w:rPr>
        <w:t>材料和工程设备技术要求</w:t>
      </w:r>
    </w:p>
    <w:p>
      <w:pPr>
        <w:pStyle w:val="58"/>
        <w:numPr>
          <w:ilvl w:val="1"/>
          <w:numId w:val="16"/>
        </w:numPr>
        <w:tabs>
          <w:tab w:val="left" w:pos="686"/>
        </w:tabs>
        <w:spacing w:line="360" w:lineRule="auto"/>
        <w:ind w:hanging="362"/>
        <w:rPr>
          <w:sz w:val="24"/>
          <w:szCs w:val="24"/>
        </w:rPr>
      </w:pPr>
      <w:r>
        <w:rPr>
          <w:rFonts w:hint="eastAsia"/>
          <w:sz w:val="24"/>
          <w:szCs w:val="24"/>
        </w:rPr>
        <w:t>承包人自行施工范围内的部分材料和工程设备技术要求如下：</w:t>
      </w:r>
      <w:r>
        <w:rPr>
          <w:sz w:val="24"/>
          <w:szCs w:val="24"/>
        </w:rPr>
        <w:t xml:space="preserve"> </w:t>
      </w:r>
    </w:p>
    <w:p>
      <w:pPr>
        <w:pStyle w:val="58"/>
        <w:numPr>
          <w:ilvl w:val="0"/>
          <w:numId w:val="17"/>
        </w:numPr>
        <w:tabs>
          <w:tab w:val="left" w:pos="745"/>
        </w:tabs>
        <w:spacing w:line="360" w:lineRule="auto"/>
        <w:ind w:right="1679" w:hanging="3"/>
        <w:rPr>
          <w:sz w:val="24"/>
          <w:szCs w:val="24"/>
        </w:rPr>
      </w:pPr>
      <w:r>
        <w:rPr>
          <w:rFonts w:hint="eastAsia"/>
          <w:spacing w:val="-8"/>
          <w:sz w:val="24"/>
          <w:szCs w:val="24"/>
        </w:rPr>
        <w:t>在种子、苗木进场时需提供“两证一签”：种子种苗的生产经营许可证、检疫</w:t>
      </w:r>
      <w:r>
        <w:rPr>
          <w:rFonts w:hint="eastAsia"/>
          <w:sz w:val="24"/>
          <w:szCs w:val="24"/>
        </w:rPr>
        <w:t>证和标签；</w:t>
      </w:r>
      <w:r>
        <w:rPr>
          <w:sz w:val="24"/>
          <w:szCs w:val="24"/>
        </w:rPr>
        <w:t xml:space="preserve">                                                       </w:t>
      </w:r>
    </w:p>
    <w:p>
      <w:pPr>
        <w:pStyle w:val="58"/>
        <w:numPr>
          <w:ilvl w:val="0"/>
          <w:numId w:val="17"/>
        </w:numPr>
        <w:tabs>
          <w:tab w:val="left" w:pos="745"/>
        </w:tabs>
        <w:spacing w:line="360" w:lineRule="auto"/>
        <w:ind w:left="744" w:hanging="421"/>
        <w:rPr>
          <w:sz w:val="24"/>
          <w:szCs w:val="24"/>
        </w:rPr>
      </w:pPr>
      <w:r>
        <w:rPr>
          <w:rFonts w:hint="eastAsia"/>
          <w:sz w:val="24"/>
          <w:szCs w:val="24"/>
        </w:rPr>
        <w:t>苗木病虫害控制要求：</w:t>
      </w:r>
      <w:r>
        <w:rPr>
          <w:sz w:val="24"/>
          <w:szCs w:val="24"/>
        </w:rPr>
        <w:t xml:space="preserve">  </w:t>
      </w:r>
    </w:p>
    <w:p>
      <w:pPr>
        <w:pStyle w:val="18"/>
        <w:spacing w:line="360" w:lineRule="auto"/>
        <w:ind w:right="3452" w:firstLine="480" w:firstLineChars="200"/>
      </w:pPr>
      <w:r>
        <w:rPr>
          <w:lang w:val="en-US"/>
        </w:rPr>
        <w:t>A.</w:t>
      </w:r>
      <w:r>
        <w:rPr>
          <w:rFonts w:hint="eastAsia"/>
        </w:rPr>
        <w:t>不得带有国家及本市植物检疫名录规定的植物检疫对象。</w:t>
      </w:r>
    </w:p>
    <w:p>
      <w:pPr>
        <w:pStyle w:val="18"/>
        <w:spacing w:line="360" w:lineRule="auto"/>
        <w:ind w:right="3452" w:firstLine="480" w:firstLineChars="200"/>
      </w:pPr>
      <w:r>
        <w:t>B.</w:t>
      </w:r>
      <w:r>
        <w:rPr>
          <w:rFonts w:hint="eastAsia"/>
        </w:rPr>
        <w:t>不得带有蛀干害虫，苗木根部不得有腐烂、根瘤。</w:t>
      </w:r>
      <w:r>
        <w:t xml:space="preserve">  </w:t>
      </w:r>
    </w:p>
    <w:p>
      <w:pPr>
        <w:pStyle w:val="18"/>
        <w:spacing w:line="360" w:lineRule="auto"/>
        <w:ind w:right="-29" w:firstLine="508" w:firstLineChars="200"/>
      </w:pPr>
      <w:r>
        <w:rPr>
          <w:spacing w:val="7"/>
        </w:rPr>
        <w:t>C</w:t>
      </w:r>
      <w:r>
        <w:t>.</w:t>
      </w:r>
      <w:r>
        <w:rPr>
          <w:rFonts w:hint="eastAsia"/>
        </w:rPr>
        <w:t>草坪、地被无斑秃和病害，无地下害虫。</w:t>
      </w:r>
      <w:r>
        <w:t xml:space="preserve">                                        </w:t>
      </w:r>
    </w:p>
    <w:p>
      <w:pPr>
        <w:pStyle w:val="18"/>
        <w:spacing w:line="360" w:lineRule="auto"/>
        <w:ind w:right="1641" w:firstLine="460" w:firstLineChars="200"/>
        <w:jc w:val="both"/>
      </w:pPr>
      <w:r>
        <w:rPr>
          <w:rFonts w:hint="eastAsia"/>
          <w:spacing w:val="-5"/>
        </w:rPr>
        <w:t>上述材料和工程设备技术要求中如果出现了参考品牌或规格型号，其目的是为了方便承包人直观和准确地把握相应材料和工程设备的技术标准，不具指定或</w:t>
      </w:r>
      <w:r>
        <w:rPr>
          <w:rFonts w:hint="eastAsia"/>
          <w:spacing w:val="-10"/>
        </w:rPr>
        <w:t>唯一的意思表示，承包人应当参考所列品牌的材料和工程设备，采购相当于或</w:t>
      </w:r>
      <w:r>
        <w:rPr>
          <w:rFonts w:hint="eastAsia"/>
        </w:rPr>
        <w:t>高于所列品牌技术标准的材料和工程设备。</w:t>
      </w:r>
      <w:r>
        <w:t xml:space="preserve"> </w:t>
      </w:r>
    </w:p>
    <w:p>
      <w:pPr>
        <w:pStyle w:val="58"/>
        <w:numPr>
          <w:ilvl w:val="1"/>
          <w:numId w:val="16"/>
        </w:numPr>
        <w:tabs>
          <w:tab w:val="left" w:pos="686"/>
        </w:tabs>
        <w:spacing w:line="360" w:lineRule="auto"/>
        <w:ind w:hanging="362"/>
        <w:rPr>
          <w:sz w:val="24"/>
          <w:szCs w:val="24"/>
        </w:rPr>
      </w:pPr>
      <w:r>
        <w:rPr>
          <w:rFonts w:hint="eastAsia"/>
          <w:sz w:val="24"/>
          <w:szCs w:val="24"/>
        </w:rPr>
        <w:t>承包人自行施工范围内的材料和工程设备选型允许的偏离如下：</w:t>
      </w:r>
      <w:r>
        <w:rPr>
          <w:sz w:val="24"/>
          <w:szCs w:val="24"/>
        </w:rPr>
        <w:t xml:space="preserve"> </w:t>
      </w:r>
    </w:p>
    <w:p>
      <w:pPr>
        <w:pStyle w:val="18"/>
        <w:spacing w:before="6" w:line="360" w:lineRule="auto"/>
        <w:rPr>
          <w:sz w:val="15"/>
        </w:rPr>
      </w:pPr>
    </w:p>
    <w:tbl>
      <w:tblPr>
        <w:tblStyle w:val="36"/>
        <w:tblW w:w="0" w:type="auto"/>
        <w:tblInd w:w="3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3"/>
        <w:gridCol w:w="1884"/>
        <w:gridCol w:w="1884"/>
        <w:gridCol w:w="1884"/>
        <w:gridCol w:w="1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0" w:hRule="atLeast"/>
        </w:trPr>
        <w:tc>
          <w:tcPr>
            <w:tcW w:w="883" w:type="dxa"/>
          </w:tcPr>
          <w:p>
            <w:pPr>
              <w:pStyle w:val="59"/>
              <w:spacing w:before="164" w:line="360" w:lineRule="auto"/>
              <w:ind w:left="230"/>
              <w:rPr>
                <w:b/>
                <w:sz w:val="21"/>
              </w:rPr>
            </w:pPr>
            <w:r>
              <w:rPr>
                <w:rFonts w:hint="eastAsia"/>
                <w:b/>
                <w:sz w:val="21"/>
              </w:rPr>
              <w:t>序号</w:t>
            </w:r>
          </w:p>
        </w:tc>
        <w:tc>
          <w:tcPr>
            <w:tcW w:w="1884" w:type="dxa"/>
          </w:tcPr>
          <w:p>
            <w:pPr>
              <w:pStyle w:val="59"/>
              <w:spacing w:line="360" w:lineRule="auto"/>
              <w:ind w:left="239" w:right="119"/>
              <w:jc w:val="center"/>
              <w:rPr>
                <w:b/>
                <w:sz w:val="21"/>
              </w:rPr>
            </w:pPr>
            <w:r>
              <w:rPr>
                <w:rFonts w:hint="eastAsia"/>
                <w:b/>
                <w:sz w:val="21"/>
              </w:rPr>
              <w:t>材料和工程设备</w:t>
            </w:r>
          </w:p>
          <w:p>
            <w:pPr>
              <w:pStyle w:val="59"/>
              <w:spacing w:before="73" w:line="360" w:lineRule="auto"/>
              <w:ind w:left="237" w:right="119"/>
              <w:jc w:val="center"/>
              <w:rPr>
                <w:b/>
                <w:sz w:val="21"/>
              </w:rPr>
            </w:pPr>
            <w:r>
              <w:rPr>
                <w:rFonts w:hint="eastAsia"/>
                <w:b/>
                <w:sz w:val="21"/>
              </w:rPr>
              <w:t>名称</w:t>
            </w:r>
          </w:p>
        </w:tc>
        <w:tc>
          <w:tcPr>
            <w:tcW w:w="1884" w:type="dxa"/>
          </w:tcPr>
          <w:p>
            <w:pPr>
              <w:pStyle w:val="59"/>
              <w:spacing w:before="164" w:line="360" w:lineRule="auto"/>
              <w:ind w:left="521"/>
              <w:rPr>
                <w:b/>
                <w:sz w:val="21"/>
              </w:rPr>
            </w:pPr>
            <w:r>
              <w:rPr>
                <w:rFonts w:hint="eastAsia"/>
                <w:b/>
                <w:sz w:val="21"/>
              </w:rPr>
              <w:t>技术指标</w:t>
            </w:r>
          </w:p>
        </w:tc>
        <w:tc>
          <w:tcPr>
            <w:tcW w:w="1884" w:type="dxa"/>
          </w:tcPr>
          <w:p>
            <w:pPr>
              <w:pStyle w:val="59"/>
              <w:spacing w:before="164" w:line="360" w:lineRule="auto"/>
              <w:ind w:left="310"/>
              <w:rPr>
                <w:b/>
                <w:sz w:val="21"/>
              </w:rPr>
            </w:pPr>
            <w:r>
              <w:rPr>
                <w:rFonts w:hint="eastAsia"/>
                <w:b/>
                <w:sz w:val="21"/>
              </w:rPr>
              <w:t>允许偏离范围</w:t>
            </w:r>
          </w:p>
        </w:tc>
        <w:tc>
          <w:tcPr>
            <w:tcW w:w="1885" w:type="dxa"/>
          </w:tcPr>
          <w:p>
            <w:pPr>
              <w:pStyle w:val="59"/>
              <w:spacing w:before="164" w:line="360" w:lineRule="auto"/>
              <w:ind w:left="625"/>
              <w:rPr>
                <w:b/>
                <w:sz w:val="21"/>
              </w:rPr>
            </w:pPr>
            <w:r>
              <w:rPr>
                <w:rFonts w:hint="eastAsia"/>
                <w:b/>
                <w:sz w:val="21"/>
              </w:rPr>
              <w:t>备</w:t>
            </w:r>
            <w:r>
              <w:rPr>
                <w:b/>
                <w:sz w:val="21"/>
              </w:rPr>
              <w:t xml:space="preserve"> </w:t>
            </w:r>
            <w:r>
              <w:rPr>
                <w:rFonts w:hint="eastAsia"/>
                <w:b/>
                <w:sz w:val="21"/>
              </w:rPr>
              <w:t>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1" w:hRule="atLeast"/>
        </w:trPr>
        <w:tc>
          <w:tcPr>
            <w:tcW w:w="883" w:type="dxa"/>
          </w:tcPr>
          <w:p>
            <w:pPr>
              <w:pStyle w:val="59"/>
              <w:spacing w:before="1" w:line="360" w:lineRule="auto"/>
              <w:ind w:left="388"/>
              <w:rPr>
                <w:sz w:val="21"/>
              </w:rPr>
            </w:pPr>
            <w:r>
              <w:rPr>
                <w:sz w:val="21"/>
              </w:rPr>
              <w:t xml:space="preserve">1 </w:t>
            </w:r>
          </w:p>
        </w:tc>
        <w:tc>
          <w:tcPr>
            <w:tcW w:w="1884" w:type="dxa"/>
          </w:tcPr>
          <w:p>
            <w:pPr>
              <w:pStyle w:val="59"/>
              <w:spacing w:before="5" w:line="360" w:lineRule="auto"/>
              <w:rPr>
                <w:sz w:val="21"/>
              </w:rPr>
            </w:pPr>
          </w:p>
          <w:p>
            <w:pPr>
              <w:pStyle w:val="59"/>
              <w:spacing w:line="360" w:lineRule="auto"/>
              <w:ind w:left="107"/>
              <w:rPr>
                <w:sz w:val="21"/>
              </w:rPr>
            </w:pPr>
            <w:r>
              <w:rPr>
                <w:rFonts w:hint="eastAsia"/>
                <w:sz w:val="21"/>
              </w:rPr>
              <w:t>种植土</w:t>
            </w:r>
            <w:r>
              <w:rPr>
                <w:sz w:val="21"/>
              </w:rPr>
              <w:t xml:space="preserve"> </w:t>
            </w:r>
          </w:p>
        </w:tc>
        <w:tc>
          <w:tcPr>
            <w:tcW w:w="1884" w:type="dxa"/>
          </w:tcPr>
          <w:p>
            <w:pPr>
              <w:pStyle w:val="59"/>
              <w:spacing w:before="5" w:line="360" w:lineRule="auto"/>
              <w:rPr>
                <w:sz w:val="21"/>
              </w:rPr>
            </w:pPr>
          </w:p>
          <w:p>
            <w:pPr>
              <w:pStyle w:val="59"/>
              <w:spacing w:line="360" w:lineRule="auto"/>
              <w:ind w:left="108"/>
              <w:rPr>
                <w:sz w:val="21"/>
              </w:rPr>
            </w:pPr>
            <w:r>
              <w:rPr>
                <w:rFonts w:hint="eastAsia"/>
                <w:sz w:val="21"/>
              </w:rPr>
              <w:t>容重</w:t>
            </w:r>
            <w:r>
              <w:rPr>
                <w:sz w:val="21"/>
              </w:rPr>
              <w:t xml:space="preserve"> </w:t>
            </w:r>
          </w:p>
        </w:tc>
        <w:tc>
          <w:tcPr>
            <w:tcW w:w="1884" w:type="dxa"/>
          </w:tcPr>
          <w:p>
            <w:pPr>
              <w:pStyle w:val="59"/>
              <w:spacing w:before="5" w:line="360" w:lineRule="auto"/>
              <w:rPr>
                <w:sz w:val="21"/>
              </w:rPr>
            </w:pPr>
          </w:p>
          <w:p>
            <w:pPr>
              <w:pStyle w:val="59"/>
              <w:spacing w:line="360" w:lineRule="auto"/>
              <w:ind w:left="108"/>
              <w:rPr>
                <w:sz w:val="21"/>
              </w:rPr>
            </w:pPr>
            <w:r>
              <w:rPr>
                <w:rFonts w:hint="eastAsia"/>
                <w:sz w:val="21"/>
              </w:rPr>
              <w:t>≤</w:t>
            </w:r>
            <w:r>
              <w:rPr>
                <w:sz w:val="21"/>
              </w:rPr>
              <w:t xml:space="preserve">1.35 g/cm3 </w:t>
            </w:r>
          </w:p>
        </w:tc>
        <w:tc>
          <w:tcPr>
            <w:tcW w:w="1885" w:type="dxa"/>
          </w:tcPr>
          <w:p>
            <w:pPr>
              <w:pStyle w:val="59"/>
              <w:spacing w:before="1" w:line="360" w:lineRule="auto"/>
              <w:ind w:left="108"/>
              <w:rPr>
                <w:sz w:val="21"/>
              </w:rPr>
            </w:pPr>
            <w:r>
              <w:rPr>
                <w:sz w:val="21"/>
              </w:rPr>
              <w:t>DB11/T864-2012</w:t>
            </w:r>
          </w:p>
          <w:p>
            <w:pPr>
              <w:pStyle w:val="59"/>
              <w:spacing w:before="4" w:line="360" w:lineRule="auto"/>
              <w:ind w:left="108" w:right="89"/>
              <w:rPr>
                <w:sz w:val="21"/>
              </w:rPr>
            </w:pPr>
            <w:r>
              <w:rPr>
                <w:rFonts w:hint="eastAsia"/>
                <w:sz w:val="21"/>
              </w:rPr>
              <w:t>规定之三级园林绿化种植土壤</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883" w:type="dxa"/>
          </w:tcPr>
          <w:p>
            <w:pPr>
              <w:pStyle w:val="59"/>
              <w:spacing w:before="3" w:line="360" w:lineRule="auto"/>
              <w:ind w:left="388"/>
              <w:rPr>
                <w:sz w:val="21"/>
              </w:rPr>
            </w:pPr>
            <w:r>
              <w:rPr>
                <w:sz w:val="21"/>
              </w:rPr>
              <w:t xml:space="preserve">2 </w:t>
            </w:r>
          </w:p>
        </w:tc>
        <w:tc>
          <w:tcPr>
            <w:tcW w:w="1884" w:type="dxa"/>
          </w:tcPr>
          <w:p>
            <w:pPr>
              <w:pStyle w:val="59"/>
              <w:spacing w:before="137" w:line="360" w:lineRule="auto"/>
              <w:ind w:left="107"/>
              <w:rPr>
                <w:sz w:val="21"/>
              </w:rPr>
            </w:pPr>
            <w:r>
              <w:rPr>
                <w:rFonts w:hint="eastAsia"/>
                <w:sz w:val="21"/>
              </w:rPr>
              <w:t>种植土</w:t>
            </w:r>
            <w:r>
              <w:rPr>
                <w:sz w:val="21"/>
              </w:rPr>
              <w:t xml:space="preserve"> </w:t>
            </w:r>
          </w:p>
        </w:tc>
        <w:tc>
          <w:tcPr>
            <w:tcW w:w="1884" w:type="dxa"/>
          </w:tcPr>
          <w:p>
            <w:pPr>
              <w:pStyle w:val="59"/>
              <w:spacing w:before="137" w:line="360" w:lineRule="auto"/>
              <w:ind w:left="108"/>
              <w:rPr>
                <w:sz w:val="21"/>
              </w:rPr>
            </w:pPr>
            <w:r>
              <w:rPr>
                <w:rFonts w:hint="eastAsia"/>
                <w:sz w:val="21"/>
              </w:rPr>
              <w:t>含盐量</w:t>
            </w:r>
            <w:r>
              <w:rPr>
                <w:sz w:val="21"/>
              </w:rPr>
              <w:t xml:space="preserve"> </w:t>
            </w:r>
          </w:p>
        </w:tc>
        <w:tc>
          <w:tcPr>
            <w:tcW w:w="1884" w:type="dxa"/>
          </w:tcPr>
          <w:p>
            <w:pPr>
              <w:pStyle w:val="59"/>
              <w:spacing w:before="137" w:line="360" w:lineRule="auto"/>
              <w:ind w:left="108"/>
              <w:rPr>
                <w:sz w:val="21"/>
              </w:rPr>
            </w:pPr>
            <w:r>
              <w:rPr>
                <w:rFonts w:hint="eastAsia"/>
                <w:sz w:val="21"/>
              </w:rPr>
              <w:t>≤</w:t>
            </w:r>
            <w:r>
              <w:rPr>
                <w:sz w:val="21"/>
              </w:rPr>
              <w:t xml:space="preserve">0.12% </w:t>
            </w:r>
          </w:p>
        </w:tc>
        <w:tc>
          <w:tcPr>
            <w:tcW w:w="1885" w:type="dxa"/>
          </w:tcPr>
          <w:p>
            <w:pPr>
              <w:pStyle w:val="59"/>
              <w:spacing w:before="3" w:line="360" w:lineRule="auto"/>
              <w:ind w:left="108"/>
              <w:rPr>
                <w:sz w:val="21"/>
              </w:rPr>
            </w:pPr>
            <w:r>
              <w:rPr>
                <w:sz w:val="21"/>
              </w:rPr>
              <w:t>DB11/T864-2012</w:t>
            </w:r>
          </w:p>
          <w:p>
            <w:pPr>
              <w:pStyle w:val="59"/>
              <w:spacing w:before="3" w:line="360" w:lineRule="auto"/>
              <w:ind w:left="108"/>
              <w:rPr>
                <w:sz w:val="21"/>
              </w:rPr>
            </w:pPr>
            <w:r>
              <w:rPr>
                <w:rFonts w:hint="eastAsia"/>
                <w:sz w:val="21"/>
              </w:rPr>
              <w:t>规定</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883" w:type="dxa"/>
          </w:tcPr>
          <w:p>
            <w:pPr>
              <w:pStyle w:val="59"/>
              <w:spacing w:before="1" w:line="360" w:lineRule="auto"/>
              <w:ind w:left="107"/>
              <w:rPr>
                <w:sz w:val="21"/>
              </w:rPr>
            </w:pPr>
            <w:r>
              <w:rPr>
                <w:rFonts w:hint="eastAsia"/>
                <w:sz w:val="21"/>
              </w:rPr>
              <w:t>……</w:t>
            </w:r>
            <w:r>
              <w:rPr>
                <w:sz w:val="21"/>
              </w:rPr>
              <w:t xml:space="preserve"> </w:t>
            </w:r>
          </w:p>
        </w:tc>
        <w:tc>
          <w:tcPr>
            <w:tcW w:w="1884" w:type="dxa"/>
          </w:tcPr>
          <w:p>
            <w:pPr>
              <w:pStyle w:val="59"/>
              <w:spacing w:before="1" w:line="360" w:lineRule="auto"/>
              <w:ind w:left="107"/>
              <w:rPr>
                <w:sz w:val="21"/>
              </w:rPr>
            </w:pPr>
          </w:p>
        </w:tc>
        <w:tc>
          <w:tcPr>
            <w:tcW w:w="1884" w:type="dxa"/>
          </w:tcPr>
          <w:p>
            <w:pPr>
              <w:pStyle w:val="59"/>
              <w:spacing w:before="1" w:line="360" w:lineRule="auto"/>
              <w:ind w:left="108"/>
              <w:rPr>
                <w:sz w:val="21"/>
              </w:rPr>
            </w:pPr>
          </w:p>
        </w:tc>
        <w:tc>
          <w:tcPr>
            <w:tcW w:w="1884" w:type="dxa"/>
          </w:tcPr>
          <w:p>
            <w:pPr>
              <w:pStyle w:val="59"/>
              <w:spacing w:before="1" w:line="360" w:lineRule="auto"/>
              <w:ind w:left="108"/>
              <w:rPr>
                <w:sz w:val="21"/>
              </w:rPr>
            </w:pPr>
          </w:p>
        </w:tc>
        <w:tc>
          <w:tcPr>
            <w:tcW w:w="1885" w:type="dxa"/>
          </w:tcPr>
          <w:p>
            <w:pPr>
              <w:pStyle w:val="59"/>
              <w:spacing w:before="1" w:line="360" w:lineRule="auto"/>
              <w:ind w:left="108"/>
              <w:rPr>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trPr>
        <w:tc>
          <w:tcPr>
            <w:tcW w:w="883" w:type="dxa"/>
          </w:tcPr>
          <w:p>
            <w:pPr>
              <w:pStyle w:val="59"/>
              <w:spacing w:before="1" w:line="360" w:lineRule="auto"/>
              <w:ind w:left="107"/>
              <w:rPr>
                <w:sz w:val="21"/>
              </w:rPr>
            </w:pPr>
          </w:p>
        </w:tc>
        <w:tc>
          <w:tcPr>
            <w:tcW w:w="1884" w:type="dxa"/>
          </w:tcPr>
          <w:p>
            <w:pPr>
              <w:pStyle w:val="59"/>
              <w:spacing w:before="1" w:line="360" w:lineRule="auto"/>
              <w:ind w:left="107"/>
              <w:rPr>
                <w:sz w:val="21"/>
              </w:rPr>
            </w:pPr>
          </w:p>
        </w:tc>
        <w:tc>
          <w:tcPr>
            <w:tcW w:w="1884" w:type="dxa"/>
          </w:tcPr>
          <w:p>
            <w:pPr>
              <w:pStyle w:val="59"/>
              <w:spacing w:before="1" w:line="360" w:lineRule="auto"/>
              <w:ind w:left="108"/>
              <w:rPr>
                <w:sz w:val="21"/>
              </w:rPr>
            </w:pPr>
          </w:p>
        </w:tc>
        <w:tc>
          <w:tcPr>
            <w:tcW w:w="1884" w:type="dxa"/>
          </w:tcPr>
          <w:p>
            <w:pPr>
              <w:pStyle w:val="59"/>
              <w:spacing w:before="1" w:line="360" w:lineRule="auto"/>
              <w:ind w:left="108"/>
              <w:rPr>
                <w:sz w:val="21"/>
              </w:rPr>
            </w:pPr>
          </w:p>
        </w:tc>
        <w:tc>
          <w:tcPr>
            <w:tcW w:w="1885" w:type="dxa"/>
          </w:tcPr>
          <w:p>
            <w:pPr>
              <w:pStyle w:val="59"/>
              <w:spacing w:before="1" w:line="360" w:lineRule="auto"/>
              <w:ind w:left="108"/>
              <w:rPr>
                <w:sz w:val="21"/>
              </w:rPr>
            </w:pPr>
          </w:p>
        </w:tc>
      </w:tr>
    </w:tbl>
    <w:p>
      <w:pPr>
        <w:pStyle w:val="18"/>
        <w:spacing w:line="360" w:lineRule="auto"/>
        <w:ind w:left="324" w:right="1642" w:firstLine="479"/>
      </w:pPr>
      <w:r>
        <w:rPr>
          <w:rFonts w:hint="eastAsia"/>
        </w:rPr>
        <w:t>上表中未列出的苗木，设计也未明确要求时，其允许偏差须符合</w:t>
      </w:r>
      <w:r>
        <w:t xml:space="preserve"> DB11/T 211 </w:t>
      </w:r>
      <w:r>
        <w:rPr>
          <w:rFonts w:hint="eastAsia"/>
        </w:rPr>
        <w:t>的有关要求。</w:t>
      </w:r>
      <w:r>
        <w:t xml:space="preserve"> </w:t>
      </w:r>
    </w:p>
    <w:p>
      <w:pPr>
        <w:pStyle w:val="58"/>
        <w:numPr>
          <w:ilvl w:val="1"/>
          <w:numId w:val="16"/>
        </w:numPr>
        <w:tabs>
          <w:tab w:val="left" w:pos="686"/>
        </w:tabs>
        <w:spacing w:line="360" w:lineRule="auto"/>
        <w:ind w:hanging="362"/>
        <w:rPr>
          <w:sz w:val="24"/>
          <w:szCs w:val="24"/>
        </w:rPr>
      </w:pPr>
      <w:r>
        <w:rPr>
          <w:rFonts w:hint="eastAsia"/>
          <w:sz w:val="24"/>
          <w:szCs w:val="24"/>
        </w:rPr>
        <w:t>本工程施工现场所用混凝土或砂浆的供应方式为</w:t>
      </w:r>
      <w:r>
        <w:rPr>
          <w:sz w:val="24"/>
          <w:szCs w:val="24"/>
        </w:rPr>
        <w:t xml:space="preserve"> </w:t>
      </w:r>
      <w:r>
        <w:rPr>
          <w:rFonts w:hint="eastAsia"/>
          <w:sz w:val="24"/>
          <w:szCs w:val="24"/>
        </w:rPr>
        <w:t>。</w:t>
      </w:r>
      <w:r>
        <w:rPr>
          <w:sz w:val="24"/>
          <w:szCs w:val="24"/>
        </w:rPr>
        <w:t xml:space="preserve"> </w:t>
      </w:r>
    </w:p>
    <w:p>
      <w:pPr>
        <w:pStyle w:val="7"/>
        <w:numPr>
          <w:ilvl w:val="0"/>
          <w:numId w:val="18"/>
        </w:numPr>
        <w:tabs>
          <w:tab w:val="left" w:pos="568"/>
        </w:tabs>
        <w:spacing w:line="360" w:lineRule="auto"/>
        <w:rPr>
          <w:rFonts w:ascii="宋体" w:hAnsi="宋体" w:eastAsia="宋体" w:cs="宋体"/>
        </w:rPr>
      </w:pPr>
      <w:r>
        <w:rPr>
          <w:rFonts w:hint="eastAsia" w:ascii="宋体" w:hAnsi="宋体" w:eastAsia="宋体" w:cs="宋体"/>
        </w:rPr>
        <w:t>特殊技术要求</w:t>
      </w:r>
    </w:p>
    <w:p>
      <w:pPr>
        <w:pStyle w:val="18"/>
        <w:spacing w:line="360" w:lineRule="auto"/>
        <w:ind w:left="684"/>
      </w:pPr>
      <w:r>
        <w:t xml:space="preserve">  </w:t>
      </w:r>
      <w:r>
        <w:rPr>
          <w:rFonts w:hint="eastAsia"/>
        </w:rPr>
        <w:t>除合同约定的技术要求外，本工程的特殊技术要求如下：</w:t>
      </w:r>
      <w:r>
        <w:t xml:space="preserve"> </w:t>
      </w:r>
    </w:p>
    <w:p>
      <w:pPr>
        <w:spacing w:line="360" w:lineRule="auto"/>
        <w:sectPr>
          <w:pgSz w:w="11910" w:h="16840"/>
          <w:pgMar w:top="1240" w:right="0" w:bottom="1100" w:left="1320" w:header="0" w:footer="838" w:gutter="0"/>
          <w:cols w:space="720" w:num="1"/>
        </w:sectPr>
      </w:pPr>
    </w:p>
    <w:p>
      <w:pPr>
        <w:pStyle w:val="7"/>
        <w:numPr>
          <w:ilvl w:val="0"/>
          <w:numId w:val="18"/>
        </w:numPr>
        <w:tabs>
          <w:tab w:val="left" w:pos="568"/>
        </w:tabs>
        <w:spacing w:line="360" w:lineRule="auto"/>
        <w:rPr>
          <w:rFonts w:ascii="宋体" w:hAnsi="宋体" w:eastAsia="宋体" w:cs="宋体"/>
        </w:rPr>
      </w:pPr>
      <w:r>
        <w:rPr>
          <w:rFonts w:hint="eastAsia" w:ascii="宋体" w:hAnsi="宋体" w:eastAsia="宋体" w:cs="宋体"/>
        </w:rPr>
        <w:t>新技术、新工艺和新材料</w:t>
      </w:r>
    </w:p>
    <w:p>
      <w:pPr>
        <w:pStyle w:val="18"/>
        <w:spacing w:line="360" w:lineRule="auto"/>
        <w:ind w:left="744"/>
      </w:pPr>
      <w:r>
        <w:t xml:space="preserve"> </w:t>
      </w:r>
      <w:r>
        <w:rPr>
          <w:rFonts w:hint="eastAsia"/>
        </w:rPr>
        <w:t>本工程涉及的新技术、新工艺和新材料及相应使用和操作说明如下：</w:t>
      </w:r>
      <w:r>
        <w:t xml:space="preserve"> </w:t>
      </w:r>
    </w:p>
    <w:p>
      <w:pPr>
        <w:pStyle w:val="7"/>
        <w:numPr>
          <w:ilvl w:val="0"/>
          <w:numId w:val="18"/>
        </w:numPr>
        <w:tabs>
          <w:tab w:val="left" w:pos="568"/>
        </w:tabs>
        <w:spacing w:line="360" w:lineRule="auto"/>
        <w:rPr>
          <w:rFonts w:ascii="宋体" w:hAnsi="宋体" w:eastAsia="宋体" w:cs="宋体"/>
        </w:rPr>
      </w:pPr>
      <w:r>
        <w:rPr>
          <w:rFonts w:hint="eastAsia" w:ascii="宋体" w:hAnsi="宋体" w:eastAsia="宋体" w:cs="宋体"/>
        </w:rPr>
        <w:t>其他特殊技术标准和要求</w:t>
      </w:r>
    </w:p>
    <w:p>
      <w:pPr>
        <w:pStyle w:val="18"/>
        <w:spacing w:line="360" w:lineRule="auto"/>
        <w:rPr>
          <w:b/>
        </w:rPr>
      </w:pPr>
    </w:p>
    <w:p>
      <w:pPr>
        <w:pStyle w:val="7"/>
        <w:spacing w:line="360" w:lineRule="auto"/>
        <w:ind w:left="1800" w:firstLine="0"/>
        <w:rPr>
          <w:rFonts w:ascii="宋体" w:hAnsi="宋体" w:eastAsia="宋体" w:cs="宋体"/>
        </w:rPr>
      </w:pPr>
      <w:r>
        <w:rPr>
          <w:rFonts w:hint="eastAsia" w:ascii="宋体" w:hAnsi="宋体" w:eastAsia="宋体" w:cs="宋体"/>
        </w:rPr>
        <w:t>第三节</w:t>
      </w:r>
      <w:r>
        <w:rPr>
          <w:rFonts w:ascii="宋体" w:hAnsi="宋体" w:eastAsia="宋体" w:cs="宋体"/>
        </w:rPr>
        <w:t xml:space="preserve"> </w:t>
      </w:r>
      <w:r>
        <w:rPr>
          <w:rFonts w:hint="eastAsia" w:ascii="宋体" w:hAnsi="宋体" w:eastAsia="宋体" w:cs="宋体"/>
        </w:rPr>
        <w:t>适用的国家、行业以及地方规范、标准和规程</w:t>
      </w:r>
    </w:p>
    <w:p>
      <w:pPr>
        <w:pStyle w:val="18"/>
        <w:spacing w:line="360" w:lineRule="auto"/>
        <w:rPr>
          <w:b/>
        </w:rPr>
      </w:pPr>
    </w:p>
    <w:p>
      <w:pPr>
        <w:pStyle w:val="18"/>
        <w:spacing w:line="360" w:lineRule="auto"/>
        <w:ind w:left="324" w:right="1614"/>
      </w:pPr>
      <w:r>
        <w:rPr>
          <w:rFonts w:hint="eastAsia"/>
        </w:rPr>
        <w:t>说明：本节内容只需列出规范、标准、规程等的名称、编号等内容。本节由招标人根据国家、行业和地方现行标准、规范和规程等，以及工程具体情况摘录。</w:t>
      </w:r>
      <w:r>
        <w:t xml:space="preserve"> </w:t>
      </w:r>
    </w:p>
    <w:p>
      <w:pPr>
        <w:pStyle w:val="18"/>
        <w:spacing w:before="12" w:line="360" w:lineRule="auto"/>
        <w:rPr>
          <w:sz w:val="5"/>
        </w:rPr>
      </w:pPr>
    </w:p>
    <w:tbl>
      <w:tblPr>
        <w:tblStyle w:val="36"/>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line="360" w:lineRule="auto"/>
              <w:ind w:left="3719" w:right="3708"/>
              <w:jc w:val="center"/>
              <w:rPr>
                <w:b/>
                <w:sz w:val="21"/>
              </w:rPr>
            </w:pPr>
            <w:r>
              <w:rPr>
                <w:rFonts w:hint="eastAsia"/>
                <w:b/>
                <w:sz w:val="21"/>
              </w:rPr>
              <w:t>国家标准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建设工程工程量清单计价规范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园林绿化工程工程量计算规范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建设工程施工现场供用电安全规范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建设工程监理规范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建设工程施工现场供用电安全规范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建设工程施工项目管理规范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建设项目工程总承包管理规范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3" w:line="360" w:lineRule="auto"/>
              <w:ind w:left="107"/>
              <w:rPr>
                <w:sz w:val="21"/>
              </w:rPr>
            </w:pPr>
            <w:r>
              <w:rPr>
                <w:rFonts w:hint="eastAsia"/>
                <w:sz w:val="21"/>
              </w:rPr>
              <w:t>建设工程项目管理规范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建设工程文件归档整理规范附条文说明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工程建设施工企业质量管理规范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3" w:line="360" w:lineRule="auto"/>
              <w:ind w:left="107"/>
              <w:rPr>
                <w:sz w:val="21"/>
              </w:rPr>
            </w:pPr>
            <w:r>
              <w:rPr>
                <w:rFonts w:hint="eastAsia"/>
                <w:sz w:val="21"/>
              </w:rPr>
              <w:t>建设工程施工现场消防安全技术规范</w:t>
            </w:r>
            <w:r>
              <w:rPr>
                <w:sz w:val="21"/>
              </w:rPr>
              <w:t xml:space="preserve"> 1.doc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最新建筑消防技术标准规范与建筑防火安全技术操作规程及消防安全强制性条文</w:t>
            </w:r>
            <w:r>
              <w:rPr>
                <w:sz w:val="21"/>
              </w:rPr>
              <w:t>(2006)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砌体结构工程施工质量验收规范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3" w:line="360" w:lineRule="auto"/>
              <w:ind w:left="107"/>
              <w:rPr>
                <w:sz w:val="21"/>
              </w:rPr>
            </w:pPr>
            <w:r>
              <w:rPr>
                <w:rFonts w:hint="eastAsia"/>
                <w:sz w:val="21"/>
              </w:rPr>
              <w:t>混凝土结构工程施工质量验收规范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城市污水再生利用景观环境用水水质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地下工程防水技术规范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建筑工程施工质量验收统一标准</w:t>
            </w:r>
          </w:p>
        </w:tc>
      </w:tr>
    </w:tbl>
    <w:p>
      <w:pPr>
        <w:spacing w:line="360" w:lineRule="auto"/>
        <w:rPr>
          <w:sz w:val="21"/>
        </w:rPr>
        <w:sectPr>
          <w:pgSz w:w="11910" w:h="16840"/>
          <w:pgMar w:top="1300" w:right="0" w:bottom="1100" w:left="1320" w:header="0" w:footer="838" w:gutter="0"/>
          <w:cols w:space="720" w:num="1"/>
        </w:sectPr>
      </w:pPr>
    </w:p>
    <w:tbl>
      <w:tblPr>
        <w:tblStyle w:val="36"/>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地下防水工程质量验收规范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屋面工程技术规范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3" w:line="360" w:lineRule="auto"/>
              <w:ind w:left="107"/>
              <w:rPr>
                <w:sz w:val="21"/>
              </w:rPr>
            </w:pPr>
            <w:r>
              <w:rPr>
                <w:rFonts w:hint="eastAsia"/>
                <w:sz w:val="21"/>
              </w:rPr>
              <w:t>屋面工程质量验收规范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建筑地基基础工程施工质量验收规范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建筑地面工程施工质量验收规范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混凝土结构工程施工质量验收规范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建筑给水排水及采暖工程施工质量验收规范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318" w:type="dxa"/>
            <w:tcBorders>
              <w:bottom w:val="single" w:color="000000" w:sz="6" w:space="0"/>
            </w:tcBorders>
          </w:tcPr>
          <w:p>
            <w:pPr>
              <w:pStyle w:val="59"/>
              <w:spacing w:before="1" w:line="360" w:lineRule="auto"/>
              <w:ind w:left="107"/>
              <w:rPr>
                <w:sz w:val="21"/>
              </w:rPr>
            </w:pPr>
            <w:r>
              <w:rPr>
                <w:rFonts w:hint="eastAsia"/>
                <w:sz w:val="21"/>
              </w:rPr>
              <w:t>砌体结构工程施工规范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Borders>
              <w:top w:val="single" w:color="000000" w:sz="6" w:space="0"/>
            </w:tcBorders>
          </w:tcPr>
          <w:p>
            <w:pPr>
              <w:pStyle w:val="59"/>
              <w:spacing w:line="360" w:lineRule="auto"/>
              <w:ind w:left="107"/>
              <w:rPr>
                <w:sz w:val="21"/>
              </w:rPr>
            </w:pPr>
            <w:r>
              <w:rPr>
                <w:rFonts w:hint="eastAsia"/>
                <w:sz w:val="21"/>
              </w:rPr>
              <w:t>钢结构工程施工质量验收规范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水泥混凝土路面施工及验收规范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天然花岗石建筑板材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高密度聚乙烯外护管硬质聚氨酯泡沫塑料预制直埋保温管及管件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干混砂浆物理性能试验方法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3" w:line="360" w:lineRule="auto"/>
              <w:ind w:left="107"/>
              <w:rPr>
                <w:sz w:val="21"/>
              </w:rPr>
            </w:pPr>
            <w:r>
              <w:rPr>
                <w:rFonts w:hint="eastAsia"/>
                <w:sz w:val="21"/>
              </w:rPr>
              <w:t>节水灌溉工程技术规范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环氧树脂自流平地面工程技术规范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318" w:type="dxa"/>
          </w:tcPr>
          <w:p>
            <w:pPr>
              <w:pStyle w:val="59"/>
              <w:spacing w:before="1" w:line="360" w:lineRule="auto"/>
              <w:ind w:left="107"/>
              <w:rPr>
                <w:sz w:val="21"/>
              </w:rPr>
            </w:pPr>
            <w:r>
              <w:rPr>
                <w:rFonts w:hint="eastAsia"/>
                <w:sz w:val="21"/>
              </w:rPr>
              <w:t>园林绿化工程施工及验收规范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3" w:line="360" w:lineRule="auto"/>
              <w:ind w:left="107"/>
              <w:rPr>
                <w:sz w:val="21"/>
              </w:rPr>
            </w:pPr>
            <w:r>
              <w:rPr>
                <w:rFonts w:hint="eastAsia"/>
                <w:sz w:val="21"/>
              </w:rPr>
              <w:t>园林基本术语标准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种植屋面工程技术规程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城市园林苗圃育苗技术规程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绿化种植土壤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建设工程劳动定额</w:t>
            </w:r>
            <w:r>
              <w:rPr>
                <w:sz w:val="21"/>
              </w:rPr>
              <w:t xml:space="preserve"> </w:t>
            </w:r>
            <w:r>
              <w:rPr>
                <w:rFonts w:hint="eastAsia"/>
                <w:sz w:val="21"/>
              </w:rPr>
              <w:t>园林绿化工程</w:t>
            </w:r>
            <w:r>
              <w:rPr>
                <w:sz w:val="21"/>
              </w:rPr>
              <w:t>-</w:t>
            </w:r>
            <w:r>
              <w:rPr>
                <w:rFonts w:hint="eastAsia"/>
                <w:sz w:val="21"/>
              </w:rPr>
              <w:t>绿化工程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农药安全使用规范</w:t>
            </w:r>
            <w:r>
              <w:rPr>
                <w:sz w:val="21"/>
              </w:rPr>
              <w:t xml:space="preserve"> </w:t>
            </w:r>
            <w:r>
              <w:rPr>
                <w:rFonts w:hint="eastAsia"/>
                <w:sz w:val="21"/>
              </w:rPr>
              <w:t>总则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建设工程劳动定额</w:t>
            </w:r>
            <w:r>
              <w:rPr>
                <w:sz w:val="21"/>
              </w:rPr>
              <w:t xml:space="preserve"> </w:t>
            </w:r>
            <w:r>
              <w:rPr>
                <w:rFonts w:hint="eastAsia"/>
                <w:sz w:val="21"/>
              </w:rPr>
              <w:t>建筑工程</w:t>
            </w:r>
            <w:r>
              <w:rPr>
                <w:sz w:val="21"/>
              </w:rPr>
              <w:t>-</w:t>
            </w:r>
            <w:r>
              <w:rPr>
                <w:rFonts w:hint="eastAsia"/>
                <w:sz w:val="21"/>
              </w:rPr>
              <w:t>人工土石方工程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建设工程劳动定额</w:t>
            </w:r>
            <w:r>
              <w:rPr>
                <w:sz w:val="21"/>
              </w:rPr>
              <w:t xml:space="preserve"> </w:t>
            </w:r>
            <w:r>
              <w:rPr>
                <w:rFonts w:hint="eastAsia"/>
                <w:sz w:val="21"/>
              </w:rPr>
              <w:t>建筑工程</w:t>
            </w:r>
            <w:r>
              <w:rPr>
                <w:sz w:val="21"/>
              </w:rPr>
              <w:t>-</w:t>
            </w:r>
            <w:r>
              <w:rPr>
                <w:rFonts w:hint="eastAsia"/>
                <w:sz w:val="21"/>
              </w:rPr>
              <w:t>混凝土工程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建设工程劳动定额</w:t>
            </w:r>
            <w:r>
              <w:rPr>
                <w:sz w:val="21"/>
              </w:rPr>
              <w:t xml:space="preserve"> </w:t>
            </w:r>
            <w:r>
              <w:rPr>
                <w:rFonts w:hint="eastAsia"/>
                <w:sz w:val="21"/>
              </w:rPr>
              <w:t>安装工程</w:t>
            </w:r>
            <w:r>
              <w:rPr>
                <w:sz w:val="21"/>
              </w:rPr>
              <w:t>-</w:t>
            </w:r>
            <w:r>
              <w:rPr>
                <w:rFonts w:hint="eastAsia"/>
                <w:sz w:val="21"/>
              </w:rPr>
              <w:t>管道安装工程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建设工程劳动定额</w:t>
            </w:r>
            <w:r>
              <w:rPr>
                <w:sz w:val="21"/>
              </w:rPr>
              <w:t xml:space="preserve"> </w:t>
            </w:r>
            <w:r>
              <w:rPr>
                <w:rFonts w:hint="eastAsia"/>
                <w:sz w:val="21"/>
              </w:rPr>
              <w:t>安装工程</w:t>
            </w:r>
            <w:r>
              <w:rPr>
                <w:sz w:val="21"/>
              </w:rPr>
              <w:t>-</w:t>
            </w:r>
            <w:r>
              <w:rPr>
                <w:rFonts w:hint="eastAsia"/>
                <w:sz w:val="21"/>
              </w:rPr>
              <w:t>刷油、防腐蚀与绝热工程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工程建设施工现场焊接目视检验规范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3" w:line="360" w:lineRule="auto"/>
              <w:ind w:left="107"/>
              <w:rPr>
                <w:sz w:val="21"/>
              </w:rPr>
            </w:pPr>
            <w:r>
              <w:rPr>
                <w:rFonts w:hint="eastAsia"/>
                <w:sz w:val="21"/>
              </w:rPr>
              <w:t>建筑排水塑料管道工程技术规程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建筑给水聚乙烯类管道工程技术规程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城镇环境卫生设施设置标准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3" w:line="360" w:lineRule="auto"/>
              <w:ind w:left="107"/>
              <w:rPr>
                <w:sz w:val="21"/>
              </w:rPr>
            </w:pPr>
            <w:r>
              <w:rPr>
                <w:rFonts w:hint="eastAsia"/>
                <w:sz w:val="21"/>
              </w:rPr>
              <w:t>城市道路彩色沥青混凝土路面技术规程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天然花岗石建筑板材</w:t>
            </w:r>
          </w:p>
        </w:tc>
      </w:tr>
    </w:tbl>
    <w:p>
      <w:pPr>
        <w:spacing w:line="360" w:lineRule="auto"/>
        <w:rPr>
          <w:sz w:val="21"/>
        </w:rPr>
        <w:sectPr>
          <w:pgSz w:w="11910" w:h="16840"/>
          <w:pgMar w:top="1340" w:right="0" w:bottom="1020" w:left="1320" w:header="0" w:footer="838" w:gutter="0"/>
          <w:cols w:space="720" w:num="1"/>
        </w:sectPr>
      </w:pPr>
    </w:p>
    <w:tbl>
      <w:tblPr>
        <w:tblStyle w:val="36"/>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天然石材装饰工程技术规程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干混砂浆生产工艺与应用技术规范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3" w:line="360" w:lineRule="auto"/>
              <w:ind w:left="107"/>
              <w:rPr>
                <w:sz w:val="21"/>
              </w:rPr>
            </w:pPr>
            <w:r>
              <w:rPr>
                <w:rFonts w:hint="eastAsia"/>
                <w:sz w:val="21"/>
              </w:rPr>
              <w:t>混凝土路面砖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建筑基坑支护技术规程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外墙饰面砖工程施工及验收规程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建筑涂饰工程施工及验收规程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建筑工程冬期施工规程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318" w:type="dxa"/>
            <w:tcBorders>
              <w:bottom w:val="single" w:color="000000" w:sz="6" w:space="0"/>
            </w:tcBorders>
          </w:tcPr>
          <w:p>
            <w:pPr>
              <w:pStyle w:val="59"/>
              <w:spacing w:before="1" w:line="360" w:lineRule="auto"/>
              <w:ind w:left="107"/>
              <w:rPr>
                <w:sz w:val="21"/>
              </w:rPr>
            </w:pPr>
            <w:r>
              <w:rPr>
                <w:rFonts w:hint="eastAsia"/>
                <w:sz w:val="21"/>
              </w:rPr>
              <w:t>自流平地面工程技术规程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Borders>
              <w:top w:val="single" w:color="000000" w:sz="6" w:space="0"/>
            </w:tcBorders>
          </w:tcPr>
          <w:p>
            <w:pPr>
              <w:pStyle w:val="59"/>
              <w:spacing w:line="360" w:lineRule="auto"/>
              <w:ind w:left="107"/>
              <w:rPr>
                <w:sz w:val="21"/>
              </w:rPr>
            </w:pPr>
            <w:r>
              <w:rPr>
                <w:rFonts w:hint="eastAsia"/>
                <w:sz w:val="21"/>
              </w:rPr>
              <w:t>建筑材料术语标准</w:t>
            </w:r>
            <w:r>
              <w:rPr>
                <w:sz w:val="21"/>
              </w:rPr>
              <w:t xml:space="preserve"> </w:t>
            </w:r>
            <w:r>
              <w:rPr>
                <w:rFonts w:hint="eastAsia"/>
                <w:sz w:val="21"/>
              </w:rPr>
              <w:t>附条文说明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预拌砂浆应用技术规程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砌筑砂浆配合比设计规程</w:t>
            </w:r>
            <w:r>
              <w:rPr>
                <w:sz w:val="21"/>
              </w:rPr>
              <w:t>(</w:t>
            </w:r>
            <w:r>
              <w:rPr>
                <w:rFonts w:hint="eastAsia"/>
                <w:sz w:val="21"/>
              </w:rPr>
              <w:t>完整版</w:t>
            </w:r>
            <w:r>
              <w:rPr>
                <w:sz w:val="21"/>
              </w:rPr>
              <w:t>).doc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建设工程施工现场安全资料管理规程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施工现场临时用电安全技术规范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3" w:line="360" w:lineRule="auto"/>
              <w:ind w:left="107"/>
              <w:rPr>
                <w:sz w:val="21"/>
              </w:rPr>
            </w:pPr>
            <w:r>
              <w:rPr>
                <w:rFonts w:hint="eastAsia"/>
                <w:sz w:val="21"/>
              </w:rPr>
              <w:t>施工现场临时用电安全技术规范图解</w:t>
            </w:r>
            <w:r>
              <w:rPr>
                <w:sz w:val="21"/>
              </w:rPr>
              <w:t>(</w:t>
            </w:r>
            <w:r>
              <w:rPr>
                <w:rFonts w:hint="eastAsia"/>
                <w:sz w:val="21"/>
              </w:rPr>
              <w:t>建筑业协会编</w:t>
            </w:r>
            <w:r>
              <w:rPr>
                <w:sz w:val="21"/>
              </w:rPr>
              <w:t xml:space="preserve"> 2009)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建筑工程资料管理规程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318" w:type="dxa"/>
          </w:tcPr>
          <w:p>
            <w:pPr>
              <w:pStyle w:val="59"/>
              <w:spacing w:before="1" w:line="360" w:lineRule="auto"/>
              <w:ind w:left="107"/>
              <w:rPr>
                <w:sz w:val="21"/>
              </w:rPr>
            </w:pPr>
            <w:r>
              <w:rPr>
                <w:rFonts w:hint="eastAsia"/>
                <w:sz w:val="21"/>
              </w:rPr>
              <w:t>施工企业安全生产评价标准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3" w:line="360" w:lineRule="auto"/>
              <w:ind w:left="107"/>
              <w:rPr>
                <w:sz w:val="21"/>
              </w:rPr>
            </w:pPr>
            <w:r>
              <w:rPr>
                <w:rFonts w:hint="eastAsia"/>
                <w:sz w:val="21"/>
              </w:rPr>
              <w:t>施工企业安全生产评价标准实施手册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绿化条例</w:t>
            </w:r>
            <w:r>
              <w:rPr>
                <w:sz w:val="21"/>
              </w:rPr>
              <w:t>.docx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园林铺地分项工程施工工艺规程</w:t>
            </w:r>
            <w:r>
              <w:rPr>
                <w:sz w:val="21"/>
              </w:rPr>
              <w:t>.doc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城镇绿地养护管理规范</w:t>
            </w:r>
            <w:r>
              <w:rPr>
                <w:sz w:val="21"/>
              </w:rPr>
              <w:t>.doc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园林绿化工程竣工图编制规范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绿化种植分项工程施工工艺规程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园林绿化工程监理规程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园林绿化种植土壤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双条杉天牛监测与防治技术规程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大规格苗木移植技术规程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园林绿化工程施工及验收规范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3" w:line="360" w:lineRule="auto"/>
              <w:ind w:left="107"/>
              <w:rPr>
                <w:sz w:val="21"/>
              </w:rPr>
            </w:pPr>
            <w:r>
              <w:rPr>
                <w:rFonts w:hint="eastAsia"/>
                <w:sz w:val="21"/>
              </w:rPr>
              <w:t>再生水灌溉绿地技术规范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种植屋面防水施工技术规程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屋顶绿化规范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3" w:line="360" w:lineRule="auto"/>
              <w:ind w:left="107"/>
              <w:rPr>
                <w:sz w:val="21"/>
              </w:rPr>
            </w:pPr>
            <w:r>
              <w:rPr>
                <w:rFonts w:hint="eastAsia"/>
                <w:sz w:val="21"/>
              </w:rPr>
              <w:t>城市园林绿化用植物材料木本苗</w:t>
            </w:r>
            <w:r>
              <w:rPr>
                <w:sz w:val="21"/>
              </w:rPr>
              <w:t>.doc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竹子栽植及养护技术规范</w:t>
            </w:r>
            <w:r>
              <w:rPr>
                <w:sz w:val="21"/>
              </w:rPr>
              <w:t>.doc</w:t>
            </w:r>
          </w:p>
        </w:tc>
      </w:tr>
    </w:tbl>
    <w:p>
      <w:pPr>
        <w:spacing w:line="360" w:lineRule="auto"/>
        <w:rPr>
          <w:sz w:val="21"/>
        </w:rPr>
        <w:sectPr>
          <w:pgSz w:w="11910" w:h="16840"/>
          <w:pgMar w:top="1340" w:right="0" w:bottom="1020" w:left="1320" w:header="0" w:footer="838" w:gutter="0"/>
          <w:cols w:space="720" w:num="1"/>
        </w:sectPr>
      </w:pPr>
    </w:p>
    <w:tbl>
      <w:tblPr>
        <w:tblStyle w:val="36"/>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观赏灌木修剪规范</w:t>
            </w:r>
            <w:r>
              <w:rPr>
                <w:sz w:val="21"/>
              </w:rPr>
              <w:t>.doc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古树名木健康快速诊断技术规程</w:t>
            </w:r>
            <w:r>
              <w:rPr>
                <w:sz w:val="21"/>
              </w:rPr>
              <w:t>.doc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3" w:line="360" w:lineRule="auto"/>
              <w:ind w:left="107"/>
              <w:rPr>
                <w:sz w:val="21"/>
              </w:rPr>
            </w:pPr>
            <w:r>
              <w:rPr>
                <w:rFonts w:hint="eastAsia"/>
                <w:sz w:val="21"/>
              </w:rPr>
              <w:t>柳枝稷繁殖栽培技术规程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榆叶梅繁殖与栽培养护技术规程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封山育林技术规程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节水耐旱型树种选择技术规程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森林土壤调查技术规程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318" w:type="dxa"/>
            <w:tcBorders>
              <w:bottom w:val="single" w:color="000000" w:sz="6" w:space="0"/>
            </w:tcBorders>
          </w:tcPr>
          <w:p>
            <w:pPr>
              <w:pStyle w:val="59"/>
              <w:spacing w:before="1" w:line="360" w:lineRule="auto"/>
              <w:ind w:left="107"/>
              <w:rPr>
                <w:sz w:val="21"/>
              </w:rPr>
            </w:pPr>
            <w:r>
              <w:rPr>
                <w:rFonts w:hint="eastAsia"/>
                <w:sz w:val="21"/>
              </w:rPr>
              <w:t>低效生态公益林改造技术规程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Borders>
              <w:top w:val="single" w:color="000000" w:sz="6" w:space="0"/>
            </w:tcBorders>
          </w:tcPr>
          <w:p>
            <w:pPr>
              <w:pStyle w:val="59"/>
              <w:spacing w:line="360" w:lineRule="auto"/>
              <w:ind w:left="107"/>
              <w:rPr>
                <w:sz w:val="21"/>
              </w:rPr>
            </w:pPr>
            <w:r>
              <w:rPr>
                <w:rFonts w:hint="eastAsia"/>
                <w:sz w:val="21"/>
              </w:rPr>
              <w:t>园林绿化废弃物堆肥技术规程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草履蚧监测与防治技术规程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油松毛虫监测与防治技术规程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行道树修剪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丰花月季和大花月季栽培养护管理技术规程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3" w:line="360" w:lineRule="auto"/>
              <w:ind w:left="107"/>
              <w:rPr>
                <w:sz w:val="21"/>
              </w:rPr>
            </w:pPr>
            <w:r>
              <w:rPr>
                <w:rFonts w:hint="eastAsia"/>
                <w:sz w:val="21"/>
              </w:rPr>
              <w:t>草坪节水灌溉技术规定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春尺蠖监测与防治技术规程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318" w:type="dxa"/>
          </w:tcPr>
          <w:p>
            <w:pPr>
              <w:pStyle w:val="59"/>
              <w:spacing w:before="1" w:line="360" w:lineRule="auto"/>
              <w:ind w:left="107"/>
              <w:rPr>
                <w:sz w:val="21"/>
              </w:rPr>
            </w:pPr>
            <w:r>
              <w:rPr>
                <w:rFonts w:hint="eastAsia"/>
                <w:sz w:val="21"/>
              </w:rPr>
              <w:t>古树名木保护复壮技术规程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3" w:line="360" w:lineRule="auto"/>
              <w:ind w:left="107"/>
              <w:rPr>
                <w:sz w:val="21"/>
              </w:rPr>
            </w:pPr>
            <w:r>
              <w:rPr>
                <w:rFonts w:hint="eastAsia"/>
                <w:sz w:val="21"/>
              </w:rPr>
              <w:t>古树名木评价标准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古树名木日常养护管理标准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花卉栽培基质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露地花卉布置技术规程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美国白蛾综合防控技术规程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木本观赏植物栽植与管理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213"/>
              <w:rPr>
                <w:sz w:val="21"/>
              </w:rPr>
            </w:pPr>
            <w:r>
              <w:rPr>
                <w:rFonts w:hint="eastAsia"/>
                <w:sz w:val="21"/>
              </w:rPr>
              <w:t>建筑基坑支护技术规程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建筑施工测量技术规程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建筑工程施工技术管理规程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干拌砂浆应用技术规程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透水砖路面施工与验收规程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3" w:line="360" w:lineRule="auto"/>
              <w:ind w:left="107"/>
              <w:rPr>
                <w:sz w:val="21"/>
              </w:rPr>
            </w:pPr>
            <w:r>
              <w:rPr>
                <w:rFonts w:hint="eastAsia"/>
                <w:sz w:val="21"/>
              </w:rPr>
              <w:t>城市雕塑工程建设质量技术规范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膜结构施工质量验收规范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透水混凝土路面技术规程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3" w:line="360" w:lineRule="auto"/>
              <w:ind w:left="107"/>
              <w:rPr>
                <w:sz w:val="21"/>
              </w:rPr>
            </w:pPr>
            <w:r>
              <w:rPr>
                <w:rFonts w:hint="eastAsia"/>
                <w:sz w:val="21"/>
              </w:rPr>
              <w:t>自流平地面施工技术规程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城市道路混凝土路面砖</w:t>
            </w:r>
            <w:r>
              <w:rPr>
                <w:sz w:val="21"/>
              </w:rPr>
              <w:t>.doc</w:t>
            </w:r>
          </w:p>
        </w:tc>
      </w:tr>
    </w:tbl>
    <w:p>
      <w:pPr>
        <w:spacing w:line="360" w:lineRule="auto"/>
        <w:rPr>
          <w:sz w:val="21"/>
        </w:rPr>
        <w:sectPr>
          <w:footerReference r:id="rId28" w:type="default"/>
          <w:pgSz w:w="11910" w:h="16840"/>
          <w:pgMar w:top="1340" w:right="0" w:bottom="1020" w:left="1320" w:header="0" w:footer="838" w:gutter="0"/>
          <w:cols w:space="720" w:num="1"/>
        </w:sectPr>
      </w:pPr>
    </w:p>
    <w:tbl>
      <w:tblPr>
        <w:tblStyle w:val="36"/>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高密度聚乙烯室外排水管道工程技术规程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干拌砂浆应用技术规程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3" w:line="360" w:lineRule="auto"/>
              <w:ind w:left="107"/>
              <w:rPr>
                <w:sz w:val="21"/>
              </w:rPr>
            </w:pPr>
            <w:r>
              <w:rPr>
                <w:rFonts w:hint="eastAsia"/>
                <w:sz w:val="21"/>
              </w:rPr>
              <w:t>建设工程施工现场安全资料管理规程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建设工程临建房屋应用技术标准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8318" w:type="dxa"/>
          </w:tcPr>
          <w:p>
            <w:pPr>
              <w:pStyle w:val="59"/>
              <w:spacing w:before="1" w:line="360" w:lineRule="auto"/>
              <w:ind w:left="107"/>
              <w:rPr>
                <w:sz w:val="21"/>
              </w:rPr>
            </w:pPr>
            <w:r>
              <w:rPr>
                <w:rFonts w:hint="eastAsia"/>
                <w:sz w:val="21"/>
              </w:rPr>
              <w:t>建设工程施工现场安全防护、场容卫生及消防保卫标准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建筑工程施工组织设计管理规程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318" w:type="dxa"/>
          </w:tcPr>
          <w:p>
            <w:pPr>
              <w:pStyle w:val="59"/>
              <w:spacing w:before="1" w:line="360" w:lineRule="auto"/>
              <w:ind w:left="107"/>
              <w:rPr>
                <w:sz w:val="21"/>
              </w:rPr>
            </w:pPr>
            <w:r>
              <w:rPr>
                <w:rFonts w:hint="eastAsia"/>
                <w:sz w:val="21"/>
              </w:rPr>
              <w:t>建筑工程资料管理规程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8318" w:type="dxa"/>
          </w:tcPr>
          <w:p>
            <w:pPr>
              <w:pStyle w:val="59"/>
              <w:spacing w:line="360" w:lineRule="auto"/>
              <w:rPr>
                <w:sz w:val="20"/>
              </w:rPr>
            </w:pPr>
            <w:r>
              <w:rPr>
                <w:rFonts w:hint="eastAsia"/>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318" w:type="dxa"/>
          </w:tcPr>
          <w:p>
            <w:pPr>
              <w:pStyle w:val="59"/>
              <w:spacing w:before="61" w:line="360" w:lineRule="auto"/>
              <w:ind w:left="107"/>
              <w:rPr>
                <w:sz w:val="21"/>
              </w:rPr>
            </w:pPr>
          </w:p>
        </w:tc>
      </w:tr>
    </w:tbl>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pStyle w:val="18"/>
        <w:spacing w:line="360" w:lineRule="auto"/>
        <w:rPr>
          <w:sz w:val="20"/>
        </w:rPr>
      </w:pPr>
    </w:p>
    <w:p>
      <w:pPr>
        <w:spacing w:line="360" w:lineRule="auto"/>
        <w:sectPr>
          <w:footerReference r:id="rId29" w:type="default"/>
          <w:pgSz w:w="11910" w:h="16840"/>
          <w:pgMar w:top="1340" w:right="0" w:bottom="1020" w:left="1320" w:header="0" w:footer="838" w:gutter="0"/>
          <w:pgNumType w:start="1"/>
          <w:cols w:space="720" w:num="1"/>
        </w:sectPr>
      </w:pPr>
    </w:p>
    <w:p>
      <w:pPr>
        <w:pStyle w:val="5"/>
        <w:spacing w:before="42" w:line="360" w:lineRule="auto"/>
        <w:ind w:left="605"/>
        <w:rPr>
          <w:rFonts w:ascii="宋体" w:cs="宋体"/>
        </w:rPr>
      </w:pPr>
      <w:r>
        <w:rPr>
          <w:rFonts w:hint="eastAsia" w:ascii="宋体" w:hAnsi="宋体" w:cs="宋体"/>
        </w:rPr>
        <w:t>附件</w:t>
      </w:r>
      <w:r>
        <w:rPr>
          <w:rFonts w:ascii="宋体" w:hAnsi="宋体" w:cs="宋体"/>
        </w:rPr>
        <w:t>A</w:t>
      </w:r>
      <w:r>
        <w:rPr>
          <w:rFonts w:hint="eastAsia" w:ascii="宋体" w:hAnsi="宋体" w:cs="宋体"/>
        </w:rPr>
        <w:t>：施工现场现状平面图</w:t>
      </w:r>
      <w:r>
        <w:rPr>
          <w:rFonts w:ascii="宋体" w:hAnsi="宋体" w:cs="宋体"/>
        </w:rPr>
        <w:t xml:space="preserve"> </w:t>
      </w:r>
    </w:p>
    <w:p>
      <w:pPr>
        <w:pStyle w:val="18"/>
        <w:spacing w:line="360" w:lineRule="auto"/>
        <w:rPr>
          <w:sz w:val="28"/>
        </w:rPr>
      </w:pPr>
    </w:p>
    <w:p>
      <w:pPr>
        <w:pStyle w:val="18"/>
        <w:spacing w:before="9" w:line="360" w:lineRule="auto"/>
        <w:rPr>
          <w:sz w:val="20"/>
        </w:rPr>
      </w:pPr>
    </w:p>
    <w:p>
      <w:pPr>
        <w:pStyle w:val="18"/>
        <w:spacing w:line="360" w:lineRule="auto"/>
        <w:ind w:left="324" w:right="1617"/>
      </w:pPr>
      <w:r>
        <w:rPr>
          <w:rFonts w:hint="eastAsia"/>
        </w:rPr>
        <w:t>说明：该图由招标人准备，并作为招标文件本章的组成内容提供给投标人。图中应当标示本章第一节第</w:t>
      </w:r>
      <w:r>
        <w:t xml:space="preserve"> 1.2.1 </w:t>
      </w:r>
      <w:r>
        <w:rPr>
          <w:rFonts w:hint="eastAsia"/>
        </w:rPr>
        <w:t>项规定的内容，并做必要的文字说明。</w:t>
      </w:r>
      <w:r>
        <w:t xml:space="preserve"> </w:t>
      </w:r>
    </w:p>
    <w:p>
      <w:pPr>
        <w:spacing w:line="360" w:lineRule="auto"/>
        <w:sectPr>
          <w:pgSz w:w="11910" w:h="16840"/>
          <w:pgMar w:top="1340" w:right="0" w:bottom="1100" w:left="1320" w:header="0" w:footer="838" w:gutter="0"/>
          <w:cols w:space="720" w:num="1"/>
        </w:sectPr>
      </w:pPr>
    </w:p>
    <w:p>
      <w:pPr>
        <w:spacing w:line="360" w:lineRule="auto"/>
        <w:ind w:left="198" w:right="886"/>
        <w:jc w:val="center"/>
        <w:rPr>
          <w:b/>
          <w:sz w:val="48"/>
        </w:rPr>
      </w:pPr>
      <w:bookmarkStart w:id="801" w:name="_bookmark18"/>
      <w:bookmarkEnd w:id="801"/>
    </w:p>
    <w:p>
      <w:pPr>
        <w:spacing w:line="360" w:lineRule="auto"/>
        <w:ind w:left="198" w:right="886"/>
        <w:jc w:val="center"/>
        <w:rPr>
          <w:b/>
          <w:sz w:val="48"/>
        </w:rPr>
      </w:pPr>
    </w:p>
    <w:p>
      <w:pPr>
        <w:spacing w:line="360" w:lineRule="auto"/>
        <w:ind w:left="198" w:right="886"/>
        <w:jc w:val="center"/>
        <w:rPr>
          <w:b/>
          <w:sz w:val="48"/>
        </w:rPr>
      </w:pPr>
    </w:p>
    <w:p>
      <w:pPr>
        <w:spacing w:line="360" w:lineRule="auto"/>
        <w:ind w:left="198" w:right="886"/>
        <w:jc w:val="center"/>
        <w:rPr>
          <w:b/>
          <w:sz w:val="48"/>
        </w:rPr>
      </w:pPr>
    </w:p>
    <w:p>
      <w:pPr>
        <w:spacing w:line="360" w:lineRule="auto"/>
        <w:ind w:left="198" w:right="886"/>
        <w:jc w:val="center"/>
        <w:rPr>
          <w:b/>
          <w:sz w:val="48"/>
        </w:rPr>
      </w:pPr>
    </w:p>
    <w:p>
      <w:pPr>
        <w:spacing w:line="360" w:lineRule="auto"/>
        <w:ind w:left="198" w:right="886"/>
        <w:jc w:val="center"/>
        <w:rPr>
          <w:b/>
          <w:sz w:val="48"/>
        </w:rPr>
      </w:pPr>
    </w:p>
    <w:p>
      <w:pPr>
        <w:spacing w:line="360" w:lineRule="auto"/>
        <w:ind w:left="198" w:right="886"/>
        <w:jc w:val="center"/>
        <w:rPr>
          <w:b/>
          <w:sz w:val="48"/>
        </w:rPr>
      </w:pPr>
    </w:p>
    <w:p>
      <w:pPr>
        <w:spacing w:line="360" w:lineRule="auto"/>
        <w:ind w:left="198" w:right="886"/>
        <w:jc w:val="center"/>
        <w:rPr>
          <w:b/>
          <w:sz w:val="48"/>
        </w:rPr>
      </w:pPr>
      <w:r>
        <w:rPr>
          <w:rFonts w:hint="eastAsia"/>
          <w:b/>
          <w:sz w:val="48"/>
        </w:rPr>
        <w:t>第八章</w:t>
      </w:r>
      <w:r>
        <w:rPr>
          <w:b/>
          <w:sz w:val="48"/>
        </w:rPr>
        <w:t xml:space="preserve"> </w:t>
      </w:r>
      <w:r>
        <w:rPr>
          <w:rFonts w:hint="eastAsia"/>
          <w:b/>
          <w:sz w:val="48"/>
        </w:rPr>
        <w:t>投标文件格式</w:t>
      </w:r>
    </w:p>
    <w:p>
      <w:pPr>
        <w:spacing w:line="360" w:lineRule="auto"/>
        <w:jc w:val="center"/>
        <w:rPr>
          <w:sz w:val="48"/>
        </w:rPr>
        <w:sectPr>
          <w:pgSz w:w="11910" w:h="16840"/>
          <w:pgMar w:top="1580" w:right="0" w:bottom="1100" w:left="1320" w:header="0" w:footer="838" w:gutter="0"/>
          <w:cols w:space="720" w:num="1"/>
        </w:sectPr>
      </w:pPr>
    </w:p>
    <w:p>
      <w:pPr>
        <w:pStyle w:val="5"/>
        <w:spacing w:before="62" w:line="360" w:lineRule="auto"/>
        <w:ind w:left="2602"/>
        <w:rPr>
          <w:rFonts w:ascii="宋体" w:cs="宋体"/>
        </w:rPr>
      </w:pPr>
    </w:p>
    <w:p>
      <w:pPr>
        <w:pStyle w:val="5"/>
        <w:spacing w:before="62" w:line="360" w:lineRule="auto"/>
        <w:ind w:left="2602"/>
        <w:rPr>
          <w:rFonts w:ascii="宋体" w:cs="宋体"/>
        </w:rPr>
      </w:pPr>
    </w:p>
    <w:p>
      <w:pPr>
        <w:pStyle w:val="5"/>
        <w:spacing w:line="360" w:lineRule="auto"/>
        <w:ind w:left="0"/>
        <w:jc w:val="center"/>
        <w:rPr>
          <w:rFonts w:ascii="宋体" w:cs="宋体"/>
          <w:sz w:val="32"/>
          <w:szCs w:val="32"/>
        </w:rPr>
      </w:pPr>
      <w:r>
        <w:rPr>
          <w:rFonts w:ascii="宋体" w:hAnsi="宋体" w:cs="宋体"/>
          <w:sz w:val="32"/>
          <w:szCs w:val="32"/>
        </w:rPr>
        <w:t>_______</w:t>
      </w:r>
      <w:r>
        <w:rPr>
          <w:rFonts w:hint="eastAsia" w:ascii="宋体" w:hAnsi="宋体" w:cs="宋体"/>
          <w:sz w:val="32"/>
          <w:szCs w:val="32"/>
        </w:rPr>
        <w:t>（项目名称）施工招标</w:t>
      </w:r>
    </w:p>
    <w:p>
      <w:pPr>
        <w:pStyle w:val="5"/>
        <w:spacing w:line="360" w:lineRule="auto"/>
        <w:ind w:left="0"/>
        <w:rPr>
          <w:rFonts w:ascii="宋体" w:cs="宋体"/>
          <w:sz w:val="32"/>
          <w:szCs w:val="32"/>
        </w:rPr>
      </w:pPr>
    </w:p>
    <w:p>
      <w:pPr>
        <w:pStyle w:val="5"/>
        <w:spacing w:line="360" w:lineRule="auto"/>
        <w:ind w:left="0"/>
        <w:rPr>
          <w:rFonts w:ascii="宋体" w:cs="宋体"/>
          <w:sz w:val="32"/>
          <w:szCs w:val="32"/>
        </w:rPr>
      </w:pPr>
    </w:p>
    <w:p>
      <w:pPr>
        <w:pStyle w:val="5"/>
        <w:spacing w:line="360" w:lineRule="auto"/>
        <w:ind w:left="0"/>
        <w:rPr>
          <w:rFonts w:ascii="宋体" w:cs="宋体"/>
          <w:sz w:val="32"/>
          <w:szCs w:val="32"/>
        </w:rPr>
      </w:pPr>
    </w:p>
    <w:p>
      <w:pPr>
        <w:pStyle w:val="5"/>
        <w:spacing w:line="360" w:lineRule="auto"/>
        <w:ind w:left="0"/>
        <w:rPr>
          <w:rFonts w:ascii="宋体" w:cs="宋体"/>
          <w:sz w:val="32"/>
          <w:szCs w:val="32"/>
        </w:rPr>
      </w:pPr>
    </w:p>
    <w:p>
      <w:pPr>
        <w:pStyle w:val="5"/>
        <w:spacing w:line="360" w:lineRule="auto"/>
        <w:ind w:left="0"/>
        <w:jc w:val="center"/>
        <w:rPr>
          <w:rFonts w:ascii="宋体" w:cs="宋体"/>
          <w:b/>
          <w:bCs/>
          <w:sz w:val="44"/>
          <w:szCs w:val="44"/>
        </w:rPr>
      </w:pPr>
      <w:r>
        <w:rPr>
          <w:rFonts w:hint="eastAsia" w:ascii="宋体" w:hAnsi="宋体" w:cs="宋体"/>
          <w:b/>
          <w:bCs/>
          <w:sz w:val="44"/>
          <w:szCs w:val="44"/>
        </w:rPr>
        <w:t>投</w:t>
      </w:r>
      <w:r>
        <w:rPr>
          <w:rFonts w:ascii="宋体" w:hAnsi="宋体" w:cs="宋体"/>
          <w:b/>
          <w:bCs/>
          <w:sz w:val="44"/>
          <w:szCs w:val="44"/>
        </w:rPr>
        <w:t xml:space="preserve"> </w:t>
      </w:r>
      <w:r>
        <w:rPr>
          <w:rFonts w:hint="eastAsia" w:ascii="宋体" w:hAnsi="宋体" w:cs="宋体"/>
          <w:b/>
          <w:bCs/>
          <w:sz w:val="44"/>
          <w:szCs w:val="44"/>
        </w:rPr>
        <w:t>标</w:t>
      </w:r>
      <w:r>
        <w:rPr>
          <w:rFonts w:ascii="宋体" w:hAnsi="宋体" w:cs="宋体"/>
          <w:b/>
          <w:bCs/>
          <w:sz w:val="44"/>
          <w:szCs w:val="44"/>
        </w:rPr>
        <w:t xml:space="preserve"> </w:t>
      </w:r>
      <w:r>
        <w:rPr>
          <w:rFonts w:hint="eastAsia" w:ascii="宋体" w:hAnsi="宋体" w:cs="宋体"/>
          <w:b/>
          <w:bCs/>
          <w:sz w:val="44"/>
          <w:szCs w:val="44"/>
        </w:rPr>
        <w:t>文</w:t>
      </w:r>
      <w:r>
        <w:rPr>
          <w:rFonts w:ascii="宋体" w:hAnsi="宋体" w:cs="宋体"/>
          <w:b/>
          <w:bCs/>
          <w:sz w:val="44"/>
          <w:szCs w:val="44"/>
        </w:rPr>
        <w:t xml:space="preserve"> </w:t>
      </w:r>
      <w:r>
        <w:rPr>
          <w:rFonts w:hint="eastAsia" w:ascii="宋体" w:hAnsi="宋体" w:cs="宋体"/>
          <w:b/>
          <w:bCs/>
          <w:sz w:val="44"/>
          <w:szCs w:val="44"/>
        </w:rPr>
        <w:t>件</w:t>
      </w:r>
    </w:p>
    <w:p>
      <w:pPr>
        <w:pStyle w:val="5"/>
        <w:spacing w:line="360" w:lineRule="auto"/>
        <w:ind w:left="0"/>
        <w:rPr>
          <w:rFonts w:ascii="宋体" w:cs="宋体"/>
          <w:sz w:val="32"/>
          <w:szCs w:val="32"/>
        </w:rPr>
      </w:pPr>
    </w:p>
    <w:p>
      <w:pPr>
        <w:pStyle w:val="5"/>
        <w:spacing w:line="360" w:lineRule="auto"/>
        <w:ind w:left="0"/>
        <w:rPr>
          <w:rFonts w:ascii="宋体" w:cs="宋体"/>
          <w:sz w:val="32"/>
          <w:szCs w:val="32"/>
        </w:rPr>
      </w:pPr>
    </w:p>
    <w:p>
      <w:pPr>
        <w:pStyle w:val="5"/>
        <w:spacing w:line="360" w:lineRule="auto"/>
        <w:ind w:left="0"/>
        <w:rPr>
          <w:rFonts w:ascii="宋体" w:cs="宋体"/>
          <w:sz w:val="32"/>
          <w:szCs w:val="32"/>
        </w:rPr>
      </w:pPr>
    </w:p>
    <w:p>
      <w:pPr>
        <w:pStyle w:val="5"/>
        <w:spacing w:line="360" w:lineRule="auto"/>
        <w:ind w:left="0"/>
        <w:rPr>
          <w:rFonts w:ascii="宋体" w:cs="宋体"/>
          <w:sz w:val="32"/>
          <w:szCs w:val="32"/>
        </w:rPr>
      </w:pPr>
    </w:p>
    <w:p>
      <w:pPr>
        <w:pStyle w:val="5"/>
        <w:spacing w:line="360" w:lineRule="auto"/>
        <w:ind w:left="0"/>
        <w:rPr>
          <w:rFonts w:ascii="宋体" w:cs="宋体"/>
          <w:sz w:val="32"/>
          <w:szCs w:val="32"/>
        </w:rPr>
      </w:pPr>
    </w:p>
    <w:p>
      <w:pPr>
        <w:pStyle w:val="5"/>
        <w:spacing w:line="360" w:lineRule="auto"/>
        <w:ind w:left="0"/>
        <w:rPr>
          <w:rFonts w:ascii="宋体" w:cs="宋体"/>
          <w:sz w:val="32"/>
          <w:szCs w:val="32"/>
        </w:rPr>
      </w:pPr>
      <w:r>
        <w:rPr>
          <w:rFonts w:hint="eastAsia" w:ascii="宋体" w:hAnsi="宋体" w:cs="宋体"/>
          <w:sz w:val="32"/>
          <w:szCs w:val="32"/>
        </w:rPr>
        <w:t>投标人：</w:t>
      </w:r>
      <w:r>
        <w:rPr>
          <w:rFonts w:ascii="宋体" w:hAnsi="宋体" w:cs="宋体"/>
          <w:sz w:val="32"/>
          <w:szCs w:val="32"/>
        </w:rPr>
        <w:t>_______</w:t>
      </w:r>
      <w:r>
        <w:rPr>
          <w:rFonts w:hint="eastAsia" w:ascii="宋体" w:hAnsi="宋体" w:cs="宋体"/>
          <w:sz w:val="32"/>
          <w:szCs w:val="32"/>
        </w:rPr>
        <w:t>（盖单位章）</w:t>
      </w:r>
    </w:p>
    <w:p>
      <w:pPr>
        <w:pStyle w:val="5"/>
        <w:spacing w:line="360" w:lineRule="auto"/>
        <w:ind w:left="0"/>
        <w:rPr>
          <w:rFonts w:ascii="宋体" w:cs="宋体"/>
          <w:sz w:val="32"/>
          <w:szCs w:val="32"/>
        </w:rPr>
      </w:pPr>
    </w:p>
    <w:p>
      <w:pPr>
        <w:pStyle w:val="5"/>
        <w:spacing w:line="360" w:lineRule="auto"/>
        <w:ind w:left="0"/>
        <w:rPr>
          <w:rFonts w:ascii="宋体" w:cs="宋体"/>
          <w:sz w:val="32"/>
          <w:szCs w:val="32"/>
        </w:rPr>
      </w:pPr>
      <w:r>
        <w:rPr>
          <w:rFonts w:hint="eastAsia" w:ascii="宋体" w:hAnsi="宋体" w:cs="宋体"/>
          <w:sz w:val="32"/>
          <w:szCs w:val="32"/>
        </w:rPr>
        <w:t>法定代表人或其委托代理人：</w:t>
      </w:r>
      <w:r>
        <w:rPr>
          <w:rFonts w:ascii="宋体" w:hAnsi="宋体" w:cs="宋体"/>
          <w:sz w:val="32"/>
          <w:szCs w:val="32"/>
        </w:rPr>
        <w:t>___________</w:t>
      </w:r>
      <w:r>
        <w:rPr>
          <w:rFonts w:hint="eastAsia" w:ascii="宋体" w:hAnsi="宋体" w:cs="宋体"/>
          <w:sz w:val="32"/>
          <w:szCs w:val="32"/>
        </w:rPr>
        <w:t>（签字）</w:t>
      </w:r>
    </w:p>
    <w:p>
      <w:pPr>
        <w:pStyle w:val="5"/>
        <w:spacing w:line="360" w:lineRule="auto"/>
        <w:ind w:left="0"/>
        <w:rPr>
          <w:rFonts w:ascii="宋体" w:cs="宋体"/>
          <w:sz w:val="32"/>
          <w:szCs w:val="32"/>
        </w:rPr>
      </w:pPr>
    </w:p>
    <w:p>
      <w:pPr>
        <w:pStyle w:val="5"/>
        <w:spacing w:line="360" w:lineRule="auto"/>
        <w:ind w:left="0" w:firstLine="3520" w:firstLineChars="1100"/>
        <w:rPr>
          <w:rFonts w:ascii="宋体" w:cs="宋体"/>
          <w:sz w:val="32"/>
          <w:szCs w:val="32"/>
        </w:rPr>
      </w:pPr>
      <w:r>
        <w:rPr>
          <w:rFonts w:hint="eastAsia" w:ascii="宋体" w:hAnsi="宋体" w:cs="宋体"/>
          <w:sz w:val="32"/>
          <w:szCs w:val="32"/>
        </w:rPr>
        <w:t>年</w:t>
      </w:r>
      <w:r>
        <w:rPr>
          <w:rFonts w:ascii="宋体" w:hAnsi="宋体" w:cs="宋体"/>
          <w:sz w:val="32"/>
          <w:szCs w:val="32"/>
        </w:rPr>
        <w:t xml:space="preserve">  </w:t>
      </w:r>
      <w:r>
        <w:rPr>
          <w:rFonts w:hint="eastAsia" w:ascii="宋体" w:hAnsi="宋体" w:cs="宋体"/>
          <w:sz w:val="32"/>
          <w:szCs w:val="32"/>
        </w:rPr>
        <w:t>月</w:t>
      </w:r>
      <w:r>
        <w:rPr>
          <w:rFonts w:ascii="宋体" w:hAnsi="宋体" w:cs="宋体"/>
          <w:sz w:val="32"/>
          <w:szCs w:val="32"/>
        </w:rPr>
        <w:t xml:space="preserve">  </w:t>
      </w:r>
      <w:r>
        <w:rPr>
          <w:rFonts w:hint="eastAsia" w:ascii="宋体" w:hAnsi="宋体" w:cs="宋体"/>
          <w:sz w:val="32"/>
          <w:szCs w:val="32"/>
        </w:rPr>
        <w:t>日</w:t>
      </w:r>
    </w:p>
    <w:p>
      <w:pPr>
        <w:pStyle w:val="5"/>
        <w:spacing w:line="360" w:lineRule="auto"/>
        <w:ind w:left="0"/>
        <w:rPr>
          <w:rFonts w:ascii="宋体" w:cs="宋体"/>
          <w:sz w:val="32"/>
          <w:szCs w:val="32"/>
        </w:rPr>
      </w:pPr>
    </w:p>
    <w:p>
      <w:pPr>
        <w:spacing w:line="360" w:lineRule="auto"/>
        <w:rPr>
          <w:sz w:val="32"/>
          <w:szCs w:val="32"/>
        </w:rPr>
        <w:sectPr>
          <w:pgSz w:w="11910" w:h="16840"/>
          <w:pgMar w:top="1300" w:right="0" w:bottom="1100" w:left="1320" w:header="0" w:footer="838" w:gutter="0"/>
          <w:cols w:space="720" w:num="1"/>
        </w:sectPr>
      </w:pPr>
    </w:p>
    <w:p>
      <w:pPr>
        <w:widowControl/>
        <w:jc w:val="center"/>
        <w:rPr>
          <w:sz w:val="36"/>
        </w:rPr>
      </w:pPr>
      <w:bookmarkStart w:id="802" w:name="_Toc256000088"/>
      <w:r>
        <w:rPr>
          <w:rFonts w:hint="eastAsia"/>
          <w:sz w:val="36"/>
        </w:rPr>
        <w:t>目</w:t>
      </w:r>
      <w:r>
        <w:rPr>
          <w:sz w:val="36"/>
        </w:rPr>
        <w:t xml:space="preserve">  </w:t>
      </w:r>
      <w:r>
        <w:rPr>
          <w:rFonts w:hint="eastAsia"/>
          <w:sz w:val="36"/>
        </w:rPr>
        <w:t>录</w:t>
      </w:r>
      <w:bookmarkEnd w:id="802"/>
    </w:p>
    <w:p>
      <w:pPr>
        <w:spacing w:line="36" w:lineRule="auto"/>
        <w:rPr>
          <w:sz w:val="27"/>
        </w:rPr>
      </w:pPr>
    </w:p>
    <w:p>
      <w:pPr>
        <w:spacing w:line="36" w:lineRule="auto"/>
        <w:rPr>
          <w:sz w:val="28"/>
        </w:rPr>
      </w:pPr>
      <w:r>
        <w:rPr>
          <w:rFonts w:hint="eastAsia"/>
          <w:sz w:val="28"/>
        </w:rPr>
        <w:t>一、投标函及投标函附录</w:t>
      </w:r>
    </w:p>
    <w:p>
      <w:pPr>
        <w:spacing w:line="36" w:lineRule="auto"/>
        <w:rPr>
          <w:sz w:val="28"/>
        </w:rPr>
      </w:pPr>
      <w:r>
        <w:rPr>
          <w:rFonts w:hint="eastAsia"/>
          <w:sz w:val="28"/>
        </w:rPr>
        <w:t>二、法定代表人身份证明</w:t>
      </w:r>
    </w:p>
    <w:p>
      <w:pPr>
        <w:spacing w:line="36" w:lineRule="auto"/>
        <w:rPr>
          <w:sz w:val="28"/>
        </w:rPr>
      </w:pPr>
      <w:r>
        <w:rPr>
          <w:rFonts w:hint="eastAsia"/>
          <w:sz w:val="28"/>
        </w:rPr>
        <w:t>二、授权委托书</w:t>
      </w:r>
    </w:p>
    <w:p>
      <w:pPr>
        <w:spacing w:line="36" w:lineRule="auto"/>
        <w:rPr>
          <w:sz w:val="28"/>
        </w:rPr>
      </w:pPr>
      <w:r>
        <w:rPr>
          <w:rFonts w:hint="eastAsia"/>
          <w:sz w:val="28"/>
        </w:rPr>
        <w:t>三、联合体协议书</w:t>
      </w:r>
    </w:p>
    <w:p>
      <w:pPr>
        <w:spacing w:line="36" w:lineRule="auto"/>
        <w:rPr>
          <w:sz w:val="28"/>
        </w:rPr>
      </w:pPr>
      <w:r>
        <w:rPr>
          <w:rFonts w:hint="eastAsia"/>
          <w:sz w:val="28"/>
        </w:rPr>
        <w:t>四、投标保证金</w:t>
      </w:r>
    </w:p>
    <w:p>
      <w:pPr>
        <w:spacing w:line="36" w:lineRule="auto"/>
        <w:rPr>
          <w:sz w:val="28"/>
        </w:rPr>
      </w:pPr>
      <w:r>
        <w:rPr>
          <w:rFonts w:hint="eastAsia"/>
          <w:sz w:val="28"/>
        </w:rPr>
        <w:t>五、已标价工程量清单</w:t>
      </w:r>
    </w:p>
    <w:p>
      <w:pPr>
        <w:spacing w:line="36" w:lineRule="auto"/>
        <w:rPr>
          <w:sz w:val="28"/>
        </w:rPr>
      </w:pPr>
      <w:r>
        <w:rPr>
          <w:rFonts w:hint="eastAsia"/>
          <w:sz w:val="28"/>
        </w:rPr>
        <w:t>六、施工组织设计</w:t>
      </w:r>
    </w:p>
    <w:p>
      <w:pPr>
        <w:spacing w:line="36" w:lineRule="auto"/>
        <w:rPr>
          <w:sz w:val="28"/>
        </w:rPr>
      </w:pPr>
      <w:r>
        <w:rPr>
          <w:rFonts w:hint="eastAsia"/>
          <w:sz w:val="28"/>
        </w:rPr>
        <w:t>七、项目管理机构</w:t>
      </w:r>
    </w:p>
    <w:p>
      <w:pPr>
        <w:spacing w:line="36" w:lineRule="auto"/>
        <w:rPr>
          <w:sz w:val="28"/>
        </w:rPr>
      </w:pPr>
      <w:r>
        <w:rPr>
          <w:rFonts w:hint="eastAsia"/>
          <w:sz w:val="28"/>
        </w:rPr>
        <w:t>八、拟分包项目情况表</w:t>
      </w:r>
    </w:p>
    <w:p>
      <w:pPr>
        <w:spacing w:line="36" w:lineRule="auto"/>
        <w:rPr>
          <w:sz w:val="28"/>
        </w:rPr>
      </w:pPr>
      <w:r>
        <w:rPr>
          <w:rFonts w:hint="eastAsia"/>
          <w:sz w:val="28"/>
        </w:rPr>
        <w:t>九、资格审查资料</w:t>
      </w:r>
    </w:p>
    <w:p>
      <w:pPr>
        <w:spacing w:line="36" w:lineRule="auto"/>
        <w:rPr>
          <w:sz w:val="28"/>
        </w:rPr>
      </w:pPr>
      <w:r>
        <w:rPr>
          <w:rFonts w:hint="eastAsia"/>
          <w:sz w:val="28"/>
        </w:rPr>
        <w:t>十、其他材料</w:t>
      </w:r>
    </w:p>
    <w:p>
      <w:pPr>
        <w:spacing w:line="36" w:lineRule="auto"/>
        <w:rPr>
          <w:sz w:val="27"/>
        </w:rPr>
      </w:pPr>
    </w:p>
    <w:p>
      <w:pPr>
        <w:spacing w:line="36" w:lineRule="auto"/>
        <w:rPr>
          <w:sz w:val="27"/>
        </w:rPr>
      </w:pPr>
    </w:p>
    <w:p>
      <w:pPr>
        <w:spacing w:line="360" w:lineRule="auto"/>
        <w:rPr>
          <w:color w:val="FF0000"/>
          <w:sz w:val="24"/>
        </w:rPr>
      </w:pPr>
      <w:r>
        <w:rPr>
          <w:color w:val="FF0000"/>
        </w:rPr>
        <w:t xml:space="preserve">   </w:t>
      </w:r>
    </w:p>
    <w:p>
      <w:pPr>
        <w:spacing w:line="36" w:lineRule="auto"/>
        <w:rPr>
          <w:sz w:val="27"/>
        </w:rPr>
      </w:pPr>
    </w:p>
    <w:p>
      <w:pPr>
        <w:widowControl/>
        <w:spacing w:line="400" w:lineRule="exact"/>
        <w:jc w:val="center"/>
        <w:rPr>
          <w:b/>
          <w:bCs/>
          <w:sz w:val="32"/>
          <w:szCs w:val="32"/>
        </w:rPr>
      </w:pPr>
      <w:r>
        <w:rPr>
          <w:sz w:val="27"/>
        </w:rPr>
        <w:br w:type="page"/>
      </w:r>
      <w:bookmarkStart w:id="803" w:name="_Toc256000089"/>
      <w:r>
        <w:rPr>
          <w:rFonts w:hint="eastAsia"/>
          <w:b/>
          <w:bCs/>
          <w:sz w:val="32"/>
          <w:szCs w:val="32"/>
        </w:rPr>
        <w:t>一、投标函及投标函附录</w:t>
      </w:r>
      <w:bookmarkEnd w:id="803"/>
    </w:p>
    <w:p>
      <w:pPr>
        <w:pStyle w:val="4"/>
        <w:spacing w:line="400" w:lineRule="exact"/>
        <w:jc w:val="center"/>
        <w:rPr>
          <w:rFonts w:cs="宋体" w:asciiTheme="minorEastAsia" w:hAnsiTheme="minorEastAsia" w:eastAsiaTheme="minorEastAsia"/>
        </w:rPr>
      </w:pPr>
      <w:bookmarkStart w:id="804" w:name="_Toc256000090"/>
      <w:r>
        <w:rPr>
          <w:rFonts w:hint="eastAsia" w:cs="宋体" w:asciiTheme="minorEastAsia" w:hAnsiTheme="minorEastAsia" w:eastAsiaTheme="minorEastAsia"/>
        </w:rPr>
        <w:t>（一）投标函</w:t>
      </w:r>
      <w:bookmarkEnd w:id="804"/>
    </w:p>
    <w:p>
      <w:pPr>
        <w:spacing w:line="360" w:lineRule="auto"/>
        <w:rPr>
          <w:sz w:val="24"/>
          <w:szCs w:val="24"/>
        </w:rPr>
      </w:pPr>
      <w:r>
        <w:rPr>
          <w:sz w:val="24"/>
          <w:szCs w:val="24"/>
          <w:u w:val="single"/>
        </w:rPr>
        <w:t xml:space="preserve">              </w:t>
      </w:r>
      <w:r>
        <w:rPr>
          <w:rFonts w:hint="eastAsia"/>
          <w:sz w:val="24"/>
          <w:szCs w:val="24"/>
        </w:rPr>
        <w:t>（招标人名称）：</w:t>
      </w:r>
    </w:p>
    <w:p>
      <w:pPr>
        <w:spacing w:line="360" w:lineRule="auto"/>
        <w:rPr>
          <w:sz w:val="24"/>
          <w:szCs w:val="24"/>
        </w:rPr>
      </w:pPr>
      <w:r>
        <w:rPr>
          <w:sz w:val="24"/>
          <w:szCs w:val="24"/>
        </w:rPr>
        <w:t xml:space="preserve">    1</w:t>
      </w:r>
      <w:r>
        <w:rPr>
          <w:rFonts w:hint="eastAsia"/>
          <w:sz w:val="24"/>
          <w:szCs w:val="24"/>
        </w:rPr>
        <w:t>．我方已仔细研究了（项目名称）标段施工招标文件的全部内容，愿意以人民币（大写）</w:t>
      </w:r>
      <w:r>
        <w:rPr>
          <w:sz w:val="24"/>
          <w:szCs w:val="24"/>
          <w:u w:val="single"/>
        </w:rPr>
        <w:t xml:space="preserve">      </w:t>
      </w:r>
      <w:r>
        <w:rPr>
          <w:rFonts w:hint="eastAsia"/>
          <w:sz w:val="24"/>
          <w:szCs w:val="24"/>
        </w:rPr>
        <w:t>（小写）</w:t>
      </w:r>
      <w:r>
        <w:rPr>
          <w:sz w:val="24"/>
          <w:szCs w:val="24"/>
          <w:u w:val="single"/>
        </w:rPr>
        <w:t xml:space="preserve">       </w:t>
      </w:r>
      <w:r>
        <w:rPr>
          <w:rFonts w:hint="eastAsia"/>
          <w:sz w:val="24"/>
          <w:szCs w:val="24"/>
        </w:rPr>
        <w:t>的投标报价，工期</w:t>
      </w:r>
      <w:r>
        <w:rPr>
          <w:sz w:val="24"/>
          <w:szCs w:val="24"/>
        </w:rPr>
        <w:t>______</w:t>
      </w:r>
      <w:r>
        <w:rPr>
          <w:rFonts w:hint="eastAsia"/>
          <w:sz w:val="24"/>
          <w:szCs w:val="24"/>
        </w:rPr>
        <w:t>日历天，按合同约定实施和完成承包工程，修补工程中的任何缺陷</w:t>
      </w:r>
      <w:r>
        <w:rPr>
          <w:sz w:val="24"/>
          <w:szCs w:val="24"/>
        </w:rPr>
        <w:t xml:space="preserve"> </w:t>
      </w:r>
      <w:r>
        <w:rPr>
          <w:rFonts w:hint="eastAsia"/>
          <w:sz w:val="24"/>
          <w:szCs w:val="24"/>
        </w:rPr>
        <w:t>，工程质量达到</w:t>
      </w:r>
      <w:r>
        <w:rPr>
          <w:sz w:val="24"/>
          <w:szCs w:val="24"/>
        </w:rPr>
        <w:t>___</w:t>
      </w:r>
      <w:r>
        <w:rPr>
          <w:sz w:val="24"/>
          <w:szCs w:val="24"/>
          <w:u w:val="single"/>
        </w:rPr>
        <w:t xml:space="preserve">_ </w:t>
      </w:r>
      <w:r>
        <w:rPr>
          <w:sz w:val="24"/>
          <w:szCs w:val="24"/>
        </w:rPr>
        <w:t>___</w:t>
      </w:r>
      <w:r>
        <w:rPr>
          <w:rFonts w:hint="eastAsia"/>
          <w:sz w:val="24"/>
          <w:szCs w:val="24"/>
        </w:rPr>
        <w:t>。</w:t>
      </w:r>
    </w:p>
    <w:p>
      <w:pPr>
        <w:spacing w:line="360" w:lineRule="auto"/>
        <w:rPr>
          <w:sz w:val="24"/>
          <w:szCs w:val="24"/>
        </w:rPr>
      </w:pPr>
      <w:r>
        <w:rPr>
          <w:sz w:val="24"/>
          <w:szCs w:val="24"/>
        </w:rPr>
        <w:t xml:space="preserve">    2</w:t>
      </w:r>
      <w:r>
        <w:rPr>
          <w:rFonts w:hint="eastAsia"/>
          <w:sz w:val="24"/>
          <w:szCs w:val="24"/>
        </w:rPr>
        <w:t>．我方承诺在投标有效期内不撤销投标文件。</w:t>
      </w:r>
    </w:p>
    <w:p>
      <w:pPr>
        <w:spacing w:line="360" w:lineRule="auto"/>
        <w:rPr>
          <w:sz w:val="24"/>
          <w:szCs w:val="24"/>
        </w:rPr>
      </w:pPr>
      <w:r>
        <w:rPr>
          <w:sz w:val="24"/>
          <w:szCs w:val="24"/>
        </w:rPr>
        <w:t xml:space="preserve">    3</w:t>
      </w:r>
      <w:r>
        <w:rPr>
          <w:rFonts w:hint="eastAsia"/>
          <w:sz w:val="24"/>
          <w:szCs w:val="24"/>
        </w:rPr>
        <w:t>．随同本投标函提交投标保证金一份，金额为人民币（大写）</w:t>
      </w:r>
      <w:r>
        <w:rPr>
          <w:sz w:val="24"/>
          <w:szCs w:val="24"/>
        </w:rPr>
        <w:t>_______</w:t>
      </w:r>
      <w:r>
        <w:rPr>
          <w:rFonts w:hint="eastAsia"/>
          <w:sz w:val="24"/>
          <w:szCs w:val="24"/>
        </w:rPr>
        <w:t>元（</w:t>
      </w:r>
      <w:r>
        <w:rPr>
          <w:sz w:val="24"/>
          <w:szCs w:val="24"/>
        </w:rPr>
        <w:t>¥_______</w:t>
      </w:r>
      <w:r>
        <w:rPr>
          <w:rFonts w:hint="eastAsia"/>
          <w:sz w:val="24"/>
          <w:szCs w:val="24"/>
        </w:rPr>
        <w:t>）。</w:t>
      </w:r>
    </w:p>
    <w:p>
      <w:pPr>
        <w:spacing w:line="360" w:lineRule="auto"/>
        <w:rPr>
          <w:sz w:val="24"/>
          <w:szCs w:val="24"/>
        </w:rPr>
      </w:pPr>
      <w:r>
        <w:rPr>
          <w:sz w:val="24"/>
          <w:szCs w:val="24"/>
        </w:rPr>
        <w:t xml:space="preserve">    4</w:t>
      </w:r>
      <w:r>
        <w:rPr>
          <w:rFonts w:hint="eastAsia"/>
          <w:sz w:val="24"/>
          <w:szCs w:val="24"/>
        </w:rPr>
        <w:t>．如我方中标：</w:t>
      </w:r>
    </w:p>
    <w:p>
      <w:pPr>
        <w:spacing w:line="360" w:lineRule="auto"/>
        <w:rPr>
          <w:sz w:val="24"/>
          <w:szCs w:val="24"/>
        </w:rPr>
      </w:pPr>
      <w:r>
        <w:rPr>
          <w:sz w:val="24"/>
          <w:szCs w:val="24"/>
        </w:rPr>
        <w:t xml:space="preserve">    </w:t>
      </w:r>
      <w:r>
        <w:rPr>
          <w:rFonts w:hint="eastAsia"/>
          <w:sz w:val="24"/>
          <w:szCs w:val="24"/>
        </w:rPr>
        <w:t>（</w:t>
      </w:r>
      <w:r>
        <w:rPr>
          <w:sz w:val="24"/>
          <w:szCs w:val="24"/>
        </w:rPr>
        <w:t>1</w:t>
      </w:r>
      <w:r>
        <w:rPr>
          <w:rFonts w:hint="eastAsia"/>
          <w:sz w:val="24"/>
          <w:szCs w:val="24"/>
        </w:rPr>
        <w:t>）我方承诺在收到中标通知书后，在中标通知书规定的期限内，与你方按照招标文件和我方的投标文件签订合同；</w:t>
      </w:r>
    </w:p>
    <w:p>
      <w:pPr>
        <w:spacing w:line="360" w:lineRule="auto"/>
        <w:rPr>
          <w:sz w:val="24"/>
          <w:szCs w:val="24"/>
        </w:rPr>
      </w:pPr>
      <w:r>
        <w:rPr>
          <w:sz w:val="24"/>
          <w:szCs w:val="24"/>
        </w:rPr>
        <w:t xml:space="preserve">    </w:t>
      </w:r>
      <w:r>
        <w:rPr>
          <w:rFonts w:hint="eastAsia"/>
          <w:sz w:val="24"/>
          <w:szCs w:val="24"/>
        </w:rPr>
        <w:t>（</w:t>
      </w:r>
      <w:r>
        <w:rPr>
          <w:sz w:val="24"/>
          <w:szCs w:val="24"/>
        </w:rPr>
        <w:t>2</w:t>
      </w:r>
      <w:r>
        <w:rPr>
          <w:rFonts w:hint="eastAsia"/>
          <w:sz w:val="24"/>
          <w:szCs w:val="24"/>
        </w:rPr>
        <w:t>）随同本投标函递交的投标函附录属于合同文件的组成部分；</w:t>
      </w:r>
    </w:p>
    <w:p>
      <w:pPr>
        <w:spacing w:line="360" w:lineRule="auto"/>
        <w:ind w:firstLine="480"/>
        <w:rPr>
          <w:sz w:val="24"/>
          <w:szCs w:val="24"/>
        </w:rPr>
      </w:pPr>
      <w:r>
        <w:rPr>
          <w:rFonts w:hint="eastAsia"/>
          <w:sz w:val="24"/>
          <w:szCs w:val="24"/>
        </w:rPr>
        <w:t>（</w:t>
      </w:r>
      <w:r>
        <w:rPr>
          <w:sz w:val="24"/>
          <w:szCs w:val="24"/>
        </w:rPr>
        <w:t>3</w:t>
      </w:r>
      <w:r>
        <w:rPr>
          <w:rFonts w:hint="eastAsia"/>
          <w:sz w:val="24"/>
          <w:szCs w:val="24"/>
        </w:rPr>
        <w:t>）我方承诺按照招标文件规定向你方递交履约保证金；</w:t>
      </w:r>
    </w:p>
    <w:p>
      <w:pPr>
        <w:spacing w:line="360" w:lineRule="auto"/>
        <w:ind w:firstLine="480"/>
        <w:rPr>
          <w:sz w:val="24"/>
          <w:szCs w:val="24"/>
        </w:rPr>
      </w:pPr>
      <w:r>
        <w:rPr>
          <w:rFonts w:hint="eastAsia"/>
          <w:sz w:val="24"/>
          <w:szCs w:val="24"/>
        </w:rPr>
        <w:t>（</w:t>
      </w:r>
      <w:r>
        <w:rPr>
          <w:sz w:val="24"/>
          <w:szCs w:val="24"/>
        </w:rPr>
        <w:t>4</w:t>
      </w:r>
      <w:r>
        <w:rPr>
          <w:rFonts w:hint="eastAsia"/>
          <w:sz w:val="24"/>
          <w:szCs w:val="24"/>
        </w:rPr>
        <w:t>）我方承诺在合同约定的期限内不更换项目经理、技术负责人，因特殊情况确需更换的，应征得你方同意，且更换后的人员不低于原投标承诺人员所具有的资格和条件，否则愿意承担相应违约责任；</w:t>
      </w:r>
    </w:p>
    <w:p>
      <w:pPr>
        <w:spacing w:line="360" w:lineRule="auto"/>
        <w:ind w:firstLine="480"/>
        <w:rPr>
          <w:sz w:val="24"/>
          <w:szCs w:val="24"/>
        </w:rPr>
      </w:pPr>
      <w:r>
        <w:rPr>
          <w:rFonts w:hint="eastAsia"/>
          <w:sz w:val="24"/>
          <w:szCs w:val="24"/>
        </w:rPr>
        <w:t>（</w:t>
      </w:r>
      <w:r>
        <w:rPr>
          <w:sz w:val="24"/>
          <w:szCs w:val="24"/>
        </w:rPr>
        <w:t>5</w:t>
      </w:r>
      <w:r>
        <w:rPr>
          <w:rFonts w:hint="eastAsia"/>
          <w:sz w:val="24"/>
          <w:szCs w:val="24"/>
        </w:rPr>
        <w:t>）我方承诺在合同约定的期限内完成并移交全部合同工程。</w:t>
      </w:r>
    </w:p>
    <w:p>
      <w:pPr>
        <w:spacing w:line="360" w:lineRule="auto"/>
        <w:ind w:firstLine="480"/>
        <w:rPr>
          <w:sz w:val="24"/>
          <w:szCs w:val="24"/>
        </w:rPr>
      </w:pPr>
      <w:r>
        <w:rPr>
          <w:sz w:val="24"/>
          <w:szCs w:val="24"/>
        </w:rPr>
        <w:t>5.</w:t>
      </w:r>
      <w:r>
        <w:rPr>
          <w:rFonts w:hint="eastAsia"/>
          <w:sz w:val="24"/>
          <w:szCs w:val="24"/>
        </w:rPr>
        <w:t>我方在此声明，所递交的投标文件（包括有关资料、澄清）真实可信，不存在弄虚作假或隐瞒。</w:t>
      </w:r>
    </w:p>
    <w:p>
      <w:pPr>
        <w:spacing w:line="360" w:lineRule="auto"/>
        <w:ind w:firstLine="480"/>
        <w:rPr>
          <w:sz w:val="24"/>
          <w:szCs w:val="24"/>
        </w:rPr>
      </w:pPr>
      <w:r>
        <w:rPr>
          <w:rFonts w:hint="eastAsia"/>
          <w:sz w:val="24"/>
          <w:szCs w:val="24"/>
        </w:rPr>
        <w:t>经我方认真核查，本投标人不存在招标文件第二章“投标人须知”第</w:t>
      </w:r>
      <w:r>
        <w:rPr>
          <w:sz w:val="24"/>
          <w:szCs w:val="24"/>
        </w:rPr>
        <w:t>1.4.3</w:t>
      </w:r>
      <w:r>
        <w:rPr>
          <w:rFonts w:hint="eastAsia"/>
          <w:sz w:val="24"/>
          <w:szCs w:val="24"/>
        </w:rPr>
        <w:t>项规定的任何一种情形。</w:t>
      </w:r>
    </w:p>
    <w:p>
      <w:pPr>
        <w:spacing w:line="360" w:lineRule="auto"/>
        <w:ind w:firstLine="480"/>
        <w:rPr>
          <w:sz w:val="24"/>
          <w:szCs w:val="24"/>
        </w:rPr>
      </w:pPr>
      <w:r>
        <w:rPr>
          <w:sz w:val="24"/>
          <w:szCs w:val="24"/>
        </w:rPr>
        <w:t>6</w:t>
      </w:r>
      <w:r>
        <w:rPr>
          <w:rFonts w:hint="eastAsia"/>
          <w:sz w:val="24"/>
          <w:szCs w:val="24"/>
        </w:rPr>
        <w:t>．</w:t>
      </w:r>
      <w:r>
        <w:rPr>
          <w:sz w:val="24"/>
          <w:szCs w:val="24"/>
          <w:u w:val="single"/>
        </w:rPr>
        <w:t xml:space="preserve">              </w:t>
      </w:r>
      <w:r>
        <w:rPr>
          <w:rFonts w:hint="eastAsia"/>
          <w:sz w:val="24"/>
          <w:szCs w:val="24"/>
        </w:rPr>
        <w:t>（其他补充说明）。</w:t>
      </w:r>
    </w:p>
    <w:p>
      <w:pPr>
        <w:ind w:firstLine="3400" w:firstLineChars="1417"/>
        <w:rPr>
          <w:bCs/>
          <w:sz w:val="24"/>
          <w:szCs w:val="24"/>
        </w:rPr>
      </w:pPr>
    </w:p>
    <w:p>
      <w:pPr>
        <w:ind w:firstLine="3400" w:firstLineChars="1417"/>
        <w:rPr>
          <w:bCs/>
          <w:sz w:val="24"/>
          <w:szCs w:val="24"/>
        </w:rPr>
      </w:pPr>
    </w:p>
    <w:p>
      <w:pPr>
        <w:ind w:firstLine="3400" w:firstLineChars="1417"/>
        <w:rPr>
          <w:sz w:val="24"/>
          <w:szCs w:val="24"/>
        </w:rPr>
      </w:pPr>
      <w:r>
        <w:rPr>
          <w:rFonts w:hint="eastAsia"/>
          <w:bCs/>
          <w:sz w:val="24"/>
          <w:szCs w:val="24"/>
        </w:rPr>
        <w:t>投</w:t>
      </w:r>
      <w:r>
        <w:rPr>
          <w:bCs/>
          <w:sz w:val="24"/>
          <w:szCs w:val="24"/>
        </w:rPr>
        <w:t xml:space="preserve"> </w:t>
      </w:r>
      <w:r>
        <w:rPr>
          <w:rFonts w:hint="eastAsia"/>
          <w:bCs/>
          <w:sz w:val="24"/>
          <w:szCs w:val="24"/>
        </w:rPr>
        <w:t>标</w:t>
      </w:r>
      <w:r>
        <w:rPr>
          <w:bCs/>
          <w:sz w:val="24"/>
          <w:szCs w:val="24"/>
        </w:rPr>
        <w:t xml:space="preserve"> </w:t>
      </w:r>
      <w:r>
        <w:rPr>
          <w:rFonts w:hint="eastAsia"/>
          <w:bCs/>
          <w:sz w:val="24"/>
          <w:szCs w:val="24"/>
        </w:rPr>
        <w:t>人：</w:t>
      </w:r>
      <w:r>
        <w:rPr>
          <w:bCs/>
          <w:sz w:val="24"/>
          <w:szCs w:val="24"/>
        </w:rPr>
        <w:t xml:space="preserve"> </w:t>
      </w:r>
      <w:r>
        <w:rPr>
          <w:bCs/>
          <w:sz w:val="24"/>
          <w:szCs w:val="24"/>
          <w:u w:val="single"/>
        </w:rPr>
        <w:t xml:space="preserve">                  </w:t>
      </w:r>
      <w:r>
        <w:rPr>
          <w:rFonts w:hint="eastAsia"/>
          <w:bCs/>
          <w:sz w:val="24"/>
          <w:szCs w:val="24"/>
        </w:rPr>
        <w:t>（盖单位章）</w:t>
      </w:r>
    </w:p>
    <w:p>
      <w:pPr>
        <w:ind w:firstLine="3400" w:firstLineChars="1417"/>
        <w:rPr>
          <w:bCs/>
          <w:sz w:val="24"/>
          <w:szCs w:val="24"/>
        </w:rPr>
      </w:pPr>
      <w:r>
        <w:rPr>
          <w:rFonts w:hint="eastAsia"/>
          <w:bCs/>
          <w:sz w:val="24"/>
          <w:szCs w:val="24"/>
        </w:rPr>
        <w:t>法定代表人或其委托代理人：</w:t>
      </w:r>
      <w:r>
        <w:rPr>
          <w:bCs/>
          <w:sz w:val="24"/>
          <w:szCs w:val="24"/>
          <w:u w:val="single"/>
        </w:rPr>
        <w:t xml:space="preserve">    </w:t>
      </w:r>
      <w:r>
        <w:rPr>
          <w:rFonts w:hint="eastAsia"/>
          <w:bCs/>
          <w:sz w:val="24"/>
          <w:szCs w:val="24"/>
        </w:rPr>
        <w:t>（签</w:t>
      </w:r>
      <w:r>
        <w:rPr>
          <w:bCs/>
          <w:sz w:val="24"/>
          <w:szCs w:val="24"/>
        </w:rPr>
        <w:t xml:space="preserve">   </w:t>
      </w:r>
      <w:r>
        <w:rPr>
          <w:rFonts w:hint="eastAsia"/>
          <w:bCs/>
          <w:sz w:val="24"/>
          <w:szCs w:val="24"/>
        </w:rPr>
        <w:t>字）</w:t>
      </w:r>
    </w:p>
    <w:p>
      <w:pPr>
        <w:ind w:firstLine="3400" w:firstLineChars="1417"/>
        <w:rPr>
          <w:bCs/>
          <w:sz w:val="24"/>
          <w:szCs w:val="24"/>
        </w:rPr>
      </w:pPr>
      <w:r>
        <w:rPr>
          <w:rFonts w:hint="eastAsia"/>
          <w:bCs/>
          <w:sz w:val="24"/>
          <w:szCs w:val="24"/>
        </w:rPr>
        <w:t>地</w:t>
      </w:r>
      <w:r>
        <w:rPr>
          <w:bCs/>
          <w:sz w:val="24"/>
          <w:szCs w:val="24"/>
        </w:rPr>
        <w:t xml:space="preserve">    </w:t>
      </w:r>
      <w:r>
        <w:rPr>
          <w:rFonts w:hint="eastAsia"/>
          <w:bCs/>
          <w:sz w:val="24"/>
          <w:szCs w:val="24"/>
        </w:rPr>
        <w:t>址：</w:t>
      </w:r>
      <w:r>
        <w:rPr>
          <w:bCs/>
          <w:sz w:val="24"/>
          <w:szCs w:val="24"/>
          <w:u w:val="single"/>
        </w:rPr>
        <w:t xml:space="preserve">                             </w:t>
      </w:r>
    </w:p>
    <w:p>
      <w:pPr>
        <w:ind w:firstLine="3400" w:firstLineChars="1417"/>
        <w:rPr>
          <w:bCs/>
          <w:sz w:val="24"/>
          <w:szCs w:val="24"/>
        </w:rPr>
      </w:pPr>
      <w:r>
        <w:rPr>
          <w:rFonts w:hint="eastAsia"/>
          <w:bCs/>
          <w:sz w:val="24"/>
          <w:szCs w:val="24"/>
        </w:rPr>
        <w:t>网</w:t>
      </w:r>
      <w:r>
        <w:rPr>
          <w:bCs/>
          <w:sz w:val="24"/>
          <w:szCs w:val="24"/>
        </w:rPr>
        <w:t xml:space="preserve">    </w:t>
      </w:r>
      <w:r>
        <w:rPr>
          <w:rFonts w:hint="eastAsia"/>
          <w:bCs/>
          <w:sz w:val="24"/>
          <w:szCs w:val="24"/>
        </w:rPr>
        <w:t>址：</w:t>
      </w:r>
      <w:r>
        <w:rPr>
          <w:bCs/>
          <w:sz w:val="24"/>
          <w:szCs w:val="24"/>
          <w:u w:val="single"/>
        </w:rPr>
        <w:t xml:space="preserve">                             </w:t>
      </w:r>
    </w:p>
    <w:p>
      <w:pPr>
        <w:ind w:firstLine="3400" w:firstLineChars="1417"/>
        <w:rPr>
          <w:bCs/>
          <w:sz w:val="24"/>
          <w:szCs w:val="24"/>
        </w:rPr>
      </w:pPr>
      <w:r>
        <w:rPr>
          <w:rFonts w:hint="eastAsia"/>
          <w:bCs/>
          <w:sz w:val="24"/>
          <w:szCs w:val="24"/>
        </w:rPr>
        <w:t>联系电话：</w:t>
      </w:r>
      <w:r>
        <w:rPr>
          <w:bCs/>
          <w:sz w:val="24"/>
          <w:szCs w:val="24"/>
          <w:u w:val="single"/>
        </w:rPr>
        <w:t xml:space="preserve">                             </w:t>
      </w:r>
    </w:p>
    <w:p>
      <w:pPr>
        <w:ind w:firstLine="3400" w:firstLineChars="1417"/>
        <w:rPr>
          <w:bCs/>
          <w:sz w:val="24"/>
          <w:szCs w:val="24"/>
        </w:rPr>
      </w:pPr>
      <w:r>
        <w:rPr>
          <w:rFonts w:hint="eastAsia"/>
          <w:bCs/>
          <w:sz w:val="24"/>
          <w:szCs w:val="24"/>
        </w:rPr>
        <w:t>传</w:t>
      </w:r>
      <w:r>
        <w:rPr>
          <w:bCs/>
          <w:sz w:val="24"/>
          <w:szCs w:val="24"/>
        </w:rPr>
        <w:t xml:space="preserve">    </w:t>
      </w:r>
      <w:r>
        <w:rPr>
          <w:rFonts w:hint="eastAsia"/>
          <w:bCs/>
          <w:sz w:val="24"/>
          <w:szCs w:val="24"/>
        </w:rPr>
        <w:t>真：</w:t>
      </w:r>
      <w:r>
        <w:rPr>
          <w:bCs/>
          <w:sz w:val="24"/>
          <w:szCs w:val="24"/>
          <w:u w:val="single"/>
        </w:rPr>
        <w:t xml:space="preserve">                             </w:t>
      </w:r>
    </w:p>
    <w:p>
      <w:pPr>
        <w:ind w:firstLine="3400" w:firstLineChars="1417"/>
        <w:rPr>
          <w:b/>
          <w:sz w:val="24"/>
          <w:szCs w:val="24"/>
        </w:rPr>
      </w:pPr>
      <w:r>
        <w:rPr>
          <w:rFonts w:hint="eastAsia"/>
          <w:bCs/>
          <w:sz w:val="24"/>
          <w:szCs w:val="24"/>
        </w:rPr>
        <w:t>邮政编码：</w:t>
      </w:r>
      <w:r>
        <w:rPr>
          <w:bCs/>
          <w:sz w:val="24"/>
          <w:szCs w:val="24"/>
          <w:u w:val="single"/>
        </w:rPr>
        <w:t xml:space="preserve">                             </w:t>
      </w:r>
    </w:p>
    <w:p>
      <w:pPr>
        <w:jc w:val="center"/>
        <w:rPr>
          <w:sz w:val="24"/>
          <w:szCs w:val="24"/>
        </w:rPr>
      </w:pPr>
      <w:r>
        <w:rPr>
          <w:sz w:val="24"/>
          <w:szCs w:val="24"/>
        </w:rPr>
        <w:t xml:space="preserve">                              _______</w:t>
      </w:r>
      <w:r>
        <w:rPr>
          <w:rFonts w:hint="eastAsia"/>
          <w:sz w:val="24"/>
          <w:szCs w:val="24"/>
        </w:rPr>
        <w:t>年</w:t>
      </w:r>
      <w:r>
        <w:rPr>
          <w:sz w:val="24"/>
          <w:szCs w:val="24"/>
        </w:rPr>
        <w:t>_______</w:t>
      </w:r>
      <w:r>
        <w:rPr>
          <w:rFonts w:hint="eastAsia"/>
          <w:sz w:val="24"/>
          <w:szCs w:val="24"/>
        </w:rPr>
        <w:t>月</w:t>
      </w:r>
      <w:r>
        <w:rPr>
          <w:sz w:val="24"/>
          <w:szCs w:val="24"/>
        </w:rPr>
        <w:t>_______</w:t>
      </w:r>
      <w:r>
        <w:rPr>
          <w:rFonts w:hint="eastAsia"/>
          <w:sz w:val="24"/>
          <w:szCs w:val="24"/>
        </w:rPr>
        <w:t>日</w:t>
      </w:r>
    </w:p>
    <w:p>
      <w:pPr>
        <w:pStyle w:val="4"/>
        <w:spacing w:line="36" w:lineRule="auto"/>
        <w:jc w:val="center"/>
        <w:rPr>
          <w:rFonts w:ascii="宋体" w:eastAsia="宋体" w:cs="宋体"/>
          <w:sz w:val="32"/>
        </w:rPr>
      </w:pPr>
      <w:bookmarkStart w:id="805" w:name="_Toc256000092"/>
      <w:r>
        <w:rPr>
          <w:rFonts w:hint="eastAsia" w:ascii="宋体" w:hAnsi="宋体" w:cs="宋体"/>
          <w:sz w:val="32"/>
        </w:rPr>
        <w:t>（二）投标函附录</w:t>
      </w:r>
      <w:bookmarkEnd w:id="805"/>
    </w:p>
    <w:tbl>
      <w:tblPr>
        <w:tblStyle w:val="36"/>
        <w:tblW w:w="50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2547"/>
        <w:gridCol w:w="2355"/>
        <w:gridCol w:w="2945"/>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spacing w:line="360" w:lineRule="auto"/>
              <w:jc w:val="center"/>
              <w:rPr>
                <w:b/>
                <w:szCs w:val="21"/>
              </w:rPr>
            </w:pPr>
            <w:r>
              <w:rPr>
                <w:rFonts w:hint="eastAsia"/>
                <w:b/>
                <w:szCs w:val="21"/>
              </w:rPr>
              <w:t>序号</w:t>
            </w:r>
          </w:p>
        </w:tc>
        <w:tc>
          <w:tcPr>
            <w:tcW w:w="1364" w:type="pct"/>
            <w:vAlign w:val="center"/>
          </w:tcPr>
          <w:p>
            <w:pPr>
              <w:spacing w:line="360" w:lineRule="auto"/>
              <w:jc w:val="center"/>
              <w:rPr>
                <w:b/>
                <w:szCs w:val="21"/>
              </w:rPr>
            </w:pPr>
            <w:r>
              <w:rPr>
                <w:rFonts w:hint="eastAsia"/>
                <w:b/>
                <w:szCs w:val="21"/>
              </w:rPr>
              <w:t>条款名称</w:t>
            </w:r>
          </w:p>
        </w:tc>
        <w:tc>
          <w:tcPr>
            <w:tcW w:w="1261" w:type="pct"/>
            <w:vAlign w:val="center"/>
          </w:tcPr>
          <w:p>
            <w:pPr>
              <w:spacing w:line="360" w:lineRule="auto"/>
              <w:jc w:val="center"/>
              <w:rPr>
                <w:b/>
                <w:szCs w:val="21"/>
              </w:rPr>
            </w:pPr>
            <w:r>
              <w:rPr>
                <w:rFonts w:hint="eastAsia"/>
                <w:b/>
                <w:szCs w:val="21"/>
              </w:rPr>
              <w:t>合同条款号</w:t>
            </w:r>
          </w:p>
        </w:tc>
        <w:tc>
          <w:tcPr>
            <w:tcW w:w="1577" w:type="pct"/>
            <w:vAlign w:val="center"/>
          </w:tcPr>
          <w:p>
            <w:pPr>
              <w:spacing w:line="360" w:lineRule="auto"/>
              <w:jc w:val="center"/>
              <w:rPr>
                <w:b/>
                <w:szCs w:val="21"/>
              </w:rPr>
            </w:pPr>
            <w:r>
              <w:rPr>
                <w:rFonts w:hint="eastAsia"/>
                <w:b/>
                <w:szCs w:val="21"/>
              </w:rPr>
              <w:t>约定内容</w:t>
            </w:r>
          </w:p>
        </w:tc>
        <w:tc>
          <w:tcPr>
            <w:tcW w:w="419" w:type="pct"/>
            <w:vAlign w:val="center"/>
          </w:tcPr>
          <w:p>
            <w:pPr>
              <w:spacing w:line="360" w:lineRule="auto"/>
              <w:jc w:val="center"/>
              <w:rPr>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spacing w:line="360" w:lineRule="auto"/>
              <w:jc w:val="center"/>
              <w:rPr>
                <w:szCs w:val="21"/>
              </w:rPr>
            </w:pPr>
            <w:r>
              <w:rPr>
                <w:szCs w:val="21"/>
              </w:rPr>
              <w:t>1</w:t>
            </w:r>
          </w:p>
        </w:tc>
        <w:tc>
          <w:tcPr>
            <w:tcW w:w="1364" w:type="pct"/>
            <w:vAlign w:val="center"/>
          </w:tcPr>
          <w:p>
            <w:pPr>
              <w:spacing w:line="360" w:lineRule="auto"/>
              <w:jc w:val="center"/>
              <w:rPr>
                <w:szCs w:val="21"/>
              </w:rPr>
            </w:pPr>
            <w:r>
              <w:rPr>
                <w:rFonts w:hint="eastAsia"/>
                <w:szCs w:val="21"/>
              </w:rPr>
              <w:t>项目经理</w:t>
            </w:r>
          </w:p>
        </w:tc>
        <w:tc>
          <w:tcPr>
            <w:tcW w:w="1261" w:type="pct"/>
            <w:vAlign w:val="center"/>
          </w:tcPr>
          <w:p>
            <w:pPr>
              <w:spacing w:line="360" w:lineRule="auto"/>
              <w:jc w:val="center"/>
              <w:rPr>
                <w:szCs w:val="21"/>
              </w:rPr>
            </w:pPr>
            <w:r>
              <w:rPr>
                <w:szCs w:val="21"/>
              </w:rPr>
              <w:t>1.1.2.4</w:t>
            </w:r>
          </w:p>
        </w:tc>
        <w:tc>
          <w:tcPr>
            <w:tcW w:w="1577" w:type="pct"/>
            <w:vAlign w:val="center"/>
          </w:tcPr>
          <w:p>
            <w:pPr>
              <w:spacing w:line="360" w:lineRule="auto"/>
              <w:rPr>
                <w:szCs w:val="21"/>
                <w:u w:val="single"/>
              </w:rPr>
            </w:pPr>
            <w:r>
              <w:rPr>
                <w:rFonts w:hint="eastAsia"/>
                <w:szCs w:val="21"/>
              </w:rPr>
              <w:t>姓名：</w:t>
            </w:r>
            <w:r>
              <w:rPr>
                <w:szCs w:val="21"/>
                <w:u w:val="single"/>
              </w:rPr>
              <w:t xml:space="preserve">           </w:t>
            </w:r>
          </w:p>
        </w:tc>
        <w:tc>
          <w:tcPr>
            <w:tcW w:w="419"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spacing w:line="360" w:lineRule="auto"/>
              <w:jc w:val="center"/>
              <w:rPr>
                <w:szCs w:val="21"/>
              </w:rPr>
            </w:pPr>
            <w:r>
              <w:rPr>
                <w:szCs w:val="21"/>
              </w:rPr>
              <w:t>2</w:t>
            </w:r>
          </w:p>
        </w:tc>
        <w:tc>
          <w:tcPr>
            <w:tcW w:w="1364" w:type="pct"/>
            <w:vAlign w:val="center"/>
          </w:tcPr>
          <w:p>
            <w:pPr>
              <w:spacing w:line="360" w:lineRule="auto"/>
              <w:jc w:val="center"/>
              <w:rPr>
                <w:szCs w:val="21"/>
              </w:rPr>
            </w:pPr>
            <w:r>
              <w:rPr>
                <w:rFonts w:hint="eastAsia"/>
                <w:szCs w:val="21"/>
              </w:rPr>
              <w:t>工期</w:t>
            </w:r>
          </w:p>
        </w:tc>
        <w:tc>
          <w:tcPr>
            <w:tcW w:w="1261" w:type="pct"/>
            <w:vAlign w:val="center"/>
          </w:tcPr>
          <w:p>
            <w:pPr>
              <w:spacing w:line="360" w:lineRule="auto"/>
              <w:jc w:val="center"/>
              <w:rPr>
                <w:szCs w:val="21"/>
              </w:rPr>
            </w:pPr>
            <w:r>
              <w:rPr>
                <w:szCs w:val="21"/>
              </w:rPr>
              <w:t>1.1.4.3</w:t>
            </w:r>
          </w:p>
        </w:tc>
        <w:tc>
          <w:tcPr>
            <w:tcW w:w="1577" w:type="pct"/>
            <w:vAlign w:val="center"/>
          </w:tcPr>
          <w:p>
            <w:pPr>
              <w:spacing w:line="360" w:lineRule="auto"/>
              <w:rPr>
                <w:szCs w:val="21"/>
                <w:u w:val="single"/>
              </w:rPr>
            </w:pPr>
            <w:r>
              <w:rPr>
                <w:rFonts w:hint="eastAsia"/>
                <w:szCs w:val="21"/>
              </w:rPr>
              <w:t>天数：</w:t>
            </w:r>
            <w:r>
              <w:rPr>
                <w:szCs w:val="21"/>
                <w:u w:val="single"/>
              </w:rPr>
              <w:t xml:space="preserve">        </w:t>
            </w:r>
            <w:r>
              <w:rPr>
                <w:rFonts w:hint="eastAsia"/>
                <w:szCs w:val="21"/>
              </w:rPr>
              <w:t>日历天</w:t>
            </w:r>
          </w:p>
        </w:tc>
        <w:tc>
          <w:tcPr>
            <w:tcW w:w="419"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spacing w:line="360" w:lineRule="auto"/>
              <w:jc w:val="center"/>
              <w:rPr>
                <w:szCs w:val="21"/>
              </w:rPr>
            </w:pPr>
            <w:r>
              <w:rPr>
                <w:szCs w:val="21"/>
              </w:rPr>
              <w:t>3</w:t>
            </w:r>
          </w:p>
        </w:tc>
        <w:tc>
          <w:tcPr>
            <w:tcW w:w="1364" w:type="pct"/>
            <w:vAlign w:val="center"/>
          </w:tcPr>
          <w:p>
            <w:pPr>
              <w:spacing w:line="360" w:lineRule="auto"/>
              <w:jc w:val="center"/>
              <w:rPr>
                <w:szCs w:val="21"/>
              </w:rPr>
            </w:pPr>
            <w:r>
              <w:rPr>
                <w:rFonts w:hint="eastAsia"/>
                <w:szCs w:val="21"/>
              </w:rPr>
              <w:t>缺陷责任期</w:t>
            </w:r>
          </w:p>
        </w:tc>
        <w:tc>
          <w:tcPr>
            <w:tcW w:w="1261" w:type="pct"/>
            <w:vAlign w:val="center"/>
          </w:tcPr>
          <w:p>
            <w:pPr>
              <w:spacing w:line="360" w:lineRule="auto"/>
              <w:jc w:val="center"/>
              <w:rPr>
                <w:szCs w:val="21"/>
              </w:rPr>
            </w:pPr>
            <w:r>
              <w:rPr>
                <w:szCs w:val="21"/>
              </w:rPr>
              <w:t>1.1.4.5</w:t>
            </w:r>
          </w:p>
        </w:tc>
        <w:tc>
          <w:tcPr>
            <w:tcW w:w="1577" w:type="pct"/>
            <w:vAlign w:val="center"/>
          </w:tcPr>
          <w:p>
            <w:pPr>
              <w:spacing w:line="360" w:lineRule="auto"/>
              <w:rPr>
                <w:szCs w:val="21"/>
              </w:rPr>
            </w:pPr>
          </w:p>
        </w:tc>
        <w:tc>
          <w:tcPr>
            <w:tcW w:w="419"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spacing w:line="360" w:lineRule="auto"/>
              <w:jc w:val="center"/>
              <w:rPr>
                <w:szCs w:val="21"/>
              </w:rPr>
            </w:pPr>
            <w:r>
              <w:rPr>
                <w:szCs w:val="21"/>
              </w:rPr>
              <w:t>4</w:t>
            </w:r>
          </w:p>
        </w:tc>
        <w:tc>
          <w:tcPr>
            <w:tcW w:w="1364" w:type="pct"/>
            <w:vAlign w:val="center"/>
          </w:tcPr>
          <w:p>
            <w:pPr>
              <w:spacing w:line="360" w:lineRule="auto"/>
              <w:jc w:val="center"/>
              <w:rPr>
                <w:szCs w:val="21"/>
              </w:rPr>
            </w:pPr>
            <w:r>
              <w:rPr>
                <w:rFonts w:hint="eastAsia"/>
                <w:szCs w:val="21"/>
              </w:rPr>
              <w:t>分包</w:t>
            </w:r>
          </w:p>
        </w:tc>
        <w:tc>
          <w:tcPr>
            <w:tcW w:w="1261" w:type="pct"/>
            <w:vAlign w:val="center"/>
          </w:tcPr>
          <w:p>
            <w:pPr>
              <w:spacing w:line="360" w:lineRule="auto"/>
              <w:jc w:val="center"/>
              <w:rPr>
                <w:szCs w:val="21"/>
              </w:rPr>
            </w:pPr>
            <w:r>
              <w:rPr>
                <w:szCs w:val="21"/>
              </w:rPr>
              <w:t>4.3.4</w:t>
            </w:r>
          </w:p>
        </w:tc>
        <w:tc>
          <w:tcPr>
            <w:tcW w:w="1577" w:type="pct"/>
            <w:vAlign w:val="center"/>
          </w:tcPr>
          <w:p>
            <w:pPr>
              <w:spacing w:line="360" w:lineRule="auto"/>
              <w:rPr>
                <w:szCs w:val="21"/>
              </w:rPr>
            </w:pPr>
          </w:p>
        </w:tc>
        <w:tc>
          <w:tcPr>
            <w:tcW w:w="419"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spacing w:line="360" w:lineRule="auto"/>
              <w:jc w:val="center"/>
              <w:rPr>
                <w:szCs w:val="21"/>
              </w:rPr>
            </w:pPr>
            <w:r>
              <w:rPr>
                <w:szCs w:val="21"/>
              </w:rPr>
              <w:t>5</w:t>
            </w:r>
          </w:p>
        </w:tc>
        <w:tc>
          <w:tcPr>
            <w:tcW w:w="1364" w:type="pct"/>
            <w:vAlign w:val="center"/>
          </w:tcPr>
          <w:p>
            <w:pPr>
              <w:spacing w:line="360" w:lineRule="auto"/>
              <w:rPr>
                <w:szCs w:val="21"/>
              </w:rPr>
            </w:pPr>
            <w:r>
              <w:rPr>
                <w:rFonts w:hint="eastAsia"/>
                <w:szCs w:val="21"/>
              </w:rPr>
              <w:t>价格调整的差额计算</w:t>
            </w:r>
          </w:p>
        </w:tc>
        <w:tc>
          <w:tcPr>
            <w:tcW w:w="1261" w:type="pct"/>
            <w:vAlign w:val="center"/>
          </w:tcPr>
          <w:p>
            <w:pPr>
              <w:spacing w:line="360" w:lineRule="auto"/>
              <w:jc w:val="center"/>
              <w:rPr>
                <w:szCs w:val="21"/>
              </w:rPr>
            </w:pPr>
            <w:r>
              <w:rPr>
                <w:szCs w:val="21"/>
              </w:rPr>
              <w:t>16.1.1</w:t>
            </w:r>
          </w:p>
        </w:tc>
        <w:tc>
          <w:tcPr>
            <w:tcW w:w="1577" w:type="pct"/>
            <w:vAlign w:val="center"/>
          </w:tcPr>
          <w:p>
            <w:pPr>
              <w:spacing w:line="360" w:lineRule="auto"/>
              <w:rPr>
                <w:szCs w:val="21"/>
              </w:rPr>
            </w:pPr>
            <w:r>
              <w:rPr>
                <w:rFonts w:hint="eastAsia"/>
                <w:szCs w:val="21"/>
              </w:rPr>
              <w:t>见价格指数权重表</w:t>
            </w:r>
          </w:p>
        </w:tc>
        <w:tc>
          <w:tcPr>
            <w:tcW w:w="419"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spacing w:line="360" w:lineRule="auto"/>
              <w:jc w:val="center"/>
              <w:rPr>
                <w:szCs w:val="21"/>
              </w:rPr>
            </w:pPr>
            <w:r>
              <w:rPr>
                <w:rFonts w:hint="eastAsia"/>
                <w:szCs w:val="21"/>
              </w:rPr>
              <w:t>……</w:t>
            </w:r>
          </w:p>
        </w:tc>
        <w:tc>
          <w:tcPr>
            <w:tcW w:w="1364" w:type="pct"/>
            <w:vAlign w:val="center"/>
          </w:tcPr>
          <w:p>
            <w:pPr>
              <w:spacing w:line="360" w:lineRule="auto"/>
              <w:jc w:val="center"/>
              <w:rPr>
                <w:szCs w:val="21"/>
              </w:rPr>
            </w:pPr>
            <w:r>
              <w:rPr>
                <w:rFonts w:hint="eastAsia"/>
                <w:szCs w:val="21"/>
              </w:rPr>
              <w:t>……</w:t>
            </w:r>
          </w:p>
        </w:tc>
        <w:tc>
          <w:tcPr>
            <w:tcW w:w="1261" w:type="pct"/>
            <w:vAlign w:val="center"/>
          </w:tcPr>
          <w:p>
            <w:pPr>
              <w:spacing w:line="360" w:lineRule="auto"/>
              <w:jc w:val="center"/>
              <w:rPr>
                <w:szCs w:val="21"/>
              </w:rPr>
            </w:pPr>
            <w:r>
              <w:rPr>
                <w:rFonts w:hint="eastAsia"/>
                <w:szCs w:val="21"/>
              </w:rPr>
              <w:t>……</w:t>
            </w:r>
          </w:p>
        </w:tc>
        <w:tc>
          <w:tcPr>
            <w:tcW w:w="1577" w:type="pct"/>
            <w:vAlign w:val="center"/>
          </w:tcPr>
          <w:p>
            <w:pPr>
              <w:spacing w:line="360" w:lineRule="auto"/>
              <w:rPr>
                <w:szCs w:val="21"/>
              </w:rPr>
            </w:pPr>
            <w:r>
              <w:rPr>
                <w:rFonts w:hint="eastAsia"/>
                <w:szCs w:val="21"/>
              </w:rPr>
              <w:t>……</w:t>
            </w:r>
          </w:p>
        </w:tc>
        <w:tc>
          <w:tcPr>
            <w:tcW w:w="419"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Align w:val="center"/>
          </w:tcPr>
          <w:p>
            <w:pPr>
              <w:spacing w:line="360" w:lineRule="auto"/>
              <w:jc w:val="center"/>
              <w:rPr>
                <w:szCs w:val="21"/>
              </w:rPr>
            </w:pPr>
            <w:r>
              <w:rPr>
                <w:rFonts w:hint="eastAsia"/>
                <w:szCs w:val="21"/>
              </w:rPr>
              <w:t>……</w:t>
            </w:r>
          </w:p>
        </w:tc>
        <w:tc>
          <w:tcPr>
            <w:tcW w:w="1364" w:type="pct"/>
            <w:vAlign w:val="center"/>
          </w:tcPr>
          <w:p>
            <w:pPr>
              <w:spacing w:line="360" w:lineRule="auto"/>
              <w:jc w:val="center"/>
              <w:rPr>
                <w:szCs w:val="21"/>
              </w:rPr>
            </w:pPr>
            <w:r>
              <w:rPr>
                <w:rFonts w:hint="eastAsia"/>
                <w:szCs w:val="21"/>
              </w:rPr>
              <w:t>……</w:t>
            </w:r>
          </w:p>
        </w:tc>
        <w:tc>
          <w:tcPr>
            <w:tcW w:w="1261" w:type="pct"/>
            <w:vAlign w:val="center"/>
          </w:tcPr>
          <w:p>
            <w:pPr>
              <w:spacing w:line="360" w:lineRule="auto"/>
              <w:jc w:val="center"/>
              <w:rPr>
                <w:szCs w:val="21"/>
              </w:rPr>
            </w:pPr>
            <w:r>
              <w:rPr>
                <w:rFonts w:hint="eastAsia"/>
                <w:szCs w:val="21"/>
              </w:rPr>
              <w:t>……</w:t>
            </w:r>
          </w:p>
        </w:tc>
        <w:tc>
          <w:tcPr>
            <w:tcW w:w="1577" w:type="pct"/>
            <w:vAlign w:val="center"/>
          </w:tcPr>
          <w:p>
            <w:pPr>
              <w:spacing w:line="360" w:lineRule="auto"/>
              <w:rPr>
                <w:szCs w:val="21"/>
              </w:rPr>
            </w:pPr>
            <w:r>
              <w:rPr>
                <w:rFonts w:hint="eastAsia"/>
                <w:szCs w:val="21"/>
              </w:rPr>
              <w:t>……</w:t>
            </w:r>
          </w:p>
        </w:tc>
        <w:tc>
          <w:tcPr>
            <w:tcW w:w="419" w:type="pct"/>
            <w:vAlign w:val="center"/>
          </w:tcPr>
          <w:p>
            <w:pPr>
              <w:spacing w:line="360" w:lineRule="auto"/>
              <w:jc w:val="center"/>
              <w:rPr>
                <w:szCs w:val="21"/>
              </w:rPr>
            </w:pPr>
          </w:p>
        </w:tc>
      </w:tr>
    </w:tbl>
    <w:p>
      <w:pPr>
        <w:spacing w:line="440" w:lineRule="exact"/>
        <w:ind w:left="880" w:leftChars="400" w:firstLine="2200" w:firstLineChars="1100"/>
        <w:rPr>
          <w:sz w:val="20"/>
          <w:szCs w:val="20"/>
        </w:rPr>
      </w:pPr>
    </w:p>
    <w:p>
      <w:pPr>
        <w:spacing w:line="440" w:lineRule="exact"/>
        <w:ind w:left="880" w:leftChars="400" w:firstLine="2200" w:firstLineChars="1100"/>
        <w:rPr>
          <w:sz w:val="20"/>
          <w:szCs w:val="20"/>
        </w:rPr>
      </w:pPr>
      <w:r>
        <w:rPr>
          <w:rFonts w:hint="eastAsia"/>
          <w:sz w:val="20"/>
          <w:szCs w:val="20"/>
        </w:rPr>
        <w:t>价格指数权重表</w:t>
      </w:r>
      <w:r>
        <w:rPr>
          <w:sz w:val="20"/>
          <w:szCs w:val="20"/>
        </w:rPr>
        <w:t xml:space="preserve"> </w:t>
      </w:r>
    </w:p>
    <w:tbl>
      <w:tblPr>
        <w:tblStyle w:val="37"/>
        <w:tblW w:w="50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
        <w:gridCol w:w="986"/>
        <w:gridCol w:w="784"/>
        <w:gridCol w:w="1176"/>
        <w:gridCol w:w="784"/>
        <w:gridCol w:w="1380"/>
        <w:gridCol w:w="1761"/>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pct"/>
            <w:gridSpan w:val="2"/>
            <w:vMerge w:val="restart"/>
          </w:tcPr>
          <w:p>
            <w:pPr>
              <w:jc w:val="both"/>
              <w:rPr>
                <w:szCs w:val="21"/>
              </w:rPr>
            </w:pPr>
            <w:r>
              <w:rPr>
                <w:rFonts w:hint="eastAsia"/>
                <w:szCs w:val="21"/>
              </w:rPr>
              <w:t>名</w:t>
            </w:r>
            <w:r>
              <w:rPr>
                <w:szCs w:val="21"/>
              </w:rPr>
              <w:t xml:space="preserve">    </w:t>
            </w:r>
            <w:r>
              <w:rPr>
                <w:rFonts w:hint="eastAsia"/>
                <w:szCs w:val="21"/>
              </w:rPr>
              <w:t>称</w:t>
            </w:r>
            <w:r>
              <w:rPr>
                <w:szCs w:val="21"/>
              </w:rPr>
              <w:t xml:space="preserve">     </w:t>
            </w:r>
          </w:p>
        </w:tc>
        <w:tc>
          <w:tcPr>
            <w:tcW w:w="1050" w:type="pct"/>
            <w:gridSpan w:val="2"/>
          </w:tcPr>
          <w:p>
            <w:pPr>
              <w:jc w:val="both"/>
              <w:rPr>
                <w:szCs w:val="21"/>
              </w:rPr>
            </w:pPr>
            <w:r>
              <w:rPr>
                <w:rFonts w:hint="eastAsia"/>
                <w:szCs w:val="21"/>
              </w:rPr>
              <w:t>基本价格指数</w:t>
            </w:r>
          </w:p>
        </w:tc>
        <w:tc>
          <w:tcPr>
            <w:tcW w:w="2102" w:type="pct"/>
            <w:gridSpan w:val="3"/>
          </w:tcPr>
          <w:p>
            <w:pPr>
              <w:jc w:val="both"/>
              <w:rPr>
                <w:szCs w:val="21"/>
              </w:rPr>
            </w:pPr>
            <w:r>
              <w:rPr>
                <w:szCs w:val="21"/>
              </w:rPr>
              <w:t xml:space="preserve">      </w:t>
            </w:r>
            <w:r>
              <w:rPr>
                <w:rFonts w:hint="eastAsia"/>
                <w:szCs w:val="21"/>
              </w:rPr>
              <w:t>权</w:t>
            </w:r>
            <w:r>
              <w:rPr>
                <w:szCs w:val="21"/>
              </w:rPr>
              <w:t xml:space="preserve">             </w:t>
            </w:r>
            <w:r>
              <w:rPr>
                <w:rFonts w:hint="eastAsia"/>
                <w:szCs w:val="21"/>
              </w:rPr>
              <w:t>重</w:t>
            </w:r>
          </w:p>
        </w:tc>
        <w:tc>
          <w:tcPr>
            <w:tcW w:w="1050" w:type="pct"/>
            <w:vMerge w:val="restart"/>
          </w:tcPr>
          <w:p>
            <w:pPr>
              <w:jc w:val="both"/>
              <w:rPr>
                <w:szCs w:val="21"/>
              </w:rPr>
            </w:pPr>
            <w:r>
              <w:rPr>
                <w:rFonts w:hint="eastAsia"/>
                <w:szCs w:val="21"/>
              </w:rPr>
              <w:t>价格指数来源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pct"/>
            <w:gridSpan w:val="2"/>
            <w:vMerge w:val="continue"/>
          </w:tcPr>
          <w:p>
            <w:pPr>
              <w:jc w:val="both"/>
              <w:rPr>
                <w:szCs w:val="21"/>
              </w:rPr>
            </w:pPr>
          </w:p>
        </w:tc>
        <w:tc>
          <w:tcPr>
            <w:tcW w:w="420" w:type="pct"/>
          </w:tcPr>
          <w:p>
            <w:pPr>
              <w:jc w:val="both"/>
              <w:rPr>
                <w:szCs w:val="21"/>
              </w:rPr>
            </w:pPr>
            <w:r>
              <w:rPr>
                <w:rFonts w:hint="eastAsia"/>
                <w:szCs w:val="21"/>
              </w:rPr>
              <w:t>代号</w:t>
            </w:r>
          </w:p>
        </w:tc>
        <w:tc>
          <w:tcPr>
            <w:tcW w:w="630" w:type="pct"/>
          </w:tcPr>
          <w:p>
            <w:pPr>
              <w:jc w:val="both"/>
              <w:rPr>
                <w:szCs w:val="21"/>
              </w:rPr>
            </w:pPr>
            <w:r>
              <w:rPr>
                <w:rFonts w:hint="eastAsia"/>
                <w:szCs w:val="21"/>
              </w:rPr>
              <w:t>指数值</w:t>
            </w:r>
          </w:p>
        </w:tc>
        <w:tc>
          <w:tcPr>
            <w:tcW w:w="420" w:type="pct"/>
          </w:tcPr>
          <w:p>
            <w:pPr>
              <w:jc w:val="both"/>
              <w:rPr>
                <w:szCs w:val="21"/>
              </w:rPr>
            </w:pPr>
            <w:r>
              <w:rPr>
                <w:rFonts w:hint="eastAsia"/>
                <w:szCs w:val="21"/>
              </w:rPr>
              <w:t>代号</w:t>
            </w:r>
          </w:p>
        </w:tc>
        <w:tc>
          <w:tcPr>
            <w:tcW w:w="739" w:type="pct"/>
          </w:tcPr>
          <w:p>
            <w:pPr>
              <w:jc w:val="both"/>
              <w:rPr>
                <w:szCs w:val="21"/>
              </w:rPr>
            </w:pPr>
            <w:r>
              <w:rPr>
                <w:rFonts w:hint="eastAsia"/>
                <w:szCs w:val="21"/>
              </w:rPr>
              <w:t>允许范围</w:t>
            </w:r>
          </w:p>
        </w:tc>
        <w:tc>
          <w:tcPr>
            <w:tcW w:w="943" w:type="pct"/>
          </w:tcPr>
          <w:p>
            <w:pPr>
              <w:jc w:val="both"/>
              <w:rPr>
                <w:szCs w:val="21"/>
              </w:rPr>
            </w:pPr>
            <w:r>
              <w:rPr>
                <w:rFonts w:hint="eastAsia"/>
                <w:szCs w:val="21"/>
              </w:rPr>
              <w:t>投标人建议值</w:t>
            </w:r>
          </w:p>
        </w:tc>
        <w:tc>
          <w:tcPr>
            <w:tcW w:w="1050" w:type="pct"/>
            <w:vMerge w:val="continue"/>
          </w:tcPr>
          <w:p>
            <w:pPr>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pct"/>
            <w:gridSpan w:val="2"/>
          </w:tcPr>
          <w:p>
            <w:pPr>
              <w:ind w:firstLine="220" w:firstLineChars="100"/>
              <w:jc w:val="both"/>
              <w:rPr>
                <w:szCs w:val="21"/>
              </w:rPr>
            </w:pPr>
            <w:r>
              <w:rPr>
                <w:rFonts w:hint="eastAsia"/>
                <w:szCs w:val="21"/>
              </w:rPr>
              <w:t>定值部分</w:t>
            </w:r>
          </w:p>
        </w:tc>
        <w:tc>
          <w:tcPr>
            <w:tcW w:w="420" w:type="pct"/>
          </w:tcPr>
          <w:p>
            <w:pPr>
              <w:jc w:val="both"/>
              <w:rPr>
                <w:szCs w:val="21"/>
              </w:rPr>
            </w:pPr>
          </w:p>
        </w:tc>
        <w:tc>
          <w:tcPr>
            <w:tcW w:w="630" w:type="pct"/>
          </w:tcPr>
          <w:p>
            <w:pPr>
              <w:jc w:val="both"/>
              <w:rPr>
                <w:szCs w:val="21"/>
              </w:rPr>
            </w:pPr>
          </w:p>
        </w:tc>
        <w:tc>
          <w:tcPr>
            <w:tcW w:w="420" w:type="pct"/>
          </w:tcPr>
          <w:p>
            <w:pPr>
              <w:ind w:firstLine="110" w:firstLineChars="50"/>
              <w:jc w:val="both"/>
              <w:rPr>
                <w:szCs w:val="21"/>
              </w:rPr>
            </w:pPr>
            <w:r>
              <w:rPr>
                <w:szCs w:val="21"/>
              </w:rPr>
              <w:t>A</w:t>
            </w:r>
          </w:p>
        </w:tc>
        <w:tc>
          <w:tcPr>
            <w:tcW w:w="739" w:type="pct"/>
          </w:tcPr>
          <w:p>
            <w:pPr>
              <w:ind w:firstLine="330" w:firstLineChars="150"/>
              <w:jc w:val="both"/>
              <w:rPr>
                <w:szCs w:val="21"/>
              </w:rPr>
            </w:pPr>
          </w:p>
        </w:tc>
        <w:tc>
          <w:tcPr>
            <w:tcW w:w="943" w:type="pct"/>
          </w:tcPr>
          <w:p>
            <w:pPr>
              <w:jc w:val="both"/>
              <w:rPr>
                <w:szCs w:val="21"/>
              </w:rPr>
            </w:pPr>
          </w:p>
        </w:tc>
        <w:tc>
          <w:tcPr>
            <w:tcW w:w="1050" w:type="pct"/>
          </w:tcPr>
          <w:p>
            <w:pPr>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vMerge w:val="restart"/>
          </w:tcPr>
          <w:p>
            <w:pPr>
              <w:jc w:val="both"/>
              <w:rPr>
                <w:szCs w:val="21"/>
              </w:rPr>
            </w:pPr>
            <w:r>
              <w:rPr>
                <w:rFonts w:hint="eastAsia"/>
                <w:szCs w:val="21"/>
              </w:rPr>
              <w:t>变</w:t>
            </w:r>
          </w:p>
          <w:p>
            <w:pPr>
              <w:jc w:val="both"/>
              <w:rPr>
                <w:szCs w:val="21"/>
              </w:rPr>
            </w:pPr>
            <w:r>
              <w:rPr>
                <w:rFonts w:hint="eastAsia"/>
                <w:szCs w:val="21"/>
              </w:rPr>
              <w:t>值</w:t>
            </w:r>
          </w:p>
          <w:p>
            <w:pPr>
              <w:jc w:val="both"/>
              <w:rPr>
                <w:szCs w:val="21"/>
              </w:rPr>
            </w:pPr>
            <w:r>
              <w:rPr>
                <w:rFonts w:hint="eastAsia"/>
                <w:szCs w:val="21"/>
              </w:rPr>
              <w:t>部</w:t>
            </w:r>
          </w:p>
          <w:p>
            <w:pPr>
              <w:jc w:val="both"/>
              <w:rPr>
                <w:szCs w:val="21"/>
              </w:rPr>
            </w:pPr>
            <w:r>
              <w:rPr>
                <w:rFonts w:hint="eastAsia"/>
                <w:szCs w:val="21"/>
              </w:rPr>
              <w:t>分</w:t>
            </w:r>
          </w:p>
        </w:tc>
        <w:tc>
          <w:tcPr>
            <w:tcW w:w="528" w:type="pct"/>
          </w:tcPr>
          <w:p>
            <w:pPr>
              <w:jc w:val="both"/>
              <w:rPr>
                <w:szCs w:val="21"/>
              </w:rPr>
            </w:pPr>
            <w:r>
              <w:rPr>
                <w:rFonts w:hint="eastAsia"/>
                <w:szCs w:val="21"/>
              </w:rPr>
              <w:t>人工费</w:t>
            </w:r>
          </w:p>
        </w:tc>
        <w:tc>
          <w:tcPr>
            <w:tcW w:w="420" w:type="pct"/>
          </w:tcPr>
          <w:p>
            <w:pPr>
              <w:jc w:val="both"/>
              <w:rPr>
                <w:szCs w:val="21"/>
                <w:vertAlign w:val="subscript"/>
              </w:rPr>
            </w:pPr>
            <w:r>
              <w:rPr>
                <w:szCs w:val="21"/>
              </w:rPr>
              <w:t>F</w:t>
            </w:r>
            <w:r>
              <w:rPr>
                <w:szCs w:val="21"/>
                <w:vertAlign w:val="subscript"/>
              </w:rPr>
              <w:t>01</w:t>
            </w:r>
          </w:p>
        </w:tc>
        <w:tc>
          <w:tcPr>
            <w:tcW w:w="630" w:type="pct"/>
          </w:tcPr>
          <w:p>
            <w:pPr>
              <w:jc w:val="both"/>
              <w:rPr>
                <w:szCs w:val="21"/>
              </w:rPr>
            </w:pPr>
          </w:p>
        </w:tc>
        <w:tc>
          <w:tcPr>
            <w:tcW w:w="420" w:type="pct"/>
          </w:tcPr>
          <w:p>
            <w:pPr>
              <w:ind w:firstLine="110" w:firstLineChars="50"/>
              <w:jc w:val="both"/>
              <w:rPr>
                <w:szCs w:val="21"/>
                <w:vertAlign w:val="subscript"/>
              </w:rPr>
            </w:pPr>
            <w:r>
              <w:rPr>
                <w:szCs w:val="21"/>
              </w:rPr>
              <w:t>B</w:t>
            </w:r>
            <w:r>
              <w:rPr>
                <w:szCs w:val="21"/>
                <w:vertAlign w:val="subscript"/>
              </w:rPr>
              <w:t>1</w:t>
            </w:r>
          </w:p>
        </w:tc>
        <w:tc>
          <w:tcPr>
            <w:tcW w:w="739" w:type="pct"/>
          </w:tcPr>
          <w:p>
            <w:pPr>
              <w:jc w:val="both"/>
              <w:rPr>
                <w:szCs w:val="21"/>
              </w:rPr>
            </w:pPr>
            <w:r>
              <w:rPr>
                <w:szCs w:val="21"/>
              </w:rPr>
              <w:t xml:space="preserve">__ </w:t>
            </w:r>
            <w:r>
              <w:rPr>
                <w:rFonts w:hint="eastAsia"/>
                <w:szCs w:val="21"/>
              </w:rPr>
              <w:t>至</w:t>
            </w:r>
            <w:r>
              <w:rPr>
                <w:szCs w:val="21"/>
              </w:rPr>
              <w:t>__</w:t>
            </w:r>
          </w:p>
        </w:tc>
        <w:tc>
          <w:tcPr>
            <w:tcW w:w="943" w:type="pct"/>
          </w:tcPr>
          <w:p>
            <w:pPr>
              <w:jc w:val="both"/>
              <w:rPr>
                <w:szCs w:val="21"/>
              </w:rPr>
            </w:pPr>
          </w:p>
        </w:tc>
        <w:tc>
          <w:tcPr>
            <w:tcW w:w="1050" w:type="pct"/>
          </w:tcPr>
          <w:p>
            <w:pPr>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vMerge w:val="continue"/>
          </w:tcPr>
          <w:p>
            <w:pPr>
              <w:jc w:val="both"/>
              <w:rPr>
                <w:szCs w:val="21"/>
              </w:rPr>
            </w:pPr>
          </w:p>
        </w:tc>
        <w:tc>
          <w:tcPr>
            <w:tcW w:w="528" w:type="pct"/>
          </w:tcPr>
          <w:p>
            <w:pPr>
              <w:jc w:val="both"/>
              <w:rPr>
                <w:szCs w:val="21"/>
              </w:rPr>
            </w:pPr>
            <w:r>
              <w:rPr>
                <w:rFonts w:hint="eastAsia"/>
                <w:szCs w:val="21"/>
              </w:rPr>
              <w:t>钢材</w:t>
            </w:r>
          </w:p>
        </w:tc>
        <w:tc>
          <w:tcPr>
            <w:tcW w:w="420" w:type="pct"/>
          </w:tcPr>
          <w:p>
            <w:pPr>
              <w:jc w:val="both"/>
              <w:rPr>
                <w:szCs w:val="21"/>
                <w:vertAlign w:val="subscript"/>
              </w:rPr>
            </w:pPr>
            <w:r>
              <w:rPr>
                <w:szCs w:val="21"/>
              </w:rPr>
              <w:t>F</w:t>
            </w:r>
            <w:r>
              <w:rPr>
                <w:szCs w:val="21"/>
                <w:vertAlign w:val="subscript"/>
              </w:rPr>
              <w:t>02</w:t>
            </w:r>
          </w:p>
        </w:tc>
        <w:tc>
          <w:tcPr>
            <w:tcW w:w="630" w:type="pct"/>
          </w:tcPr>
          <w:p>
            <w:pPr>
              <w:jc w:val="both"/>
              <w:rPr>
                <w:szCs w:val="21"/>
              </w:rPr>
            </w:pPr>
          </w:p>
        </w:tc>
        <w:tc>
          <w:tcPr>
            <w:tcW w:w="420" w:type="pct"/>
          </w:tcPr>
          <w:p>
            <w:pPr>
              <w:ind w:firstLine="110" w:firstLineChars="50"/>
              <w:jc w:val="both"/>
              <w:rPr>
                <w:szCs w:val="21"/>
                <w:vertAlign w:val="subscript"/>
              </w:rPr>
            </w:pPr>
            <w:r>
              <w:rPr>
                <w:szCs w:val="21"/>
              </w:rPr>
              <w:t>B</w:t>
            </w:r>
            <w:r>
              <w:rPr>
                <w:szCs w:val="21"/>
                <w:vertAlign w:val="subscript"/>
              </w:rPr>
              <w:t>2</w:t>
            </w:r>
          </w:p>
        </w:tc>
        <w:tc>
          <w:tcPr>
            <w:tcW w:w="739" w:type="pct"/>
          </w:tcPr>
          <w:p>
            <w:pPr>
              <w:jc w:val="both"/>
              <w:rPr>
                <w:szCs w:val="21"/>
              </w:rPr>
            </w:pPr>
            <w:r>
              <w:rPr>
                <w:szCs w:val="21"/>
              </w:rPr>
              <w:t xml:space="preserve">__ </w:t>
            </w:r>
            <w:r>
              <w:rPr>
                <w:rFonts w:hint="eastAsia"/>
                <w:szCs w:val="21"/>
              </w:rPr>
              <w:t>至</w:t>
            </w:r>
            <w:r>
              <w:rPr>
                <w:szCs w:val="21"/>
              </w:rPr>
              <w:t>__</w:t>
            </w:r>
          </w:p>
        </w:tc>
        <w:tc>
          <w:tcPr>
            <w:tcW w:w="943" w:type="pct"/>
          </w:tcPr>
          <w:p>
            <w:pPr>
              <w:jc w:val="both"/>
              <w:rPr>
                <w:szCs w:val="21"/>
              </w:rPr>
            </w:pPr>
          </w:p>
        </w:tc>
        <w:tc>
          <w:tcPr>
            <w:tcW w:w="1050" w:type="pct"/>
          </w:tcPr>
          <w:p>
            <w:pPr>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vMerge w:val="continue"/>
          </w:tcPr>
          <w:p>
            <w:pPr>
              <w:jc w:val="both"/>
              <w:rPr>
                <w:szCs w:val="21"/>
              </w:rPr>
            </w:pPr>
          </w:p>
        </w:tc>
        <w:tc>
          <w:tcPr>
            <w:tcW w:w="528" w:type="pct"/>
          </w:tcPr>
          <w:p>
            <w:pPr>
              <w:jc w:val="both"/>
              <w:rPr>
                <w:szCs w:val="21"/>
              </w:rPr>
            </w:pPr>
            <w:r>
              <w:rPr>
                <w:rFonts w:hint="eastAsia"/>
                <w:szCs w:val="21"/>
              </w:rPr>
              <w:t>水泥</w:t>
            </w:r>
          </w:p>
        </w:tc>
        <w:tc>
          <w:tcPr>
            <w:tcW w:w="420" w:type="pct"/>
          </w:tcPr>
          <w:p>
            <w:pPr>
              <w:jc w:val="both"/>
              <w:rPr>
                <w:szCs w:val="21"/>
                <w:vertAlign w:val="subscript"/>
              </w:rPr>
            </w:pPr>
            <w:r>
              <w:rPr>
                <w:szCs w:val="21"/>
              </w:rPr>
              <w:t>F</w:t>
            </w:r>
            <w:r>
              <w:rPr>
                <w:szCs w:val="21"/>
                <w:vertAlign w:val="subscript"/>
              </w:rPr>
              <w:t>03</w:t>
            </w:r>
          </w:p>
        </w:tc>
        <w:tc>
          <w:tcPr>
            <w:tcW w:w="630" w:type="pct"/>
          </w:tcPr>
          <w:p>
            <w:pPr>
              <w:jc w:val="both"/>
              <w:rPr>
                <w:szCs w:val="21"/>
              </w:rPr>
            </w:pPr>
          </w:p>
        </w:tc>
        <w:tc>
          <w:tcPr>
            <w:tcW w:w="420" w:type="pct"/>
          </w:tcPr>
          <w:p>
            <w:pPr>
              <w:ind w:firstLine="110" w:firstLineChars="50"/>
              <w:jc w:val="both"/>
              <w:rPr>
                <w:szCs w:val="21"/>
                <w:vertAlign w:val="subscript"/>
              </w:rPr>
            </w:pPr>
            <w:r>
              <w:rPr>
                <w:szCs w:val="21"/>
              </w:rPr>
              <w:t>B</w:t>
            </w:r>
            <w:r>
              <w:rPr>
                <w:szCs w:val="21"/>
                <w:vertAlign w:val="subscript"/>
              </w:rPr>
              <w:t>3</w:t>
            </w:r>
          </w:p>
        </w:tc>
        <w:tc>
          <w:tcPr>
            <w:tcW w:w="739" w:type="pct"/>
          </w:tcPr>
          <w:p>
            <w:pPr>
              <w:jc w:val="both"/>
              <w:rPr>
                <w:szCs w:val="21"/>
              </w:rPr>
            </w:pPr>
            <w:r>
              <w:rPr>
                <w:szCs w:val="21"/>
              </w:rPr>
              <w:t xml:space="preserve">__ </w:t>
            </w:r>
            <w:r>
              <w:rPr>
                <w:rFonts w:hint="eastAsia"/>
                <w:szCs w:val="21"/>
              </w:rPr>
              <w:t>至</w:t>
            </w:r>
            <w:r>
              <w:rPr>
                <w:szCs w:val="21"/>
              </w:rPr>
              <w:t>__</w:t>
            </w:r>
          </w:p>
        </w:tc>
        <w:tc>
          <w:tcPr>
            <w:tcW w:w="943" w:type="pct"/>
          </w:tcPr>
          <w:p>
            <w:pPr>
              <w:jc w:val="both"/>
              <w:rPr>
                <w:szCs w:val="21"/>
              </w:rPr>
            </w:pPr>
          </w:p>
        </w:tc>
        <w:tc>
          <w:tcPr>
            <w:tcW w:w="1050" w:type="pct"/>
          </w:tcPr>
          <w:p>
            <w:pPr>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vMerge w:val="continue"/>
          </w:tcPr>
          <w:p>
            <w:pPr>
              <w:jc w:val="both"/>
              <w:rPr>
                <w:szCs w:val="21"/>
              </w:rPr>
            </w:pPr>
          </w:p>
        </w:tc>
        <w:tc>
          <w:tcPr>
            <w:tcW w:w="528" w:type="pct"/>
          </w:tcPr>
          <w:p>
            <w:pPr>
              <w:jc w:val="both"/>
              <w:rPr>
                <w:szCs w:val="21"/>
              </w:rPr>
            </w:pPr>
            <w:r>
              <w:rPr>
                <w:rFonts w:hint="eastAsia"/>
                <w:szCs w:val="21"/>
              </w:rPr>
              <w:t>……</w:t>
            </w:r>
            <w:r>
              <w:rPr>
                <w:szCs w:val="21"/>
              </w:rPr>
              <w:t>.</w:t>
            </w:r>
          </w:p>
        </w:tc>
        <w:tc>
          <w:tcPr>
            <w:tcW w:w="420" w:type="pct"/>
          </w:tcPr>
          <w:p>
            <w:pPr>
              <w:jc w:val="both"/>
              <w:rPr>
                <w:szCs w:val="21"/>
              </w:rPr>
            </w:pPr>
            <w:r>
              <w:rPr>
                <w:rFonts w:hint="eastAsia"/>
                <w:szCs w:val="21"/>
              </w:rPr>
              <w:t>…</w:t>
            </w:r>
            <w:r>
              <w:rPr>
                <w:szCs w:val="21"/>
              </w:rPr>
              <w:t>..</w:t>
            </w:r>
          </w:p>
        </w:tc>
        <w:tc>
          <w:tcPr>
            <w:tcW w:w="630" w:type="pct"/>
          </w:tcPr>
          <w:p>
            <w:pPr>
              <w:jc w:val="both"/>
              <w:rPr>
                <w:szCs w:val="21"/>
              </w:rPr>
            </w:pPr>
          </w:p>
        </w:tc>
        <w:tc>
          <w:tcPr>
            <w:tcW w:w="420" w:type="pct"/>
          </w:tcPr>
          <w:p>
            <w:pPr>
              <w:jc w:val="both"/>
              <w:rPr>
                <w:szCs w:val="21"/>
              </w:rPr>
            </w:pPr>
            <w:r>
              <w:rPr>
                <w:rFonts w:hint="eastAsia"/>
                <w:szCs w:val="21"/>
              </w:rPr>
              <w:t>…</w:t>
            </w:r>
            <w:r>
              <w:rPr>
                <w:szCs w:val="21"/>
              </w:rPr>
              <w:t>.</w:t>
            </w:r>
          </w:p>
        </w:tc>
        <w:tc>
          <w:tcPr>
            <w:tcW w:w="739" w:type="pct"/>
          </w:tcPr>
          <w:p>
            <w:pPr>
              <w:ind w:firstLine="110" w:firstLineChars="50"/>
              <w:jc w:val="both"/>
              <w:rPr>
                <w:szCs w:val="21"/>
              </w:rPr>
            </w:pPr>
            <w:r>
              <w:rPr>
                <w:szCs w:val="21"/>
              </w:rPr>
              <w:t>.........</w:t>
            </w:r>
          </w:p>
        </w:tc>
        <w:tc>
          <w:tcPr>
            <w:tcW w:w="943" w:type="pct"/>
          </w:tcPr>
          <w:p>
            <w:pPr>
              <w:jc w:val="both"/>
              <w:rPr>
                <w:szCs w:val="21"/>
              </w:rPr>
            </w:pPr>
          </w:p>
        </w:tc>
        <w:tc>
          <w:tcPr>
            <w:tcW w:w="1050" w:type="pct"/>
          </w:tcPr>
          <w:p>
            <w:pPr>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vMerge w:val="continue"/>
          </w:tcPr>
          <w:p>
            <w:pPr>
              <w:jc w:val="both"/>
              <w:rPr>
                <w:szCs w:val="21"/>
              </w:rPr>
            </w:pPr>
          </w:p>
        </w:tc>
        <w:tc>
          <w:tcPr>
            <w:tcW w:w="528" w:type="pct"/>
          </w:tcPr>
          <w:p>
            <w:pPr>
              <w:jc w:val="both"/>
              <w:rPr>
                <w:szCs w:val="21"/>
              </w:rPr>
            </w:pPr>
          </w:p>
        </w:tc>
        <w:tc>
          <w:tcPr>
            <w:tcW w:w="420" w:type="pct"/>
          </w:tcPr>
          <w:p>
            <w:pPr>
              <w:jc w:val="both"/>
              <w:rPr>
                <w:szCs w:val="21"/>
              </w:rPr>
            </w:pPr>
          </w:p>
        </w:tc>
        <w:tc>
          <w:tcPr>
            <w:tcW w:w="630" w:type="pct"/>
          </w:tcPr>
          <w:p>
            <w:pPr>
              <w:jc w:val="both"/>
              <w:rPr>
                <w:szCs w:val="21"/>
              </w:rPr>
            </w:pPr>
          </w:p>
        </w:tc>
        <w:tc>
          <w:tcPr>
            <w:tcW w:w="420" w:type="pct"/>
          </w:tcPr>
          <w:p>
            <w:pPr>
              <w:jc w:val="both"/>
              <w:rPr>
                <w:szCs w:val="21"/>
              </w:rPr>
            </w:pPr>
          </w:p>
        </w:tc>
        <w:tc>
          <w:tcPr>
            <w:tcW w:w="739" w:type="pct"/>
          </w:tcPr>
          <w:p>
            <w:pPr>
              <w:jc w:val="both"/>
              <w:rPr>
                <w:szCs w:val="21"/>
              </w:rPr>
            </w:pPr>
          </w:p>
        </w:tc>
        <w:tc>
          <w:tcPr>
            <w:tcW w:w="943" w:type="pct"/>
          </w:tcPr>
          <w:p>
            <w:pPr>
              <w:jc w:val="both"/>
              <w:rPr>
                <w:szCs w:val="21"/>
              </w:rPr>
            </w:pPr>
          </w:p>
        </w:tc>
        <w:tc>
          <w:tcPr>
            <w:tcW w:w="1050" w:type="pct"/>
          </w:tcPr>
          <w:p>
            <w:pPr>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 w:type="pct"/>
            <w:vMerge w:val="continue"/>
          </w:tcPr>
          <w:p>
            <w:pPr>
              <w:jc w:val="both"/>
              <w:rPr>
                <w:szCs w:val="21"/>
              </w:rPr>
            </w:pPr>
          </w:p>
        </w:tc>
        <w:tc>
          <w:tcPr>
            <w:tcW w:w="528" w:type="pct"/>
          </w:tcPr>
          <w:p>
            <w:pPr>
              <w:jc w:val="both"/>
              <w:rPr>
                <w:szCs w:val="21"/>
              </w:rPr>
            </w:pPr>
          </w:p>
        </w:tc>
        <w:tc>
          <w:tcPr>
            <w:tcW w:w="420" w:type="pct"/>
          </w:tcPr>
          <w:p>
            <w:pPr>
              <w:jc w:val="both"/>
              <w:rPr>
                <w:szCs w:val="21"/>
              </w:rPr>
            </w:pPr>
          </w:p>
        </w:tc>
        <w:tc>
          <w:tcPr>
            <w:tcW w:w="630" w:type="pct"/>
          </w:tcPr>
          <w:p>
            <w:pPr>
              <w:jc w:val="both"/>
              <w:rPr>
                <w:szCs w:val="21"/>
              </w:rPr>
            </w:pPr>
          </w:p>
        </w:tc>
        <w:tc>
          <w:tcPr>
            <w:tcW w:w="420" w:type="pct"/>
          </w:tcPr>
          <w:p>
            <w:pPr>
              <w:jc w:val="both"/>
              <w:rPr>
                <w:szCs w:val="21"/>
              </w:rPr>
            </w:pPr>
          </w:p>
        </w:tc>
        <w:tc>
          <w:tcPr>
            <w:tcW w:w="739" w:type="pct"/>
          </w:tcPr>
          <w:p>
            <w:pPr>
              <w:jc w:val="both"/>
              <w:rPr>
                <w:szCs w:val="21"/>
              </w:rPr>
            </w:pPr>
          </w:p>
        </w:tc>
        <w:tc>
          <w:tcPr>
            <w:tcW w:w="943" w:type="pct"/>
          </w:tcPr>
          <w:p>
            <w:pPr>
              <w:jc w:val="both"/>
              <w:rPr>
                <w:szCs w:val="21"/>
              </w:rPr>
            </w:pPr>
          </w:p>
        </w:tc>
        <w:tc>
          <w:tcPr>
            <w:tcW w:w="1050" w:type="pct"/>
          </w:tcPr>
          <w:p>
            <w:pPr>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07" w:type="pct"/>
            <w:gridSpan w:val="6"/>
          </w:tcPr>
          <w:p>
            <w:pPr>
              <w:jc w:val="both"/>
              <w:rPr>
                <w:szCs w:val="21"/>
              </w:rPr>
            </w:pPr>
            <w:r>
              <w:rPr>
                <w:szCs w:val="21"/>
              </w:rPr>
              <w:t xml:space="preserve">             </w:t>
            </w:r>
            <w:r>
              <w:rPr>
                <w:rFonts w:hint="eastAsia"/>
                <w:szCs w:val="21"/>
              </w:rPr>
              <w:t>合</w:t>
            </w:r>
            <w:r>
              <w:rPr>
                <w:szCs w:val="21"/>
              </w:rPr>
              <w:t xml:space="preserve">            </w:t>
            </w:r>
            <w:r>
              <w:rPr>
                <w:rFonts w:hint="eastAsia"/>
                <w:szCs w:val="21"/>
              </w:rPr>
              <w:t>计</w:t>
            </w:r>
          </w:p>
        </w:tc>
        <w:tc>
          <w:tcPr>
            <w:tcW w:w="943" w:type="pct"/>
          </w:tcPr>
          <w:p>
            <w:pPr>
              <w:jc w:val="both"/>
              <w:rPr>
                <w:szCs w:val="21"/>
              </w:rPr>
            </w:pPr>
            <w:r>
              <w:rPr>
                <w:szCs w:val="21"/>
              </w:rPr>
              <w:t xml:space="preserve">    1</w:t>
            </w:r>
            <w:r>
              <w:rPr>
                <w:rFonts w:hint="eastAsia"/>
                <w:szCs w:val="21"/>
              </w:rPr>
              <w:t>．</w:t>
            </w:r>
            <w:r>
              <w:rPr>
                <w:szCs w:val="21"/>
              </w:rPr>
              <w:t>00</w:t>
            </w:r>
          </w:p>
        </w:tc>
        <w:tc>
          <w:tcPr>
            <w:tcW w:w="1050" w:type="pct"/>
          </w:tcPr>
          <w:p>
            <w:pPr>
              <w:jc w:val="both"/>
              <w:rPr>
                <w:szCs w:val="21"/>
              </w:rPr>
            </w:pPr>
          </w:p>
        </w:tc>
      </w:tr>
    </w:tbl>
    <w:p>
      <w:pPr>
        <w:spacing w:line="440" w:lineRule="exact"/>
        <w:rPr>
          <w:sz w:val="20"/>
          <w:szCs w:val="20"/>
        </w:rPr>
      </w:pPr>
    </w:p>
    <w:p>
      <w:pPr>
        <w:spacing w:line="36" w:lineRule="auto"/>
        <w:rPr>
          <w:sz w:val="27"/>
        </w:rPr>
      </w:pPr>
    </w:p>
    <w:p>
      <w:pPr>
        <w:spacing w:line="36" w:lineRule="auto"/>
        <w:rPr>
          <w:sz w:val="27"/>
        </w:rPr>
      </w:pPr>
    </w:p>
    <w:p>
      <w:pPr>
        <w:widowControl/>
        <w:jc w:val="center"/>
        <w:rPr>
          <w:b/>
          <w:bCs/>
          <w:sz w:val="32"/>
          <w:szCs w:val="32"/>
        </w:rPr>
      </w:pPr>
      <w:r>
        <w:rPr>
          <w:sz w:val="27"/>
        </w:rPr>
        <w:br w:type="page"/>
      </w:r>
      <w:bookmarkStart w:id="806" w:name="_Toc27806_WPSOffice_Level1"/>
      <w:r>
        <w:rPr>
          <w:rFonts w:hint="eastAsia"/>
          <w:sz w:val="24"/>
          <w:szCs w:val="24"/>
        </w:rPr>
        <w:t>□</w:t>
      </w:r>
      <w:r>
        <w:rPr>
          <w:rFonts w:hint="eastAsia"/>
          <w:b/>
          <w:bCs/>
          <w:sz w:val="32"/>
          <w:szCs w:val="32"/>
        </w:rPr>
        <w:t>二、法定代表人身份证明</w:t>
      </w:r>
      <w:bookmarkEnd w:id="806"/>
    </w:p>
    <w:p>
      <w:pPr>
        <w:spacing w:line="360" w:lineRule="auto"/>
        <w:rPr>
          <w:szCs w:val="21"/>
        </w:rPr>
      </w:pPr>
      <w:r>
        <w:rPr>
          <w:rFonts w:hint="eastAsia"/>
          <w:szCs w:val="21"/>
        </w:rPr>
        <w:t>投标人名称：</w:t>
      </w:r>
      <w:r>
        <w:rPr>
          <w:szCs w:val="21"/>
          <w:u w:val="single"/>
        </w:rPr>
        <w:t xml:space="preserve">                            </w:t>
      </w:r>
      <w:r>
        <w:rPr>
          <w:szCs w:val="21"/>
        </w:rPr>
        <w:t xml:space="preserve"> </w:t>
      </w:r>
    </w:p>
    <w:p>
      <w:pPr>
        <w:spacing w:line="360" w:lineRule="auto"/>
        <w:rPr>
          <w:szCs w:val="21"/>
        </w:rPr>
      </w:pPr>
      <w:r>
        <w:rPr>
          <w:rFonts w:hint="eastAsia"/>
          <w:szCs w:val="21"/>
        </w:rPr>
        <w:t>单位性质：</w:t>
      </w:r>
      <w:r>
        <w:rPr>
          <w:szCs w:val="21"/>
          <w:u w:val="single"/>
        </w:rPr>
        <w:t xml:space="preserve">                               </w:t>
      </w:r>
      <w:r>
        <w:rPr>
          <w:szCs w:val="21"/>
        </w:rPr>
        <w:t xml:space="preserve"> </w:t>
      </w:r>
    </w:p>
    <w:p>
      <w:pPr>
        <w:spacing w:line="360" w:lineRule="auto"/>
        <w:rPr>
          <w:szCs w:val="21"/>
        </w:rPr>
      </w:pPr>
      <w:r>
        <w:rPr>
          <w:rFonts w:hint="eastAsia"/>
          <w:szCs w:val="21"/>
        </w:rPr>
        <w:t>地址：</w:t>
      </w:r>
      <w:r>
        <w:rPr>
          <w:szCs w:val="21"/>
          <w:u w:val="single"/>
        </w:rPr>
        <w:t xml:space="preserve">                                   </w:t>
      </w:r>
    </w:p>
    <w:p>
      <w:pPr>
        <w:spacing w:line="360" w:lineRule="auto"/>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360" w:lineRule="auto"/>
        <w:rPr>
          <w:szCs w:val="21"/>
        </w:rPr>
      </w:pPr>
      <w:r>
        <w:rPr>
          <w:rFonts w:hint="eastAsia"/>
          <w:szCs w:val="21"/>
        </w:rPr>
        <w:t>经营期限：</w:t>
      </w:r>
      <w:r>
        <w:rPr>
          <w:szCs w:val="21"/>
          <w:u w:val="single"/>
        </w:rPr>
        <w:t xml:space="preserve">                               </w:t>
      </w:r>
    </w:p>
    <w:p>
      <w:pPr>
        <w:spacing w:line="360" w:lineRule="auto"/>
        <w:rPr>
          <w:szCs w:val="21"/>
        </w:rPr>
      </w:pPr>
      <w:r>
        <w:rPr>
          <w:rFonts w:hint="eastAsia"/>
          <w:szCs w:val="21"/>
        </w:rPr>
        <w:t>姓名：</w:t>
      </w:r>
      <w:r>
        <w:rPr>
          <w:szCs w:val="21"/>
          <w:u w:val="single"/>
        </w:rPr>
        <w:t xml:space="preserve">        </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pPr>
        <w:spacing w:line="360" w:lineRule="auto"/>
        <w:rPr>
          <w:szCs w:val="21"/>
        </w:rPr>
      </w:pPr>
      <w:r>
        <w:rPr>
          <w:rFonts w:hint="eastAsia"/>
          <w:szCs w:val="21"/>
        </w:rPr>
        <w:t>系</w:t>
      </w:r>
      <w:r>
        <w:rPr>
          <w:szCs w:val="21"/>
          <w:u w:val="single"/>
        </w:rPr>
        <w:t xml:space="preserve">                             </w:t>
      </w:r>
      <w:r>
        <w:rPr>
          <w:szCs w:val="21"/>
        </w:rPr>
        <w:t xml:space="preserve"> </w:t>
      </w:r>
      <w:r>
        <w:rPr>
          <w:rFonts w:hint="eastAsia"/>
          <w:szCs w:val="21"/>
        </w:rPr>
        <w:t>（投标人名称）的法定代表人。</w:t>
      </w:r>
    </w:p>
    <w:p>
      <w:pPr>
        <w:spacing w:line="360" w:lineRule="auto"/>
        <w:ind w:firstLine="440" w:firstLineChars="200"/>
        <w:rPr>
          <w:szCs w:val="21"/>
        </w:rPr>
      </w:pPr>
      <w:r>
        <w:rPr>
          <w:rFonts w:hint="eastAsia"/>
          <w:szCs w:val="21"/>
        </w:rPr>
        <w:t>特此证明。</w:t>
      </w:r>
    </w:p>
    <w:p>
      <w:pPr>
        <w:spacing w:line="360" w:lineRule="auto"/>
        <w:ind w:left="528" w:leftChars="24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rPr>
          <w:sz w:val="24"/>
          <w:szCs w:val="24"/>
        </w:rPr>
      </w:pPr>
      <w:r>
        <w:rPr>
          <w:rFonts w:hint="eastAsia"/>
          <w:bCs/>
          <w:sz w:val="24"/>
          <w:szCs w:val="24"/>
        </w:rPr>
        <w:t>附：法定代表人身份证扫描件</w:t>
      </w:r>
    </w:p>
    <w:p>
      <w:pPr>
        <w:spacing w:line="360" w:lineRule="auto"/>
        <w:rPr>
          <w:sz w:val="24"/>
          <w:szCs w:val="24"/>
        </w:rPr>
      </w:pPr>
    </w:p>
    <w:p>
      <w:pPr>
        <w:spacing w:line="360" w:lineRule="auto"/>
        <w:rPr>
          <w:sz w:val="24"/>
          <w:szCs w:val="24"/>
        </w:rPr>
      </w:pPr>
    </w:p>
    <w:p>
      <w:pPr>
        <w:adjustRightInd w:val="0"/>
        <w:snapToGrid w:val="0"/>
        <w:spacing w:line="360" w:lineRule="auto"/>
        <w:jc w:val="right"/>
        <w:rPr>
          <w:bCs/>
          <w:sz w:val="24"/>
          <w:szCs w:val="24"/>
        </w:rPr>
      </w:pPr>
      <w:r>
        <w:rPr>
          <w:b/>
          <w:sz w:val="24"/>
          <w:szCs w:val="24"/>
        </w:rPr>
        <w:t xml:space="preserve">                             </w:t>
      </w:r>
      <w:bookmarkStart w:id="807" w:name="_Toc500854820"/>
      <w:r>
        <w:rPr>
          <w:rFonts w:hint="eastAsia"/>
          <w:bCs/>
          <w:sz w:val="24"/>
          <w:szCs w:val="24"/>
        </w:rPr>
        <w:t>投标人：</w:t>
      </w:r>
      <w:r>
        <w:rPr>
          <w:bCs/>
          <w:sz w:val="24"/>
          <w:szCs w:val="24"/>
        </w:rPr>
        <w:t xml:space="preserve"> </w:t>
      </w:r>
      <w:r>
        <w:rPr>
          <w:bCs/>
          <w:sz w:val="24"/>
          <w:szCs w:val="24"/>
          <w:u w:val="single"/>
        </w:rPr>
        <w:t xml:space="preserve">                  </w:t>
      </w:r>
      <w:r>
        <w:rPr>
          <w:rFonts w:hint="eastAsia"/>
          <w:bCs/>
          <w:sz w:val="24"/>
          <w:szCs w:val="24"/>
        </w:rPr>
        <w:t>（盖单位章）</w:t>
      </w:r>
      <w:r>
        <w:rPr>
          <w:bCs/>
          <w:sz w:val="24"/>
          <w:szCs w:val="24"/>
        </w:rPr>
        <w:t xml:space="preserve">                                 </w:t>
      </w:r>
    </w:p>
    <w:bookmarkEnd w:id="807"/>
    <w:p>
      <w:pPr>
        <w:spacing w:line="360" w:lineRule="auto"/>
        <w:ind w:firstLine="482" w:firstLineChars="200"/>
        <w:jc w:val="center"/>
        <w:rPr>
          <w:sz w:val="24"/>
          <w:szCs w:val="24"/>
        </w:rPr>
      </w:pPr>
      <w:r>
        <w:rPr>
          <w:b/>
          <w:sz w:val="24"/>
          <w:szCs w:val="24"/>
        </w:rPr>
        <w:t xml:space="preserve">                           </w:t>
      </w:r>
      <w:r>
        <w:rPr>
          <w:b/>
          <w:sz w:val="24"/>
          <w:szCs w:val="24"/>
          <w:u w:val="single"/>
        </w:rPr>
        <w:t xml:space="preserve">   </w:t>
      </w:r>
      <w:r>
        <w:rPr>
          <w:rFonts w:hint="eastAsia"/>
          <w:sz w:val="24"/>
          <w:szCs w:val="24"/>
        </w:rPr>
        <w:t>年</w:t>
      </w:r>
      <w:r>
        <w:rPr>
          <w:b/>
          <w:sz w:val="24"/>
          <w:szCs w:val="24"/>
          <w:u w:val="single"/>
        </w:rPr>
        <w:t xml:space="preserve">   </w:t>
      </w:r>
      <w:r>
        <w:rPr>
          <w:rFonts w:hint="eastAsia"/>
          <w:sz w:val="24"/>
          <w:szCs w:val="24"/>
        </w:rPr>
        <w:t>月</w:t>
      </w:r>
      <w:r>
        <w:rPr>
          <w:b/>
          <w:sz w:val="24"/>
          <w:szCs w:val="24"/>
          <w:u w:val="single"/>
        </w:rPr>
        <w:t xml:space="preserve">   </w:t>
      </w:r>
      <w:r>
        <w:rPr>
          <w:rFonts w:hint="eastAsia"/>
          <w:sz w:val="24"/>
          <w:szCs w:val="24"/>
        </w:rPr>
        <w:t>日</w:t>
      </w:r>
    </w:p>
    <w:p>
      <w:pPr>
        <w:spacing w:line="360" w:lineRule="auto"/>
        <w:ind w:firstLine="480" w:firstLineChars="200"/>
        <w:rPr>
          <w:bCs/>
          <w:sz w:val="24"/>
          <w:szCs w:val="24"/>
        </w:rPr>
      </w:pPr>
    </w:p>
    <w:p>
      <w:pPr>
        <w:spacing w:line="36" w:lineRule="auto"/>
        <w:rPr>
          <w:bCs/>
          <w:sz w:val="24"/>
          <w:szCs w:val="24"/>
        </w:rPr>
      </w:pPr>
      <w:r>
        <w:rPr>
          <w:rFonts w:hint="eastAsia"/>
          <w:bCs/>
          <w:sz w:val="24"/>
          <w:szCs w:val="24"/>
        </w:rPr>
        <w:t>注：法定代表人亲自投标而不委托代理人投标适用。</w:t>
      </w:r>
    </w:p>
    <w:p>
      <w:pPr>
        <w:spacing w:line="36" w:lineRule="auto"/>
        <w:rPr>
          <w:sz w:val="27"/>
        </w:rPr>
      </w:pPr>
    </w:p>
    <w:p>
      <w:pPr>
        <w:widowControl/>
        <w:jc w:val="center"/>
        <w:rPr>
          <w:sz w:val="28"/>
          <w:szCs w:val="28"/>
        </w:rPr>
      </w:pPr>
      <w:r>
        <w:rPr>
          <w:sz w:val="27"/>
        </w:rPr>
        <w:br w:type="page"/>
      </w:r>
      <w:bookmarkStart w:id="808" w:name="_Toc7805_WPSOffice_Level1"/>
      <w:bookmarkStart w:id="809" w:name="_Toc500854821"/>
      <w:r>
        <w:rPr>
          <w:rFonts w:hint="eastAsia"/>
          <w:sz w:val="24"/>
          <w:szCs w:val="24"/>
        </w:rPr>
        <w:t>□</w:t>
      </w:r>
      <w:r>
        <w:rPr>
          <w:rFonts w:hint="eastAsia"/>
          <w:b/>
          <w:bCs/>
          <w:sz w:val="32"/>
          <w:szCs w:val="32"/>
        </w:rPr>
        <w:t>二、授权委托书</w:t>
      </w:r>
      <w:bookmarkEnd w:id="808"/>
      <w:bookmarkEnd w:id="809"/>
    </w:p>
    <w:p>
      <w:pPr>
        <w:pStyle w:val="131"/>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宋体" w:cs="宋体"/>
          <w:kern w:val="2"/>
          <w:szCs w:val="24"/>
        </w:rPr>
      </w:pPr>
      <w:r>
        <w:rPr>
          <w:rFonts w:hint="eastAsia" w:ascii="宋体" w:hAnsi="宋体" w:cs="宋体"/>
          <w:kern w:val="2"/>
          <w:szCs w:val="24"/>
        </w:rPr>
        <w:t>本人</w:t>
      </w:r>
      <w:bookmarkStart w:id="810" w:name="_Hlk500849392"/>
      <w:r>
        <w:rPr>
          <w:rFonts w:ascii="宋体" w:hAnsi="宋体" w:cs="宋体"/>
          <w:kern w:val="2"/>
          <w:szCs w:val="24"/>
          <w:u w:val="single"/>
        </w:rPr>
        <w:t xml:space="preserve">        </w:t>
      </w:r>
      <w:r>
        <w:rPr>
          <w:rFonts w:hint="eastAsia" w:ascii="宋体" w:hAnsi="宋体" w:cs="宋体"/>
          <w:kern w:val="2"/>
          <w:szCs w:val="24"/>
        </w:rPr>
        <w:t>（姓名）系</w:t>
      </w:r>
      <w:r>
        <w:rPr>
          <w:rFonts w:ascii="宋体" w:hAnsi="宋体" w:cs="宋体"/>
          <w:kern w:val="2"/>
          <w:szCs w:val="24"/>
        </w:rPr>
        <w:t xml:space="preserve"> </w:t>
      </w:r>
      <w:r>
        <w:rPr>
          <w:rFonts w:ascii="宋体" w:hAnsi="宋体" w:cs="宋体"/>
          <w:kern w:val="2"/>
          <w:szCs w:val="24"/>
          <w:u w:val="single"/>
        </w:rPr>
        <w:t xml:space="preserve">              </w:t>
      </w:r>
      <w:r>
        <w:rPr>
          <w:rFonts w:hint="eastAsia" w:ascii="宋体" w:hAnsi="宋体" w:cs="宋体"/>
          <w:kern w:val="2"/>
          <w:szCs w:val="24"/>
        </w:rPr>
        <w:t>（投标人全称）的法定代表人，现授权委托</w:t>
      </w:r>
      <w:r>
        <w:rPr>
          <w:rFonts w:ascii="宋体" w:hAnsi="宋体" w:cs="宋体"/>
          <w:kern w:val="2"/>
          <w:szCs w:val="24"/>
        </w:rPr>
        <w:t xml:space="preserve"> </w:t>
      </w:r>
      <w:r>
        <w:rPr>
          <w:rFonts w:ascii="宋体" w:hAnsi="宋体" w:cs="宋体"/>
          <w:kern w:val="2"/>
          <w:szCs w:val="24"/>
          <w:u w:val="single"/>
        </w:rPr>
        <w:t xml:space="preserve">       </w:t>
      </w:r>
      <w:r>
        <w:rPr>
          <w:rFonts w:hint="eastAsia" w:ascii="宋体" w:hAnsi="宋体" w:cs="宋体"/>
          <w:kern w:val="2"/>
          <w:szCs w:val="24"/>
        </w:rPr>
        <w:t>（姓名）为我方代理人。代</w:t>
      </w:r>
      <w:bookmarkEnd w:id="810"/>
      <w:r>
        <w:rPr>
          <w:rFonts w:hint="eastAsia" w:ascii="宋体" w:hAnsi="宋体" w:cs="宋体"/>
          <w:kern w:val="2"/>
          <w:szCs w:val="24"/>
        </w:rPr>
        <w:t>理人根据授权，以我方名义签署、澄清、说明、补正、递交、撤回、修改</w:t>
      </w:r>
      <w:r>
        <w:rPr>
          <w:rFonts w:ascii="宋体" w:hAnsi="宋体" w:cs="宋体"/>
          <w:color w:val="000000"/>
          <w:szCs w:val="24"/>
          <w:u w:val="single"/>
        </w:rPr>
        <w:t xml:space="preserve">       </w:t>
      </w:r>
      <w:r>
        <w:rPr>
          <w:rFonts w:hint="eastAsia" w:ascii="宋体" w:hAnsi="宋体" w:cs="宋体"/>
          <w:color w:val="000000"/>
          <w:szCs w:val="24"/>
        </w:rPr>
        <w:t>（项目名称）施工</w:t>
      </w:r>
      <w:r>
        <w:rPr>
          <w:rFonts w:ascii="宋体" w:hAnsi="宋体" w:cs="宋体"/>
          <w:color w:val="000000"/>
          <w:szCs w:val="24"/>
          <w:u w:val="single"/>
        </w:rPr>
        <w:t xml:space="preserve">       </w:t>
      </w:r>
      <w:r>
        <w:rPr>
          <w:rFonts w:hint="eastAsia" w:ascii="宋体" w:hAnsi="宋体" w:cs="宋体"/>
          <w:color w:val="000000"/>
          <w:szCs w:val="24"/>
        </w:rPr>
        <w:t>标段</w:t>
      </w:r>
      <w:r>
        <w:rPr>
          <w:rFonts w:hint="eastAsia" w:ascii="宋体" w:hAnsi="宋体" w:cs="宋体"/>
          <w:kern w:val="2"/>
          <w:szCs w:val="24"/>
        </w:rPr>
        <w:t>投标文件、签订合同和处理有关事宜</w:t>
      </w:r>
      <w:r>
        <w:rPr>
          <w:rFonts w:hint="eastAsia" w:ascii="宋体" w:hAnsi="宋体" w:cs="宋体"/>
        </w:rPr>
        <w:t>（向有关行政监督部门投诉另行授权）</w:t>
      </w:r>
      <w:r>
        <w:rPr>
          <w:rFonts w:hint="eastAsia" w:ascii="宋体" w:hAnsi="宋体" w:cs="宋体"/>
          <w:kern w:val="2"/>
          <w:szCs w:val="24"/>
        </w:rPr>
        <w:t>，其法律后果由我方承担。</w:t>
      </w:r>
    </w:p>
    <w:p>
      <w:pPr>
        <w:pStyle w:val="131"/>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宋体" w:cs="宋体"/>
          <w:kern w:val="2"/>
          <w:szCs w:val="24"/>
        </w:rPr>
      </w:pPr>
      <w:r>
        <w:rPr>
          <w:rFonts w:hint="eastAsia" w:ascii="宋体" w:hAnsi="宋体" w:cs="宋体"/>
          <w:kern w:val="2"/>
          <w:szCs w:val="24"/>
        </w:rPr>
        <w:t>委托期限：自本授权委托书签署之日起至“投标有效期”结束为止。</w:t>
      </w:r>
    </w:p>
    <w:p>
      <w:pPr>
        <w:pStyle w:val="131"/>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宋体" w:cs="宋体"/>
          <w:kern w:val="2"/>
          <w:szCs w:val="24"/>
        </w:rPr>
      </w:pPr>
      <w:r>
        <w:rPr>
          <w:rFonts w:hint="eastAsia" w:ascii="宋体" w:hAnsi="宋体" w:cs="宋体"/>
          <w:kern w:val="2"/>
          <w:szCs w:val="24"/>
        </w:rPr>
        <w:t>代理人无转委托权。</w:t>
      </w:r>
    </w:p>
    <w:p>
      <w:pPr>
        <w:spacing w:line="360" w:lineRule="auto"/>
        <w:ind w:firstLine="480" w:firstLineChars="200"/>
        <w:rPr>
          <w:sz w:val="24"/>
          <w:szCs w:val="24"/>
        </w:rPr>
      </w:pPr>
    </w:p>
    <w:p>
      <w:pPr>
        <w:spacing w:line="360" w:lineRule="auto"/>
        <w:ind w:firstLine="480" w:firstLineChars="200"/>
        <w:rPr>
          <w:sz w:val="24"/>
          <w:szCs w:val="24"/>
        </w:rPr>
      </w:pPr>
    </w:p>
    <w:p>
      <w:pPr>
        <w:pStyle w:val="131"/>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宋体" w:cs="宋体"/>
          <w:kern w:val="2"/>
          <w:szCs w:val="24"/>
        </w:rPr>
      </w:pPr>
    </w:p>
    <w:p>
      <w:pPr>
        <w:pStyle w:val="131"/>
        <w:tabs>
          <w:tab w:val="left" w:pos="0"/>
          <w:tab w:val="clear" w:pos="1843"/>
        </w:tabs>
        <w:autoSpaceDE w:val="0"/>
        <w:autoSpaceDN w:val="0"/>
        <w:adjustRightInd/>
        <w:spacing w:before="0" w:after="0" w:line="360" w:lineRule="auto"/>
        <w:ind w:left="0" w:right="0" w:rightChars="0" w:firstLine="480" w:firstLineChars="200"/>
        <w:jc w:val="left"/>
        <w:textAlignment w:val="bottom"/>
        <w:rPr>
          <w:rFonts w:ascii="宋体" w:cs="宋体"/>
          <w:kern w:val="2"/>
          <w:szCs w:val="24"/>
        </w:rPr>
      </w:pPr>
      <w:r>
        <w:rPr>
          <w:rFonts w:hint="eastAsia" w:ascii="宋体" w:hAnsi="宋体" w:cs="宋体"/>
          <w:kern w:val="2"/>
          <w:szCs w:val="24"/>
        </w:rPr>
        <w:t>附：（</w:t>
      </w:r>
      <w:r>
        <w:rPr>
          <w:rFonts w:ascii="宋体" w:hAnsi="宋体" w:cs="宋体"/>
          <w:kern w:val="2"/>
          <w:szCs w:val="24"/>
        </w:rPr>
        <w:t>1</w:t>
      </w:r>
      <w:r>
        <w:rPr>
          <w:rFonts w:hint="eastAsia" w:ascii="宋体" w:hAnsi="宋体" w:cs="宋体"/>
          <w:kern w:val="2"/>
          <w:szCs w:val="24"/>
        </w:rPr>
        <w:t>）法定代表人身份证扫描件、委托代理人身份证扫描件</w:t>
      </w:r>
    </w:p>
    <w:p>
      <w:pPr>
        <w:pStyle w:val="131"/>
        <w:tabs>
          <w:tab w:val="left" w:pos="0"/>
          <w:tab w:val="clear" w:pos="1843"/>
        </w:tabs>
        <w:autoSpaceDE w:val="0"/>
        <w:autoSpaceDN w:val="0"/>
        <w:adjustRightInd/>
        <w:spacing w:before="0" w:after="0" w:line="360" w:lineRule="auto"/>
        <w:ind w:left="0" w:right="0" w:rightChars="0" w:firstLine="424" w:firstLineChars="177"/>
        <w:jc w:val="left"/>
        <w:textAlignment w:val="bottom"/>
        <w:rPr>
          <w:rFonts w:ascii="宋体" w:cs="宋体"/>
          <w:kern w:val="2"/>
          <w:szCs w:val="24"/>
        </w:rPr>
      </w:pPr>
      <w:r>
        <w:rPr>
          <w:rFonts w:ascii="宋体" w:hAnsi="宋体" w:cs="宋体"/>
          <w:kern w:val="2"/>
          <w:szCs w:val="24"/>
        </w:rPr>
        <w:t xml:space="preserve">   </w:t>
      </w:r>
      <w:r>
        <w:rPr>
          <w:rFonts w:hint="eastAsia" w:ascii="宋体" w:hAnsi="宋体" w:cs="宋体"/>
          <w:kern w:val="2"/>
          <w:szCs w:val="24"/>
        </w:rPr>
        <w:t>（</w:t>
      </w:r>
      <w:r>
        <w:rPr>
          <w:rFonts w:ascii="宋体" w:hAnsi="宋体" w:cs="宋体"/>
          <w:kern w:val="2"/>
          <w:szCs w:val="24"/>
        </w:rPr>
        <w:t>2</w:t>
      </w:r>
      <w:r>
        <w:rPr>
          <w:rFonts w:hint="eastAsia" w:ascii="宋体" w:hAnsi="宋体" w:cs="宋体"/>
          <w:kern w:val="2"/>
          <w:szCs w:val="24"/>
        </w:rPr>
        <w:t>）投标人为委托代理人缴纳的社保缴费证明（提供最近</w:t>
      </w:r>
      <w:r>
        <w:rPr>
          <w:rFonts w:ascii="宋体" w:hAnsi="宋体" w:cs="宋体"/>
          <w:kern w:val="2"/>
          <w:szCs w:val="24"/>
        </w:rPr>
        <w:t xml:space="preserve"> 6 </w:t>
      </w:r>
      <w:r>
        <w:rPr>
          <w:rFonts w:hint="eastAsia" w:ascii="宋体" w:hAnsi="宋体" w:cs="宋体"/>
          <w:kern w:val="2"/>
          <w:szCs w:val="24"/>
        </w:rPr>
        <w:t>个月连续缴费证明）扫描件</w:t>
      </w:r>
    </w:p>
    <w:p>
      <w:pPr>
        <w:spacing w:line="360" w:lineRule="auto"/>
        <w:rPr>
          <w:sz w:val="24"/>
          <w:szCs w:val="24"/>
        </w:rPr>
      </w:pPr>
    </w:p>
    <w:p>
      <w:pPr>
        <w:spacing w:line="360" w:lineRule="auto"/>
        <w:ind w:firstLine="3684" w:firstLineChars="1535"/>
        <w:rPr>
          <w:sz w:val="24"/>
          <w:szCs w:val="24"/>
        </w:rPr>
      </w:pPr>
      <w:r>
        <w:rPr>
          <w:rFonts w:hint="eastAsia"/>
          <w:sz w:val="24"/>
          <w:szCs w:val="24"/>
        </w:rPr>
        <w:t>投</w:t>
      </w:r>
      <w:r>
        <w:rPr>
          <w:sz w:val="24"/>
          <w:szCs w:val="24"/>
        </w:rPr>
        <w:t xml:space="preserve">  </w:t>
      </w:r>
      <w:r>
        <w:rPr>
          <w:rFonts w:hint="eastAsia"/>
          <w:sz w:val="24"/>
          <w:szCs w:val="24"/>
        </w:rPr>
        <w:t>标</w:t>
      </w:r>
      <w:r>
        <w:rPr>
          <w:sz w:val="24"/>
          <w:szCs w:val="24"/>
        </w:rPr>
        <w:t xml:space="preserve">  </w:t>
      </w:r>
      <w:r>
        <w:rPr>
          <w:rFonts w:hint="eastAsia"/>
          <w:sz w:val="24"/>
          <w:szCs w:val="24"/>
        </w:rPr>
        <w:t>人：</w:t>
      </w:r>
      <w:r>
        <w:rPr>
          <w:sz w:val="24"/>
          <w:szCs w:val="24"/>
          <w:u w:val="single"/>
        </w:rPr>
        <w:t xml:space="preserve">             </w:t>
      </w:r>
      <w:r>
        <w:rPr>
          <w:rFonts w:hint="eastAsia"/>
          <w:sz w:val="24"/>
          <w:szCs w:val="24"/>
        </w:rPr>
        <w:t>（盖单位章）</w:t>
      </w:r>
    </w:p>
    <w:p>
      <w:pPr>
        <w:spacing w:line="360" w:lineRule="auto"/>
        <w:ind w:firstLine="3684" w:firstLineChars="1535"/>
        <w:rPr>
          <w:sz w:val="24"/>
          <w:szCs w:val="24"/>
        </w:rPr>
      </w:pPr>
      <w:r>
        <w:rPr>
          <w:rFonts w:hint="eastAsia"/>
          <w:sz w:val="24"/>
          <w:szCs w:val="24"/>
        </w:rPr>
        <w:t>法定代表人：</w:t>
      </w:r>
      <w:r>
        <w:rPr>
          <w:sz w:val="24"/>
          <w:szCs w:val="24"/>
          <w:u w:val="single"/>
        </w:rPr>
        <w:t xml:space="preserve">             </w:t>
      </w:r>
      <w:r>
        <w:rPr>
          <w:rFonts w:hint="eastAsia"/>
          <w:sz w:val="24"/>
          <w:szCs w:val="24"/>
        </w:rPr>
        <w:t>（签</w:t>
      </w:r>
      <w:r>
        <w:rPr>
          <w:sz w:val="24"/>
          <w:szCs w:val="24"/>
        </w:rPr>
        <w:t xml:space="preserve">    </w:t>
      </w:r>
      <w:r>
        <w:rPr>
          <w:rFonts w:hint="eastAsia"/>
          <w:sz w:val="24"/>
          <w:szCs w:val="24"/>
        </w:rPr>
        <w:t>字）</w:t>
      </w:r>
    </w:p>
    <w:p>
      <w:pPr>
        <w:spacing w:line="360" w:lineRule="auto"/>
        <w:ind w:firstLine="3684" w:firstLineChars="1535"/>
        <w:rPr>
          <w:sz w:val="24"/>
          <w:szCs w:val="24"/>
          <w:u w:val="single"/>
        </w:rPr>
      </w:pPr>
      <w:r>
        <w:rPr>
          <w:rFonts w:hint="eastAsia"/>
          <w:sz w:val="24"/>
          <w:szCs w:val="24"/>
        </w:rPr>
        <w:t>身份证号码：</w:t>
      </w:r>
      <w:r>
        <w:rPr>
          <w:sz w:val="24"/>
          <w:szCs w:val="24"/>
          <w:u w:val="single"/>
        </w:rPr>
        <w:t xml:space="preserve">                         </w:t>
      </w:r>
    </w:p>
    <w:p>
      <w:pPr>
        <w:spacing w:line="360" w:lineRule="auto"/>
        <w:ind w:firstLine="3684" w:firstLineChars="1535"/>
        <w:rPr>
          <w:sz w:val="24"/>
          <w:szCs w:val="24"/>
        </w:rPr>
      </w:pPr>
      <w:r>
        <w:rPr>
          <w:rFonts w:hint="eastAsia"/>
          <w:sz w:val="24"/>
          <w:szCs w:val="24"/>
        </w:rPr>
        <w:t>委托代理人：</w:t>
      </w:r>
      <w:r>
        <w:rPr>
          <w:sz w:val="24"/>
          <w:szCs w:val="24"/>
          <w:u w:val="single"/>
        </w:rPr>
        <w:t xml:space="preserve">             </w:t>
      </w:r>
      <w:r>
        <w:rPr>
          <w:rFonts w:hint="eastAsia"/>
          <w:sz w:val="24"/>
          <w:szCs w:val="24"/>
        </w:rPr>
        <w:t>（签</w:t>
      </w:r>
      <w:r>
        <w:rPr>
          <w:sz w:val="24"/>
          <w:szCs w:val="24"/>
        </w:rPr>
        <w:t xml:space="preserve">    </w:t>
      </w:r>
      <w:r>
        <w:rPr>
          <w:rFonts w:hint="eastAsia"/>
          <w:sz w:val="24"/>
          <w:szCs w:val="24"/>
        </w:rPr>
        <w:t>字）</w:t>
      </w:r>
    </w:p>
    <w:p>
      <w:pPr>
        <w:spacing w:line="360" w:lineRule="auto"/>
        <w:ind w:firstLine="3684" w:firstLineChars="1535"/>
        <w:rPr>
          <w:sz w:val="24"/>
          <w:szCs w:val="24"/>
        </w:rPr>
      </w:pPr>
      <w:r>
        <w:rPr>
          <w:rFonts w:hint="eastAsia"/>
          <w:sz w:val="24"/>
          <w:szCs w:val="24"/>
        </w:rPr>
        <w:t>身份证号码：</w:t>
      </w:r>
      <w:r>
        <w:rPr>
          <w:sz w:val="24"/>
          <w:szCs w:val="24"/>
          <w:u w:val="single"/>
        </w:rPr>
        <w:t xml:space="preserve">                         </w:t>
      </w:r>
    </w:p>
    <w:p>
      <w:pPr>
        <w:pStyle w:val="131"/>
        <w:tabs>
          <w:tab w:val="left" w:pos="0"/>
          <w:tab w:val="clear" w:pos="1843"/>
        </w:tabs>
        <w:autoSpaceDE w:val="0"/>
        <w:autoSpaceDN w:val="0"/>
        <w:adjustRightInd/>
        <w:spacing w:before="0" w:after="0" w:line="360" w:lineRule="auto"/>
        <w:ind w:left="485" w:right="0" w:rightChars="0" w:hanging="484" w:hangingChars="202"/>
        <w:jc w:val="center"/>
        <w:textAlignment w:val="bottom"/>
        <w:rPr>
          <w:rFonts w:ascii="宋体" w:cs="宋体"/>
          <w:kern w:val="2"/>
          <w:szCs w:val="24"/>
        </w:rPr>
      </w:pPr>
      <w:r>
        <w:rPr>
          <w:rFonts w:ascii="宋体" w:hAnsi="宋体" w:cs="宋体"/>
          <w:szCs w:val="24"/>
        </w:rPr>
        <w:t xml:space="preserve">                                       </w:t>
      </w:r>
      <w:r>
        <w:rPr>
          <w:rFonts w:ascii="宋体" w:hAnsi="宋体" w:cs="宋体"/>
          <w:szCs w:val="24"/>
          <w:u w:val="single"/>
        </w:rPr>
        <w:t xml:space="preserve">     </w:t>
      </w:r>
      <w:r>
        <w:rPr>
          <w:rFonts w:hint="eastAsia" w:ascii="宋体" w:hAnsi="宋体" w:cs="宋体"/>
          <w:szCs w:val="24"/>
        </w:rPr>
        <w:t>年</w:t>
      </w:r>
      <w:r>
        <w:rPr>
          <w:rFonts w:ascii="宋体" w:hAnsi="宋体" w:cs="宋体"/>
          <w:szCs w:val="24"/>
          <w:u w:val="single"/>
        </w:rPr>
        <w:t xml:space="preserve">    </w:t>
      </w:r>
      <w:r>
        <w:rPr>
          <w:rFonts w:hint="eastAsia" w:ascii="宋体" w:hAnsi="宋体" w:cs="宋体"/>
          <w:szCs w:val="24"/>
        </w:rPr>
        <w:t>月</w:t>
      </w:r>
      <w:r>
        <w:rPr>
          <w:rFonts w:ascii="宋体" w:hAnsi="宋体" w:cs="宋体"/>
          <w:szCs w:val="24"/>
          <w:u w:val="single"/>
        </w:rPr>
        <w:t xml:space="preserve">    </w:t>
      </w:r>
      <w:r>
        <w:rPr>
          <w:rFonts w:hint="eastAsia" w:ascii="宋体" w:hAnsi="宋体" w:cs="宋体"/>
          <w:szCs w:val="24"/>
        </w:rPr>
        <w:t>日</w:t>
      </w:r>
    </w:p>
    <w:p>
      <w:pPr>
        <w:pStyle w:val="131"/>
        <w:tabs>
          <w:tab w:val="left" w:pos="0"/>
          <w:tab w:val="clear" w:pos="1843"/>
        </w:tabs>
        <w:autoSpaceDE w:val="0"/>
        <w:autoSpaceDN w:val="0"/>
        <w:adjustRightInd/>
        <w:spacing w:before="0" w:after="0" w:line="360" w:lineRule="auto"/>
        <w:ind w:left="0" w:right="0" w:rightChars="0" w:firstLine="0"/>
        <w:jc w:val="left"/>
        <w:textAlignment w:val="bottom"/>
        <w:rPr>
          <w:rFonts w:ascii="宋体" w:cs="宋体"/>
          <w:kern w:val="2"/>
          <w:szCs w:val="24"/>
        </w:rPr>
      </w:pPr>
    </w:p>
    <w:p>
      <w:pPr>
        <w:spacing w:line="360" w:lineRule="auto"/>
        <w:rPr>
          <w:sz w:val="24"/>
          <w:szCs w:val="24"/>
        </w:rPr>
      </w:pPr>
      <w:r>
        <w:rPr>
          <w:rFonts w:hint="eastAsia"/>
          <w:sz w:val="24"/>
          <w:szCs w:val="24"/>
        </w:rPr>
        <w:t>注：（</w:t>
      </w:r>
      <w:r>
        <w:rPr>
          <w:sz w:val="24"/>
          <w:szCs w:val="24"/>
        </w:rPr>
        <w:t>1</w:t>
      </w:r>
      <w:r>
        <w:rPr>
          <w:rFonts w:hint="eastAsia"/>
          <w:sz w:val="24"/>
          <w:szCs w:val="24"/>
        </w:rPr>
        <w:t>）法定代表人不亲自投标而委托代理人投标适用。</w:t>
      </w:r>
    </w:p>
    <w:p>
      <w:pPr>
        <w:spacing w:line="360" w:lineRule="auto"/>
        <w:ind w:firstLine="424" w:firstLineChars="177"/>
        <w:rPr>
          <w:sz w:val="24"/>
          <w:szCs w:val="24"/>
        </w:rPr>
      </w:pPr>
      <w:r>
        <w:rPr>
          <w:rFonts w:hint="eastAsia"/>
          <w:sz w:val="24"/>
          <w:szCs w:val="24"/>
        </w:rPr>
        <w:t>（</w:t>
      </w:r>
      <w:r>
        <w:rPr>
          <w:sz w:val="24"/>
          <w:szCs w:val="24"/>
        </w:rPr>
        <w:t>2</w:t>
      </w:r>
      <w:r>
        <w:rPr>
          <w:rFonts w:hint="eastAsia"/>
          <w:sz w:val="24"/>
          <w:szCs w:val="24"/>
        </w:rPr>
        <w:t>）法定代表人委托他人投标的，委托代理人应是投标人本单位（联合体投标为牵头人）的人员。</w:t>
      </w:r>
    </w:p>
    <w:p>
      <w:pPr>
        <w:spacing w:line="360" w:lineRule="auto"/>
        <w:ind w:firstLine="424" w:firstLineChars="177"/>
        <w:rPr>
          <w:sz w:val="24"/>
          <w:szCs w:val="24"/>
        </w:rPr>
      </w:pPr>
      <w:r>
        <w:rPr>
          <w:rFonts w:hint="eastAsia"/>
          <w:sz w:val="24"/>
          <w:szCs w:val="24"/>
        </w:rPr>
        <w:t>（</w:t>
      </w:r>
      <w:r>
        <w:rPr>
          <w:sz w:val="24"/>
          <w:szCs w:val="24"/>
        </w:rPr>
        <w:t>3</w:t>
      </w:r>
      <w:r>
        <w:rPr>
          <w:rFonts w:hint="eastAsia"/>
          <w:sz w:val="24"/>
          <w:szCs w:val="24"/>
        </w:rPr>
        <w:t>）最近</w:t>
      </w:r>
      <w:r>
        <w:rPr>
          <w:sz w:val="24"/>
          <w:szCs w:val="24"/>
        </w:rPr>
        <w:t>6</w:t>
      </w:r>
      <w:r>
        <w:rPr>
          <w:rFonts w:hint="eastAsia"/>
          <w:sz w:val="24"/>
          <w:szCs w:val="24"/>
        </w:rPr>
        <w:t>个月（企业设立不足</w:t>
      </w:r>
      <w:r>
        <w:rPr>
          <w:sz w:val="24"/>
          <w:szCs w:val="24"/>
        </w:rPr>
        <w:t>6</w:t>
      </w:r>
      <w:r>
        <w:rPr>
          <w:rFonts w:hint="eastAsia"/>
          <w:sz w:val="24"/>
          <w:szCs w:val="24"/>
        </w:rPr>
        <w:t>个月，从设立时起，下同）连续缴费的社保证明是指从招标文件开始下载时间的上一个月或上上个月起算，往前推</w:t>
      </w:r>
      <w:r>
        <w:rPr>
          <w:sz w:val="24"/>
          <w:szCs w:val="24"/>
        </w:rPr>
        <w:t>6</w:t>
      </w:r>
      <w:r>
        <w:rPr>
          <w:rFonts w:hint="eastAsia"/>
          <w:sz w:val="24"/>
          <w:szCs w:val="24"/>
        </w:rPr>
        <w:t>个月的连续、不间断的缴费证明</w:t>
      </w:r>
      <w:r>
        <w:rPr>
          <w:rFonts w:hint="eastAsia"/>
        </w:rPr>
        <w:t>，</w:t>
      </w:r>
      <w:r>
        <w:rPr>
          <w:rFonts w:hint="eastAsia"/>
          <w:sz w:val="24"/>
          <w:szCs w:val="24"/>
        </w:rPr>
        <w:t>企业设立不足</w:t>
      </w:r>
      <w:r>
        <w:rPr>
          <w:sz w:val="24"/>
          <w:szCs w:val="24"/>
        </w:rPr>
        <w:t>6</w:t>
      </w:r>
      <w:r>
        <w:rPr>
          <w:rFonts w:hint="eastAsia"/>
          <w:sz w:val="24"/>
          <w:szCs w:val="24"/>
        </w:rPr>
        <w:t>个月的可少于</w:t>
      </w:r>
      <w:r>
        <w:rPr>
          <w:sz w:val="24"/>
          <w:szCs w:val="24"/>
        </w:rPr>
        <w:t>6</w:t>
      </w:r>
      <w:r>
        <w:rPr>
          <w:rFonts w:hint="eastAsia"/>
          <w:sz w:val="24"/>
          <w:szCs w:val="24"/>
        </w:rPr>
        <w:t>个月。</w:t>
      </w:r>
    </w:p>
    <w:p>
      <w:pPr>
        <w:pStyle w:val="3"/>
        <w:spacing w:line="411" w:lineRule="auto"/>
        <w:jc w:val="center"/>
        <w:rPr>
          <w:sz w:val="32"/>
        </w:rPr>
      </w:pPr>
      <w:bookmarkStart w:id="811" w:name="_Toc256000095"/>
    </w:p>
    <w:p>
      <w:pPr>
        <w:pStyle w:val="3"/>
        <w:spacing w:line="411" w:lineRule="auto"/>
        <w:ind w:left="0"/>
        <w:jc w:val="center"/>
        <w:rPr>
          <w:sz w:val="32"/>
        </w:rPr>
      </w:pPr>
      <w:r>
        <w:rPr>
          <w:rFonts w:hint="eastAsia"/>
          <w:sz w:val="32"/>
        </w:rPr>
        <w:t>三、联合体协议书</w:t>
      </w:r>
      <w:bookmarkEnd w:id="811"/>
    </w:p>
    <w:p>
      <w:pPr>
        <w:tabs>
          <w:tab w:val="left" w:pos="684"/>
        </w:tabs>
        <w:spacing w:line="360" w:lineRule="auto"/>
        <w:ind w:firstLine="440" w:firstLineChars="200"/>
        <w:rPr>
          <w:sz w:val="24"/>
          <w:szCs w:val="24"/>
        </w:rPr>
      </w:pPr>
      <w:r>
        <w:t xml:space="preserve">   </w:t>
      </w:r>
      <w:r>
        <w:rPr>
          <w:sz w:val="24"/>
          <w:szCs w:val="24"/>
        </w:rPr>
        <w:t xml:space="preserve"> </w:t>
      </w:r>
      <w:bookmarkStart w:id="812" w:name="_Toc256000096"/>
      <w:r>
        <w:rPr>
          <w:sz w:val="24"/>
          <w:szCs w:val="24"/>
          <w:u w:val="single"/>
        </w:rPr>
        <w:t xml:space="preserve">             </w:t>
      </w:r>
      <w:r>
        <w:rPr>
          <w:rFonts w:hint="eastAsia"/>
          <w:sz w:val="24"/>
          <w:szCs w:val="24"/>
        </w:rPr>
        <w:t>（所有成员单位名称）自愿组成</w:t>
      </w:r>
      <w:r>
        <w:rPr>
          <w:sz w:val="24"/>
          <w:szCs w:val="24"/>
          <w:u w:val="single"/>
        </w:rPr>
        <w:t xml:space="preserve">        </w:t>
      </w:r>
      <w:r>
        <w:rPr>
          <w:rFonts w:hint="eastAsia"/>
          <w:sz w:val="24"/>
          <w:szCs w:val="24"/>
        </w:rPr>
        <w:t>（联合体名称）联合体，共同参加</w:t>
      </w:r>
      <w:r>
        <w:rPr>
          <w:color w:val="000000"/>
          <w:sz w:val="24"/>
          <w:szCs w:val="24"/>
          <w:u w:val="single"/>
        </w:rPr>
        <w:t xml:space="preserve">        </w:t>
      </w:r>
      <w:r>
        <w:rPr>
          <w:rFonts w:hint="eastAsia"/>
          <w:color w:val="000000"/>
          <w:sz w:val="24"/>
          <w:szCs w:val="24"/>
        </w:rPr>
        <w:t>（项目名称）施工</w:t>
      </w:r>
      <w:r>
        <w:rPr>
          <w:color w:val="000000"/>
          <w:sz w:val="24"/>
          <w:szCs w:val="24"/>
          <w:u w:val="single"/>
        </w:rPr>
        <w:t xml:space="preserve">       </w:t>
      </w:r>
      <w:r>
        <w:rPr>
          <w:rFonts w:hint="eastAsia"/>
          <w:color w:val="000000"/>
          <w:sz w:val="24"/>
          <w:szCs w:val="24"/>
        </w:rPr>
        <w:t>标段</w:t>
      </w:r>
      <w:r>
        <w:rPr>
          <w:rFonts w:hint="eastAsia"/>
          <w:sz w:val="24"/>
          <w:szCs w:val="24"/>
        </w:rPr>
        <w:t>投标。现就联合体投标事宜订立如下协议。</w:t>
      </w:r>
    </w:p>
    <w:p>
      <w:pPr>
        <w:tabs>
          <w:tab w:val="left" w:pos="684"/>
        </w:tabs>
        <w:spacing w:line="360" w:lineRule="auto"/>
        <w:ind w:firstLine="398" w:firstLineChars="166"/>
        <w:rPr>
          <w:sz w:val="24"/>
          <w:szCs w:val="24"/>
        </w:rPr>
      </w:pPr>
      <w:r>
        <w:rPr>
          <w:sz w:val="24"/>
          <w:szCs w:val="24"/>
        </w:rPr>
        <w:t>1.</w:t>
      </w:r>
      <w:r>
        <w:rPr>
          <w:sz w:val="24"/>
          <w:szCs w:val="24"/>
          <w:u w:val="single"/>
        </w:rPr>
        <w:t xml:space="preserve">             </w:t>
      </w:r>
      <w:r>
        <w:rPr>
          <w:rFonts w:hint="eastAsia"/>
          <w:sz w:val="24"/>
          <w:szCs w:val="24"/>
        </w:rPr>
        <w:t>（某成员单位名称）为</w:t>
      </w:r>
      <w:r>
        <w:rPr>
          <w:sz w:val="24"/>
          <w:szCs w:val="24"/>
          <w:u w:val="single"/>
        </w:rPr>
        <w:t xml:space="preserve">             </w:t>
      </w:r>
      <w:r>
        <w:rPr>
          <w:rFonts w:hint="eastAsia"/>
          <w:sz w:val="24"/>
          <w:szCs w:val="24"/>
        </w:rPr>
        <w:t>（联合体名称）牵头人。</w:t>
      </w:r>
    </w:p>
    <w:p>
      <w:pPr>
        <w:tabs>
          <w:tab w:val="left" w:pos="684"/>
        </w:tabs>
        <w:spacing w:line="360" w:lineRule="auto"/>
        <w:ind w:firstLine="398" w:firstLineChars="166"/>
        <w:rPr>
          <w:sz w:val="24"/>
          <w:szCs w:val="24"/>
        </w:rPr>
      </w:pPr>
      <w:r>
        <w:rPr>
          <w:sz w:val="24"/>
          <w:szCs w:val="24"/>
        </w:rPr>
        <w:t>2.</w:t>
      </w:r>
      <w:r>
        <w:rPr>
          <w:rFonts w:hint="eastAsia"/>
          <w:sz w:val="24"/>
          <w:szCs w:val="24"/>
        </w:rPr>
        <w:t>联合体各成员授权牵头人代表联合体参加投标活动，签署文件，提交和接收相关的资料、信息及指示，进行合同谈判活动，负责合同实施阶段的组织和协调工作，以及处理与本招标项目有关的一切事宜。</w:t>
      </w:r>
    </w:p>
    <w:p>
      <w:pPr>
        <w:tabs>
          <w:tab w:val="left" w:pos="684"/>
        </w:tabs>
        <w:spacing w:line="360" w:lineRule="auto"/>
        <w:ind w:firstLine="398" w:firstLineChars="166"/>
        <w:rPr>
          <w:sz w:val="24"/>
          <w:szCs w:val="24"/>
        </w:rPr>
      </w:pPr>
      <w:r>
        <w:rPr>
          <w:sz w:val="24"/>
          <w:szCs w:val="24"/>
        </w:rPr>
        <w:t>3.</w:t>
      </w:r>
      <w:r>
        <w:rPr>
          <w:rFonts w:hint="eastAsia"/>
          <w:sz w:val="24"/>
          <w:szCs w:val="24"/>
        </w:rPr>
        <w:t>联合体牵头人在本项目中签署的一切文件和处理的一切事宜，联合体各成员均予以承认。联合体各成员将严格按照招标文件、投标文件和合同的要求全面履行义务，并向招标人承担连带责任。</w:t>
      </w:r>
    </w:p>
    <w:p>
      <w:pPr>
        <w:tabs>
          <w:tab w:val="left" w:pos="8620"/>
        </w:tabs>
        <w:spacing w:line="360" w:lineRule="auto"/>
        <w:ind w:firstLine="398" w:firstLineChars="166"/>
        <w:rPr>
          <w:sz w:val="24"/>
          <w:szCs w:val="24"/>
        </w:rPr>
      </w:pPr>
      <w:r>
        <w:rPr>
          <w:sz w:val="24"/>
          <w:szCs w:val="24"/>
        </w:rPr>
        <w:t xml:space="preserve">4. </w:t>
      </w:r>
      <w:r>
        <w:rPr>
          <w:rFonts w:hint="eastAsia"/>
          <w:sz w:val="24"/>
          <w:szCs w:val="24"/>
        </w:rPr>
        <w:t>联合体各成员单位内部的职责分工如下：</w:t>
      </w:r>
      <w:r>
        <w:rPr>
          <w:sz w:val="24"/>
          <w:szCs w:val="24"/>
          <w:u w:val="single"/>
        </w:rPr>
        <w:t xml:space="preserve">                  </w:t>
      </w:r>
      <w:r>
        <w:rPr>
          <w:rFonts w:hint="eastAsia"/>
          <w:sz w:val="24"/>
          <w:szCs w:val="24"/>
        </w:rPr>
        <w:t>。</w:t>
      </w:r>
    </w:p>
    <w:p>
      <w:pPr>
        <w:tabs>
          <w:tab w:val="left" w:pos="684"/>
        </w:tabs>
        <w:spacing w:line="360" w:lineRule="auto"/>
        <w:ind w:firstLine="398" w:firstLineChars="166"/>
        <w:rPr>
          <w:sz w:val="24"/>
          <w:szCs w:val="24"/>
        </w:rPr>
      </w:pPr>
      <w:r>
        <w:rPr>
          <w:sz w:val="24"/>
          <w:szCs w:val="24"/>
        </w:rPr>
        <w:t>5.</w:t>
      </w:r>
      <w:r>
        <w:rPr>
          <w:rFonts w:hint="eastAsia"/>
          <w:sz w:val="24"/>
          <w:szCs w:val="24"/>
        </w:rPr>
        <w:t>本协议书自所有成员单位法定代表人或其委托代理人签字或盖单位章之日起生效，合同履行完毕后自动失效。</w:t>
      </w:r>
    </w:p>
    <w:p>
      <w:pPr>
        <w:tabs>
          <w:tab w:val="left" w:pos="680"/>
        </w:tabs>
        <w:spacing w:line="360" w:lineRule="auto"/>
        <w:ind w:firstLine="398" w:firstLineChars="166"/>
        <w:rPr>
          <w:sz w:val="24"/>
          <w:szCs w:val="24"/>
        </w:rPr>
      </w:pPr>
      <w:r>
        <w:rPr>
          <w:sz w:val="24"/>
          <w:szCs w:val="24"/>
        </w:rPr>
        <w:t>6.</w:t>
      </w:r>
      <w:r>
        <w:rPr>
          <w:rFonts w:hint="eastAsia"/>
          <w:sz w:val="24"/>
          <w:szCs w:val="24"/>
        </w:rPr>
        <w:t>本协议书一式</w:t>
      </w:r>
      <w:r>
        <w:rPr>
          <w:sz w:val="24"/>
          <w:szCs w:val="24"/>
          <w:u w:val="single"/>
        </w:rPr>
        <w:t xml:space="preserve">     </w:t>
      </w:r>
      <w:r>
        <w:rPr>
          <w:rFonts w:hint="eastAsia"/>
          <w:sz w:val="24"/>
          <w:szCs w:val="24"/>
        </w:rPr>
        <w:t>份，联合体成员和招标人各执一份。</w:t>
      </w:r>
    </w:p>
    <w:p>
      <w:pPr>
        <w:tabs>
          <w:tab w:val="left" w:pos="680"/>
        </w:tabs>
        <w:spacing w:line="360" w:lineRule="auto"/>
        <w:ind w:firstLine="398" w:firstLineChars="166"/>
        <w:rPr>
          <w:sz w:val="24"/>
          <w:szCs w:val="24"/>
        </w:rPr>
      </w:pPr>
      <w:r>
        <w:rPr>
          <w:rFonts w:hint="eastAsia"/>
          <w:sz w:val="24"/>
          <w:szCs w:val="24"/>
        </w:rPr>
        <w:t>注：本协议书由法定代表人签字的，应附法定代表人身份证明扫描件；由委托代理人签字的，应附授权委托书扫描件。</w:t>
      </w:r>
    </w:p>
    <w:p>
      <w:pPr>
        <w:tabs>
          <w:tab w:val="left" w:pos="680"/>
        </w:tabs>
        <w:spacing w:line="360" w:lineRule="auto"/>
        <w:rPr>
          <w:sz w:val="24"/>
          <w:szCs w:val="24"/>
        </w:rPr>
      </w:pPr>
    </w:p>
    <w:p>
      <w:pPr>
        <w:topLinePunct/>
        <w:spacing w:line="360" w:lineRule="auto"/>
        <w:rPr>
          <w:sz w:val="24"/>
          <w:szCs w:val="24"/>
        </w:rPr>
      </w:pPr>
      <w:r>
        <w:rPr>
          <w:rFonts w:hint="eastAsia"/>
          <w:sz w:val="24"/>
          <w:szCs w:val="24"/>
        </w:rPr>
        <w:t>牵头人名称：</w:t>
      </w:r>
      <w:r>
        <w:rPr>
          <w:sz w:val="24"/>
          <w:szCs w:val="24"/>
          <w:u w:val="single"/>
        </w:rPr>
        <w:t xml:space="preserve">                                 </w:t>
      </w:r>
      <w:r>
        <w:rPr>
          <w:rFonts w:hint="eastAsia"/>
          <w:sz w:val="24"/>
          <w:szCs w:val="24"/>
        </w:rPr>
        <w:t>（盖单位章）</w:t>
      </w:r>
    </w:p>
    <w:p>
      <w:pPr>
        <w:topLinePunct/>
        <w:spacing w:line="360" w:lineRule="auto"/>
        <w:rPr>
          <w:sz w:val="24"/>
          <w:szCs w:val="24"/>
        </w:rPr>
      </w:pPr>
      <w:r>
        <w:rPr>
          <w:rFonts w:hint="eastAsia"/>
          <w:sz w:val="24"/>
          <w:szCs w:val="24"/>
        </w:rPr>
        <w:t>法定代表人或其委托代理人：</w:t>
      </w:r>
      <w:r>
        <w:rPr>
          <w:sz w:val="24"/>
          <w:szCs w:val="24"/>
          <w:u w:val="single"/>
        </w:rPr>
        <w:t xml:space="preserve">                       </w:t>
      </w:r>
      <w:r>
        <w:rPr>
          <w:rFonts w:hint="eastAsia"/>
          <w:sz w:val="24"/>
          <w:szCs w:val="24"/>
        </w:rPr>
        <w:t>（签字）</w:t>
      </w:r>
    </w:p>
    <w:p>
      <w:pPr>
        <w:topLinePunct/>
        <w:spacing w:line="360" w:lineRule="auto"/>
        <w:rPr>
          <w:sz w:val="24"/>
          <w:szCs w:val="24"/>
        </w:rPr>
      </w:pPr>
    </w:p>
    <w:p>
      <w:pPr>
        <w:topLinePunct/>
        <w:spacing w:line="360" w:lineRule="auto"/>
        <w:rPr>
          <w:sz w:val="24"/>
          <w:szCs w:val="24"/>
        </w:rPr>
      </w:pPr>
      <w:r>
        <w:rPr>
          <w:rFonts w:hint="eastAsia"/>
          <w:sz w:val="24"/>
          <w:szCs w:val="24"/>
        </w:rPr>
        <w:t>成员一名称：</w:t>
      </w:r>
      <w:r>
        <w:rPr>
          <w:sz w:val="24"/>
          <w:szCs w:val="24"/>
          <w:u w:val="single"/>
        </w:rPr>
        <w:t xml:space="preserve">                                 </w:t>
      </w:r>
      <w:r>
        <w:rPr>
          <w:rFonts w:hint="eastAsia"/>
          <w:sz w:val="24"/>
          <w:szCs w:val="24"/>
        </w:rPr>
        <w:t>（盖单位章）</w:t>
      </w:r>
    </w:p>
    <w:p>
      <w:pPr>
        <w:topLinePunct/>
        <w:spacing w:line="360" w:lineRule="auto"/>
        <w:rPr>
          <w:sz w:val="24"/>
          <w:szCs w:val="24"/>
        </w:rPr>
      </w:pPr>
      <w:r>
        <w:rPr>
          <w:rFonts w:hint="eastAsia"/>
          <w:sz w:val="24"/>
          <w:szCs w:val="24"/>
        </w:rPr>
        <w:t>法定代表人或其委托代理人：</w:t>
      </w:r>
      <w:r>
        <w:rPr>
          <w:sz w:val="24"/>
          <w:szCs w:val="24"/>
          <w:u w:val="single"/>
        </w:rPr>
        <w:t xml:space="preserve">                       </w:t>
      </w:r>
      <w:r>
        <w:rPr>
          <w:rFonts w:hint="eastAsia"/>
          <w:sz w:val="24"/>
          <w:szCs w:val="24"/>
        </w:rPr>
        <w:t>（签字）</w:t>
      </w:r>
    </w:p>
    <w:p>
      <w:pPr>
        <w:topLinePunct/>
        <w:spacing w:line="360" w:lineRule="auto"/>
        <w:rPr>
          <w:sz w:val="24"/>
          <w:szCs w:val="24"/>
        </w:rPr>
      </w:pPr>
      <w:r>
        <w:rPr>
          <w:sz w:val="24"/>
          <w:szCs w:val="24"/>
        </w:rPr>
        <w:t xml:space="preserve"> </w:t>
      </w:r>
    </w:p>
    <w:p>
      <w:pPr>
        <w:topLinePunct/>
        <w:spacing w:line="360" w:lineRule="auto"/>
        <w:rPr>
          <w:sz w:val="24"/>
          <w:szCs w:val="24"/>
        </w:rPr>
      </w:pPr>
      <w:r>
        <w:rPr>
          <w:rFonts w:hint="eastAsia"/>
          <w:sz w:val="24"/>
          <w:szCs w:val="24"/>
        </w:rPr>
        <w:t>成员二名称：</w:t>
      </w:r>
      <w:r>
        <w:rPr>
          <w:sz w:val="24"/>
          <w:szCs w:val="24"/>
          <w:u w:val="single"/>
        </w:rPr>
        <w:t xml:space="preserve">                                 </w:t>
      </w:r>
      <w:r>
        <w:rPr>
          <w:rFonts w:hint="eastAsia"/>
          <w:sz w:val="24"/>
          <w:szCs w:val="24"/>
        </w:rPr>
        <w:t>（盖单位章）</w:t>
      </w:r>
    </w:p>
    <w:p>
      <w:pPr>
        <w:topLinePunct/>
        <w:spacing w:line="360" w:lineRule="auto"/>
        <w:rPr>
          <w:sz w:val="24"/>
          <w:szCs w:val="24"/>
        </w:rPr>
      </w:pPr>
      <w:r>
        <w:rPr>
          <w:rFonts w:hint="eastAsia"/>
          <w:sz w:val="24"/>
          <w:szCs w:val="24"/>
        </w:rPr>
        <w:t>法定代表人或其委托代理人：</w:t>
      </w:r>
      <w:r>
        <w:rPr>
          <w:sz w:val="24"/>
          <w:szCs w:val="24"/>
          <w:u w:val="single"/>
        </w:rPr>
        <w:t xml:space="preserve">                       </w:t>
      </w:r>
      <w:r>
        <w:rPr>
          <w:rFonts w:hint="eastAsia"/>
          <w:sz w:val="24"/>
          <w:szCs w:val="24"/>
        </w:rPr>
        <w:t>（签字）</w:t>
      </w:r>
    </w:p>
    <w:p>
      <w:pPr>
        <w:topLinePunct/>
        <w:spacing w:line="360" w:lineRule="auto"/>
        <w:rPr>
          <w:sz w:val="24"/>
          <w:szCs w:val="24"/>
        </w:rPr>
      </w:pPr>
      <w:r>
        <w:rPr>
          <w:sz w:val="24"/>
          <w:szCs w:val="24"/>
        </w:rPr>
        <w:t xml:space="preserve">                    </w:t>
      </w:r>
      <w:r>
        <w:rPr>
          <w:rFonts w:hint="eastAsia"/>
          <w:sz w:val="24"/>
          <w:szCs w:val="24"/>
        </w:rPr>
        <w:t>……</w:t>
      </w:r>
    </w:p>
    <w:p>
      <w:pPr>
        <w:spacing w:line="360" w:lineRule="auto"/>
        <w:jc w:val="center"/>
        <w:rPr>
          <w:sz w:val="24"/>
          <w:szCs w:val="24"/>
        </w:rPr>
      </w:pP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rPr>
        <w:t>日</w:t>
      </w:r>
    </w:p>
    <w:p>
      <w:pPr>
        <w:spacing w:line="360" w:lineRule="auto"/>
        <w:rPr>
          <w:sz w:val="24"/>
          <w:szCs w:val="24"/>
        </w:rPr>
      </w:pPr>
      <w:r>
        <w:rPr>
          <w:rFonts w:hint="eastAsia"/>
          <w:sz w:val="24"/>
          <w:szCs w:val="24"/>
        </w:rPr>
        <w:t>注：本协议书为联合体投标时适用，非联合体投标时无需填写。</w:t>
      </w:r>
    </w:p>
    <w:bookmarkEnd w:id="812"/>
    <w:p>
      <w:pPr>
        <w:keepNext/>
        <w:keepLines/>
        <w:widowControl/>
        <w:adjustRightInd w:val="0"/>
        <w:snapToGrid w:val="0"/>
        <w:spacing w:before="340" w:after="330" w:line="360" w:lineRule="auto"/>
        <w:jc w:val="center"/>
        <w:outlineLvl w:val="0"/>
        <w:rPr>
          <w:b/>
          <w:kern w:val="44"/>
          <w:sz w:val="32"/>
          <w:szCs w:val="32"/>
        </w:rPr>
      </w:pPr>
      <w:bookmarkStart w:id="813" w:name="_Toc3885_WPSOffice_Level1"/>
      <w:r>
        <w:rPr>
          <w:rFonts w:hint="eastAsia"/>
          <w:b/>
          <w:kern w:val="44"/>
          <w:sz w:val="32"/>
          <w:szCs w:val="32"/>
        </w:rPr>
        <w:t>四、投标保证金</w:t>
      </w:r>
      <w:bookmarkEnd w:id="813"/>
    </w:p>
    <w:p>
      <w:pPr>
        <w:spacing w:line="360" w:lineRule="auto"/>
        <w:rPr>
          <w:sz w:val="24"/>
          <w:szCs w:val="24"/>
        </w:rPr>
      </w:pPr>
      <w:r>
        <w:rPr>
          <w:rFonts w:hint="eastAsia"/>
          <w:sz w:val="24"/>
          <w:szCs w:val="24"/>
        </w:rPr>
        <w:t>投标人必须选择向金融机构申请保函或保单进行投标保证，将生成的保函或保单编入电子投标文件中。</w:t>
      </w:r>
    </w:p>
    <w:p>
      <w:pPr>
        <w:pStyle w:val="3"/>
        <w:spacing w:line="411" w:lineRule="auto"/>
        <w:jc w:val="center"/>
        <w:rPr>
          <w:sz w:val="24"/>
        </w:rPr>
      </w:pPr>
      <w:bookmarkStart w:id="814" w:name="_Toc256000097"/>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line="360" w:lineRule="auto"/>
        <w:ind w:left="2879" w:right="105"/>
        <w:jc w:val="center"/>
        <w:rPr>
          <w:sz w:val="24"/>
          <w:szCs w:val="24"/>
        </w:rPr>
      </w:pPr>
    </w:p>
    <w:p>
      <w:pPr>
        <w:spacing w:line="360" w:lineRule="auto"/>
        <w:ind w:left="2879" w:right="105"/>
        <w:jc w:val="center"/>
        <w:rPr>
          <w:sz w:val="24"/>
          <w:szCs w:val="24"/>
        </w:rPr>
      </w:pPr>
    </w:p>
    <w:p>
      <w:pPr>
        <w:spacing w:line="360" w:lineRule="auto"/>
        <w:ind w:left="2879" w:right="105"/>
        <w:jc w:val="center"/>
        <w:rPr>
          <w:sz w:val="24"/>
          <w:szCs w:val="24"/>
        </w:rPr>
      </w:pPr>
    </w:p>
    <w:p>
      <w:pPr>
        <w:spacing w:line="360" w:lineRule="auto"/>
        <w:ind w:left="2879" w:right="105"/>
        <w:rPr>
          <w:b/>
          <w:bCs/>
          <w:sz w:val="32"/>
          <w:szCs w:val="32"/>
        </w:rPr>
      </w:pPr>
      <w:r>
        <w:rPr>
          <w:rFonts w:hint="eastAsia"/>
          <w:b/>
          <w:bCs/>
          <w:sz w:val="32"/>
          <w:szCs w:val="32"/>
        </w:rPr>
        <w:t>五、已标价工程量清单</w:t>
      </w:r>
      <w:bookmarkEnd w:id="814"/>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6"/>
        <w:rPr>
          <w:rFonts w:ascii="宋体" w:cs="宋体"/>
        </w:rPr>
      </w:pPr>
    </w:p>
    <w:p>
      <w:pPr>
        <w:pStyle w:val="3"/>
        <w:spacing w:line="36" w:lineRule="auto"/>
        <w:ind w:left="0"/>
        <w:jc w:val="center"/>
        <w:rPr>
          <w:kern w:val="2"/>
          <w:sz w:val="21"/>
          <w:szCs w:val="22"/>
          <w:lang w:val="en-US"/>
        </w:rPr>
      </w:pPr>
      <w:bookmarkStart w:id="815" w:name="_Toc256000098"/>
    </w:p>
    <w:p>
      <w:pPr>
        <w:pStyle w:val="3"/>
        <w:spacing w:line="36" w:lineRule="auto"/>
        <w:ind w:left="0"/>
        <w:jc w:val="center"/>
        <w:rPr>
          <w:sz w:val="32"/>
        </w:rPr>
      </w:pPr>
      <w:r>
        <w:rPr>
          <w:rFonts w:hint="eastAsia"/>
          <w:sz w:val="32"/>
        </w:rPr>
        <w:t>六、施工组织设计</w:t>
      </w:r>
      <w:bookmarkEnd w:id="815"/>
    </w:p>
    <w:p>
      <w:pPr>
        <w:spacing w:line="360" w:lineRule="auto"/>
        <w:rPr>
          <w:sz w:val="24"/>
          <w:szCs w:val="24"/>
        </w:rPr>
      </w:pPr>
      <w:r>
        <w:t xml:space="preserve">  </w:t>
      </w:r>
      <w:r>
        <w:rPr>
          <w:sz w:val="24"/>
          <w:szCs w:val="24"/>
        </w:rPr>
        <w:t xml:space="preserve">  1. </w:t>
      </w:r>
      <w:r>
        <w:rPr>
          <w:rFonts w:hint="eastAsia"/>
          <w:sz w:val="24"/>
          <w:szCs w:val="24"/>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pacing w:line="360" w:lineRule="auto"/>
        <w:rPr>
          <w:sz w:val="24"/>
          <w:szCs w:val="24"/>
        </w:rPr>
      </w:pPr>
      <w:r>
        <w:rPr>
          <w:sz w:val="24"/>
          <w:szCs w:val="24"/>
        </w:rPr>
        <w:t xml:space="preserve">    2. </w:t>
      </w:r>
      <w:r>
        <w:rPr>
          <w:rFonts w:hint="eastAsia"/>
          <w:sz w:val="24"/>
          <w:szCs w:val="24"/>
        </w:rPr>
        <w:t>施工组织设计除采用文字表述外可附下列图表，图表及格式要求附后。</w:t>
      </w:r>
    </w:p>
    <w:p>
      <w:pPr>
        <w:spacing w:line="360" w:lineRule="auto"/>
        <w:rPr>
          <w:sz w:val="24"/>
          <w:szCs w:val="24"/>
        </w:rPr>
      </w:pPr>
      <w:r>
        <w:rPr>
          <w:sz w:val="24"/>
          <w:szCs w:val="24"/>
        </w:rPr>
        <w:t xml:space="preserve">      </w:t>
      </w:r>
      <w:r>
        <w:rPr>
          <w:rFonts w:hint="eastAsia"/>
          <w:sz w:val="24"/>
          <w:szCs w:val="24"/>
        </w:rPr>
        <w:t>附表一</w:t>
      </w:r>
      <w:r>
        <w:rPr>
          <w:sz w:val="24"/>
          <w:szCs w:val="24"/>
        </w:rPr>
        <w:t xml:space="preserve"> </w:t>
      </w:r>
      <w:r>
        <w:rPr>
          <w:rFonts w:hint="eastAsia"/>
          <w:sz w:val="24"/>
          <w:szCs w:val="24"/>
        </w:rPr>
        <w:t>拟投入本标段的主要施工设备表</w:t>
      </w:r>
    </w:p>
    <w:p>
      <w:pPr>
        <w:spacing w:line="360" w:lineRule="auto"/>
        <w:rPr>
          <w:sz w:val="24"/>
          <w:szCs w:val="24"/>
        </w:rPr>
      </w:pPr>
      <w:r>
        <w:rPr>
          <w:sz w:val="24"/>
          <w:szCs w:val="24"/>
        </w:rPr>
        <w:t xml:space="preserve">      </w:t>
      </w:r>
      <w:r>
        <w:rPr>
          <w:rFonts w:hint="eastAsia"/>
          <w:sz w:val="24"/>
          <w:szCs w:val="24"/>
        </w:rPr>
        <w:t>附表二</w:t>
      </w:r>
      <w:r>
        <w:rPr>
          <w:sz w:val="24"/>
          <w:szCs w:val="24"/>
        </w:rPr>
        <w:t xml:space="preserve"> </w:t>
      </w:r>
      <w:r>
        <w:rPr>
          <w:rFonts w:hint="eastAsia"/>
          <w:sz w:val="24"/>
          <w:szCs w:val="24"/>
        </w:rPr>
        <w:t>拟配备本标段的试验和检测仪器设备表</w:t>
      </w:r>
    </w:p>
    <w:p>
      <w:pPr>
        <w:spacing w:line="360" w:lineRule="auto"/>
        <w:rPr>
          <w:sz w:val="24"/>
          <w:szCs w:val="24"/>
        </w:rPr>
      </w:pPr>
      <w:r>
        <w:rPr>
          <w:sz w:val="24"/>
          <w:szCs w:val="24"/>
        </w:rPr>
        <w:t xml:space="preserve">      </w:t>
      </w:r>
      <w:r>
        <w:rPr>
          <w:rFonts w:hint="eastAsia"/>
          <w:sz w:val="24"/>
          <w:szCs w:val="24"/>
        </w:rPr>
        <w:t>附表三</w:t>
      </w:r>
      <w:r>
        <w:rPr>
          <w:sz w:val="24"/>
          <w:szCs w:val="24"/>
        </w:rPr>
        <w:t xml:space="preserve"> </w:t>
      </w:r>
      <w:r>
        <w:rPr>
          <w:rFonts w:hint="eastAsia"/>
          <w:sz w:val="24"/>
          <w:szCs w:val="24"/>
        </w:rPr>
        <w:t>劳动力计划表</w:t>
      </w:r>
    </w:p>
    <w:p>
      <w:pPr>
        <w:spacing w:line="360" w:lineRule="auto"/>
        <w:rPr>
          <w:sz w:val="24"/>
          <w:szCs w:val="24"/>
        </w:rPr>
      </w:pPr>
      <w:r>
        <w:rPr>
          <w:sz w:val="24"/>
          <w:szCs w:val="24"/>
        </w:rPr>
        <w:t xml:space="preserve">      </w:t>
      </w:r>
      <w:r>
        <w:rPr>
          <w:rFonts w:hint="eastAsia"/>
          <w:sz w:val="24"/>
          <w:szCs w:val="24"/>
        </w:rPr>
        <w:t>附表四</w:t>
      </w:r>
      <w:r>
        <w:rPr>
          <w:sz w:val="24"/>
          <w:szCs w:val="24"/>
        </w:rPr>
        <w:t xml:space="preserve"> </w:t>
      </w:r>
      <w:r>
        <w:rPr>
          <w:rFonts w:hint="eastAsia"/>
          <w:sz w:val="24"/>
          <w:szCs w:val="24"/>
        </w:rPr>
        <w:t>计划开、竣工日期和施工进度网络图</w:t>
      </w:r>
    </w:p>
    <w:p>
      <w:pPr>
        <w:spacing w:line="360" w:lineRule="auto"/>
        <w:rPr>
          <w:sz w:val="24"/>
          <w:szCs w:val="24"/>
        </w:rPr>
      </w:pPr>
      <w:r>
        <w:rPr>
          <w:sz w:val="24"/>
          <w:szCs w:val="24"/>
        </w:rPr>
        <w:t xml:space="preserve">      </w:t>
      </w:r>
      <w:r>
        <w:rPr>
          <w:rFonts w:hint="eastAsia"/>
          <w:sz w:val="24"/>
          <w:szCs w:val="24"/>
        </w:rPr>
        <w:t>附表五</w:t>
      </w:r>
      <w:r>
        <w:rPr>
          <w:sz w:val="24"/>
          <w:szCs w:val="24"/>
        </w:rPr>
        <w:t xml:space="preserve"> </w:t>
      </w:r>
      <w:r>
        <w:rPr>
          <w:rFonts w:hint="eastAsia"/>
          <w:sz w:val="24"/>
          <w:szCs w:val="24"/>
        </w:rPr>
        <w:t>施工总平面图</w:t>
      </w:r>
    </w:p>
    <w:p>
      <w:pPr>
        <w:spacing w:line="360" w:lineRule="auto"/>
        <w:rPr>
          <w:sz w:val="24"/>
          <w:szCs w:val="24"/>
        </w:rPr>
      </w:pPr>
      <w:r>
        <w:rPr>
          <w:sz w:val="24"/>
          <w:szCs w:val="24"/>
        </w:rPr>
        <w:t xml:space="preserve">      </w:t>
      </w:r>
      <w:r>
        <w:rPr>
          <w:rFonts w:hint="eastAsia"/>
          <w:sz w:val="24"/>
          <w:szCs w:val="24"/>
        </w:rPr>
        <w:t>附表六</w:t>
      </w:r>
      <w:r>
        <w:rPr>
          <w:sz w:val="24"/>
          <w:szCs w:val="24"/>
        </w:rPr>
        <w:t xml:space="preserve"> </w:t>
      </w:r>
      <w:r>
        <w:rPr>
          <w:rFonts w:hint="eastAsia"/>
          <w:sz w:val="24"/>
          <w:szCs w:val="24"/>
        </w:rPr>
        <w:t>临时用地表</w:t>
      </w:r>
    </w:p>
    <w:p>
      <w:pPr>
        <w:spacing w:line="360" w:lineRule="auto"/>
        <w:rPr>
          <w:sz w:val="24"/>
          <w:szCs w:val="24"/>
        </w:rPr>
      </w:pPr>
      <w:r>
        <w:rPr>
          <w:sz w:val="24"/>
          <w:szCs w:val="24"/>
        </w:rPr>
        <w:t xml:space="preserve">    </w:t>
      </w:r>
    </w:p>
    <w:p>
      <w:pPr>
        <w:spacing w:line="360" w:lineRule="auto"/>
        <w:rPr>
          <w:sz w:val="24"/>
          <w:szCs w:val="24"/>
        </w:rPr>
      </w:pPr>
    </w:p>
    <w:p>
      <w:pPr>
        <w:widowControl/>
        <w:rPr>
          <w:b/>
          <w:bCs/>
          <w:sz w:val="32"/>
          <w:szCs w:val="32"/>
        </w:rPr>
      </w:pPr>
      <w:r>
        <w:rPr>
          <w:sz w:val="24"/>
          <w:szCs w:val="24"/>
        </w:rPr>
        <w:br w:type="page"/>
      </w:r>
      <w:bookmarkStart w:id="816" w:name="_Toc256000099"/>
      <w:r>
        <w:rPr>
          <w:rFonts w:hint="eastAsia"/>
          <w:b/>
          <w:bCs/>
          <w:sz w:val="32"/>
          <w:szCs w:val="32"/>
        </w:rPr>
        <w:t>附表一：拟投入本标段的主要施工设备表</w:t>
      </w:r>
      <w:bookmarkEnd w:id="816"/>
    </w:p>
    <w:p>
      <w:pPr>
        <w:widowControl/>
        <w:rPr>
          <w:b/>
          <w:bCs/>
          <w:sz w:val="32"/>
          <w:szCs w:val="32"/>
        </w:rPr>
      </w:pPr>
    </w:p>
    <w:tbl>
      <w:tblPr>
        <w:tblStyle w:val="3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9"/>
        <w:gridCol w:w="701"/>
        <w:gridCol w:w="1110"/>
        <w:gridCol w:w="740"/>
        <w:gridCol w:w="922"/>
        <w:gridCol w:w="740"/>
        <w:gridCol w:w="1293"/>
        <w:gridCol w:w="793"/>
        <w:gridCol w:w="1049"/>
        <w:gridCol w:w="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6" w:hRule="atLeast"/>
          <w:jc w:val="center"/>
        </w:trPr>
        <w:tc>
          <w:tcPr>
            <w:tcW w:w="709" w:type="dxa"/>
            <w:vAlign w:val="center"/>
          </w:tcPr>
          <w:p>
            <w:pPr>
              <w:spacing w:line="360" w:lineRule="auto"/>
              <w:jc w:val="center"/>
              <w:rPr>
                <w:b/>
                <w:sz w:val="24"/>
                <w:szCs w:val="24"/>
              </w:rPr>
            </w:pPr>
            <w:r>
              <w:rPr>
                <w:rFonts w:hint="eastAsia"/>
                <w:b/>
                <w:sz w:val="24"/>
                <w:szCs w:val="24"/>
              </w:rPr>
              <w:t>序号</w:t>
            </w:r>
          </w:p>
        </w:tc>
        <w:tc>
          <w:tcPr>
            <w:tcW w:w="701" w:type="dxa"/>
            <w:vAlign w:val="center"/>
          </w:tcPr>
          <w:p>
            <w:pPr>
              <w:spacing w:line="360" w:lineRule="auto"/>
              <w:jc w:val="center"/>
              <w:rPr>
                <w:b/>
                <w:sz w:val="24"/>
                <w:szCs w:val="24"/>
              </w:rPr>
            </w:pPr>
            <w:r>
              <w:rPr>
                <w:rFonts w:hint="eastAsia"/>
                <w:b/>
                <w:sz w:val="24"/>
                <w:szCs w:val="24"/>
              </w:rPr>
              <w:t>设备</w:t>
            </w:r>
          </w:p>
          <w:p>
            <w:pPr>
              <w:spacing w:line="360" w:lineRule="auto"/>
              <w:jc w:val="center"/>
              <w:rPr>
                <w:b/>
                <w:sz w:val="24"/>
                <w:szCs w:val="24"/>
              </w:rPr>
            </w:pPr>
            <w:r>
              <w:rPr>
                <w:rFonts w:hint="eastAsia"/>
                <w:b/>
                <w:sz w:val="24"/>
                <w:szCs w:val="24"/>
              </w:rPr>
              <w:t>名称</w:t>
            </w:r>
          </w:p>
        </w:tc>
        <w:tc>
          <w:tcPr>
            <w:tcW w:w="1110" w:type="dxa"/>
            <w:vAlign w:val="center"/>
          </w:tcPr>
          <w:p>
            <w:pPr>
              <w:spacing w:line="360" w:lineRule="auto"/>
              <w:jc w:val="center"/>
              <w:rPr>
                <w:b/>
                <w:sz w:val="24"/>
                <w:szCs w:val="24"/>
              </w:rPr>
            </w:pPr>
            <w:r>
              <w:rPr>
                <w:rFonts w:hint="eastAsia"/>
                <w:b/>
                <w:sz w:val="24"/>
                <w:szCs w:val="24"/>
              </w:rPr>
              <w:t>型号</w:t>
            </w:r>
          </w:p>
          <w:p>
            <w:pPr>
              <w:spacing w:line="360" w:lineRule="auto"/>
              <w:jc w:val="center"/>
              <w:rPr>
                <w:b/>
                <w:sz w:val="24"/>
                <w:szCs w:val="24"/>
              </w:rPr>
            </w:pPr>
            <w:r>
              <w:rPr>
                <w:rFonts w:hint="eastAsia"/>
                <w:b/>
                <w:sz w:val="24"/>
                <w:szCs w:val="24"/>
              </w:rPr>
              <w:t>规格</w:t>
            </w:r>
          </w:p>
        </w:tc>
        <w:tc>
          <w:tcPr>
            <w:tcW w:w="740" w:type="dxa"/>
            <w:vAlign w:val="center"/>
          </w:tcPr>
          <w:p>
            <w:pPr>
              <w:spacing w:line="360" w:lineRule="auto"/>
              <w:jc w:val="center"/>
              <w:rPr>
                <w:b/>
                <w:sz w:val="24"/>
                <w:szCs w:val="24"/>
              </w:rPr>
            </w:pPr>
            <w:r>
              <w:rPr>
                <w:rFonts w:hint="eastAsia"/>
                <w:b/>
                <w:sz w:val="24"/>
                <w:szCs w:val="24"/>
              </w:rPr>
              <w:t>数量</w:t>
            </w:r>
          </w:p>
        </w:tc>
        <w:tc>
          <w:tcPr>
            <w:tcW w:w="922" w:type="dxa"/>
            <w:vAlign w:val="center"/>
          </w:tcPr>
          <w:p>
            <w:pPr>
              <w:spacing w:line="360" w:lineRule="auto"/>
              <w:jc w:val="center"/>
              <w:rPr>
                <w:b/>
                <w:sz w:val="24"/>
                <w:szCs w:val="24"/>
              </w:rPr>
            </w:pPr>
            <w:r>
              <w:rPr>
                <w:rFonts w:hint="eastAsia"/>
                <w:b/>
                <w:sz w:val="24"/>
                <w:szCs w:val="24"/>
              </w:rPr>
              <w:t>国别</w:t>
            </w:r>
          </w:p>
          <w:p>
            <w:pPr>
              <w:spacing w:line="360" w:lineRule="auto"/>
              <w:jc w:val="center"/>
              <w:rPr>
                <w:b/>
                <w:sz w:val="24"/>
                <w:szCs w:val="24"/>
              </w:rPr>
            </w:pPr>
            <w:r>
              <w:rPr>
                <w:rFonts w:hint="eastAsia"/>
                <w:b/>
                <w:sz w:val="24"/>
                <w:szCs w:val="24"/>
              </w:rPr>
              <w:t>产地</w:t>
            </w:r>
          </w:p>
        </w:tc>
        <w:tc>
          <w:tcPr>
            <w:tcW w:w="740" w:type="dxa"/>
            <w:vAlign w:val="center"/>
          </w:tcPr>
          <w:p>
            <w:pPr>
              <w:spacing w:line="360" w:lineRule="auto"/>
              <w:jc w:val="center"/>
              <w:rPr>
                <w:b/>
                <w:sz w:val="24"/>
                <w:szCs w:val="24"/>
              </w:rPr>
            </w:pPr>
            <w:r>
              <w:rPr>
                <w:rFonts w:hint="eastAsia"/>
                <w:b/>
                <w:sz w:val="24"/>
                <w:szCs w:val="24"/>
              </w:rPr>
              <w:t>制造</w:t>
            </w:r>
          </w:p>
          <w:p>
            <w:pPr>
              <w:spacing w:line="360" w:lineRule="auto"/>
              <w:jc w:val="center"/>
              <w:rPr>
                <w:b/>
                <w:sz w:val="24"/>
                <w:szCs w:val="24"/>
              </w:rPr>
            </w:pPr>
            <w:r>
              <w:rPr>
                <w:rFonts w:hint="eastAsia"/>
                <w:b/>
                <w:sz w:val="24"/>
                <w:szCs w:val="24"/>
              </w:rPr>
              <w:t>年份</w:t>
            </w:r>
          </w:p>
        </w:tc>
        <w:tc>
          <w:tcPr>
            <w:tcW w:w="1293" w:type="dxa"/>
            <w:vAlign w:val="center"/>
          </w:tcPr>
          <w:p>
            <w:pPr>
              <w:spacing w:line="360" w:lineRule="auto"/>
              <w:jc w:val="center"/>
              <w:rPr>
                <w:b/>
                <w:sz w:val="24"/>
                <w:szCs w:val="24"/>
              </w:rPr>
            </w:pPr>
            <w:r>
              <w:rPr>
                <w:rFonts w:hint="eastAsia"/>
                <w:b/>
                <w:sz w:val="24"/>
                <w:szCs w:val="24"/>
              </w:rPr>
              <w:t>额定功率</w:t>
            </w:r>
          </w:p>
          <w:p>
            <w:pPr>
              <w:spacing w:line="360" w:lineRule="auto"/>
              <w:jc w:val="center"/>
              <w:rPr>
                <w:b/>
                <w:sz w:val="24"/>
                <w:szCs w:val="24"/>
              </w:rPr>
            </w:pPr>
            <w:r>
              <w:rPr>
                <w:rFonts w:hint="eastAsia"/>
                <w:b/>
                <w:sz w:val="24"/>
                <w:szCs w:val="24"/>
              </w:rPr>
              <w:t>（</w:t>
            </w:r>
            <w:r>
              <w:rPr>
                <w:b/>
                <w:sz w:val="24"/>
                <w:szCs w:val="24"/>
              </w:rPr>
              <w:t>KW</w:t>
            </w:r>
            <w:r>
              <w:rPr>
                <w:rFonts w:hint="eastAsia"/>
                <w:b/>
                <w:sz w:val="24"/>
                <w:szCs w:val="24"/>
              </w:rPr>
              <w:t>）</w:t>
            </w:r>
          </w:p>
        </w:tc>
        <w:tc>
          <w:tcPr>
            <w:tcW w:w="793" w:type="dxa"/>
            <w:vAlign w:val="center"/>
          </w:tcPr>
          <w:p>
            <w:pPr>
              <w:spacing w:line="360" w:lineRule="auto"/>
              <w:jc w:val="center"/>
              <w:rPr>
                <w:b/>
                <w:sz w:val="24"/>
                <w:szCs w:val="24"/>
              </w:rPr>
            </w:pPr>
            <w:r>
              <w:rPr>
                <w:rFonts w:hint="eastAsia"/>
                <w:b/>
                <w:sz w:val="24"/>
                <w:szCs w:val="24"/>
              </w:rPr>
              <w:t>生产</w:t>
            </w:r>
          </w:p>
          <w:p>
            <w:pPr>
              <w:spacing w:line="360" w:lineRule="auto"/>
              <w:jc w:val="center"/>
              <w:rPr>
                <w:b/>
                <w:sz w:val="24"/>
                <w:szCs w:val="24"/>
              </w:rPr>
            </w:pPr>
            <w:r>
              <w:rPr>
                <w:rFonts w:hint="eastAsia"/>
                <w:b/>
                <w:sz w:val="24"/>
                <w:szCs w:val="24"/>
              </w:rPr>
              <w:t>能力</w:t>
            </w:r>
          </w:p>
        </w:tc>
        <w:tc>
          <w:tcPr>
            <w:tcW w:w="1049" w:type="dxa"/>
            <w:vAlign w:val="center"/>
          </w:tcPr>
          <w:p>
            <w:pPr>
              <w:spacing w:line="360" w:lineRule="auto"/>
              <w:jc w:val="center"/>
              <w:rPr>
                <w:b/>
                <w:sz w:val="24"/>
                <w:szCs w:val="24"/>
              </w:rPr>
            </w:pPr>
            <w:r>
              <w:rPr>
                <w:rFonts w:hint="eastAsia"/>
                <w:b/>
                <w:sz w:val="24"/>
                <w:szCs w:val="24"/>
              </w:rPr>
              <w:t>用于施工部位</w:t>
            </w:r>
          </w:p>
        </w:tc>
        <w:tc>
          <w:tcPr>
            <w:tcW w:w="701" w:type="dxa"/>
            <w:vAlign w:val="center"/>
          </w:tcPr>
          <w:p>
            <w:pPr>
              <w:spacing w:line="360" w:lineRule="auto"/>
              <w:jc w:val="center"/>
              <w:rPr>
                <w:b/>
                <w:sz w:val="24"/>
                <w:szCs w:val="24"/>
              </w:rPr>
            </w:pPr>
            <w:r>
              <w:rPr>
                <w:rFonts w:hint="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709" w:type="dxa"/>
            <w:vAlign w:val="center"/>
          </w:tcPr>
          <w:p>
            <w:pPr>
              <w:spacing w:line="360" w:lineRule="auto"/>
              <w:jc w:val="center"/>
              <w:rPr>
                <w:sz w:val="27"/>
              </w:rPr>
            </w:pPr>
          </w:p>
        </w:tc>
        <w:tc>
          <w:tcPr>
            <w:tcW w:w="701" w:type="dxa"/>
            <w:vAlign w:val="center"/>
          </w:tcPr>
          <w:p>
            <w:pPr>
              <w:spacing w:line="360" w:lineRule="auto"/>
              <w:jc w:val="center"/>
              <w:rPr>
                <w:sz w:val="27"/>
              </w:rPr>
            </w:pPr>
          </w:p>
        </w:tc>
        <w:tc>
          <w:tcPr>
            <w:tcW w:w="1110"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922"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1293" w:type="dxa"/>
            <w:vAlign w:val="center"/>
          </w:tcPr>
          <w:p>
            <w:pPr>
              <w:spacing w:line="360" w:lineRule="auto"/>
              <w:jc w:val="center"/>
              <w:rPr>
                <w:sz w:val="27"/>
              </w:rPr>
            </w:pPr>
          </w:p>
        </w:tc>
        <w:tc>
          <w:tcPr>
            <w:tcW w:w="793" w:type="dxa"/>
            <w:vAlign w:val="center"/>
          </w:tcPr>
          <w:p>
            <w:pPr>
              <w:spacing w:line="360" w:lineRule="auto"/>
              <w:jc w:val="center"/>
              <w:rPr>
                <w:sz w:val="27"/>
              </w:rPr>
            </w:pPr>
          </w:p>
        </w:tc>
        <w:tc>
          <w:tcPr>
            <w:tcW w:w="1049" w:type="dxa"/>
            <w:vAlign w:val="center"/>
          </w:tcPr>
          <w:p>
            <w:pPr>
              <w:spacing w:line="360" w:lineRule="auto"/>
              <w:jc w:val="center"/>
              <w:rPr>
                <w:sz w:val="27"/>
              </w:rPr>
            </w:pPr>
          </w:p>
        </w:tc>
        <w:tc>
          <w:tcPr>
            <w:tcW w:w="701" w:type="dxa"/>
            <w:vAlign w:val="center"/>
          </w:tcPr>
          <w:p>
            <w:pPr>
              <w:spacing w:line="360" w:lineRule="auto"/>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709" w:type="dxa"/>
            <w:vAlign w:val="center"/>
          </w:tcPr>
          <w:p>
            <w:pPr>
              <w:spacing w:line="360" w:lineRule="auto"/>
              <w:jc w:val="center"/>
              <w:rPr>
                <w:sz w:val="27"/>
              </w:rPr>
            </w:pPr>
          </w:p>
        </w:tc>
        <w:tc>
          <w:tcPr>
            <w:tcW w:w="701" w:type="dxa"/>
            <w:vAlign w:val="center"/>
          </w:tcPr>
          <w:p>
            <w:pPr>
              <w:spacing w:line="360" w:lineRule="auto"/>
              <w:jc w:val="center"/>
              <w:rPr>
                <w:sz w:val="27"/>
              </w:rPr>
            </w:pPr>
          </w:p>
        </w:tc>
        <w:tc>
          <w:tcPr>
            <w:tcW w:w="1110"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922"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1293" w:type="dxa"/>
            <w:vAlign w:val="center"/>
          </w:tcPr>
          <w:p>
            <w:pPr>
              <w:spacing w:line="360" w:lineRule="auto"/>
              <w:jc w:val="center"/>
              <w:rPr>
                <w:sz w:val="27"/>
              </w:rPr>
            </w:pPr>
          </w:p>
        </w:tc>
        <w:tc>
          <w:tcPr>
            <w:tcW w:w="793" w:type="dxa"/>
            <w:vAlign w:val="center"/>
          </w:tcPr>
          <w:p>
            <w:pPr>
              <w:spacing w:line="360" w:lineRule="auto"/>
              <w:jc w:val="center"/>
              <w:rPr>
                <w:sz w:val="27"/>
              </w:rPr>
            </w:pPr>
          </w:p>
        </w:tc>
        <w:tc>
          <w:tcPr>
            <w:tcW w:w="1049" w:type="dxa"/>
            <w:vAlign w:val="center"/>
          </w:tcPr>
          <w:p>
            <w:pPr>
              <w:spacing w:line="360" w:lineRule="auto"/>
              <w:jc w:val="center"/>
              <w:rPr>
                <w:sz w:val="27"/>
              </w:rPr>
            </w:pPr>
          </w:p>
        </w:tc>
        <w:tc>
          <w:tcPr>
            <w:tcW w:w="701" w:type="dxa"/>
            <w:vAlign w:val="center"/>
          </w:tcPr>
          <w:p>
            <w:pPr>
              <w:spacing w:line="360" w:lineRule="auto"/>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709" w:type="dxa"/>
            <w:vAlign w:val="center"/>
          </w:tcPr>
          <w:p>
            <w:pPr>
              <w:spacing w:line="360" w:lineRule="auto"/>
              <w:jc w:val="center"/>
              <w:rPr>
                <w:sz w:val="27"/>
              </w:rPr>
            </w:pPr>
          </w:p>
        </w:tc>
        <w:tc>
          <w:tcPr>
            <w:tcW w:w="701" w:type="dxa"/>
            <w:vAlign w:val="center"/>
          </w:tcPr>
          <w:p>
            <w:pPr>
              <w:spacing w:line="360" w:lineRule="auto"/>
              <w:jc w:val="center"/>
              <w:rPr>
                <w:sz w:val="27"/>
              </w:rPr>
            </w:pPr>
          </w:p>
        </w:tc>
        <w:tc>
          <w:tcPr>
            <w:tcW w:w="1110"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922"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1293" w:type="dxa"/>
            <w:vAlign w:val="center"/>
          </w:tcPr>
          <w:p>
            <w:pPr>
              <w:spacing w:line="360" w:lineRule="auto"/>
              <w:jc w:val="center"/>
              <w:rPr>
                <w:sz w:val="27"/>
              </w:rPr>
            </w:pPr>
          </w:p>
        </w:tc>
        <w:tc>
          <w:tcPr>
            <w:tcW w:w="793" w:type="dxa"/>
            <w:vAlign w:val="center"/>
          </w:tcPr>
          <w:p>
            <w:pPr>
              <w:spacing w:line="360" w:lineRule="auto"/>
              <w:jc w:val="center"/>
              <w:rPr>
                <w:sz w:val="27"/>
              </w:rPr>
            </w:pPr>
          </w:p>
        </w:tc>
        <w:tc>
          <w:tcPr>
            <w:tcW w:w="1049" w:type="dxa"/>
            <w:vAlign w:val="center"/>
          </w:tcPr>
          <w:p>
            <w:pPr>
              <w:spacing w:line="360" w:lineRule="auto"/>
              <w:jc w:val="center"/>
              <w:rPr>
                <w:sz w:val="27"/>
              </w:rPr>
            </w:pPr>
          </w:p>
        </w:tc>
        <w:tc>
          <w:tcPr>
            <w:tcW w:w="701" w:type="dxa"/>
            <w:vAlign w:val="center"/>
          </w:tcPr>
          <w:p>
            <w:pPr>
              <w:spacing w:line="360" w:lineRule="auto"/>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709" w:type="dxa"/>
            <w:vAlign w:val="center"/>
          </w:tcPr>
          <w:p>
            <w:pPr>
              <w:spacing w:line="360" w:lineRule="auto"/>
              <w:jc w:val="center"/>
              <w:rPr>
                <w:sz w:val="27"/>
              </w:rPr>
            </w:pPr>
          </w:p>
        </w:tc>
        <w:tc>
          <w:tcPr>
            <w:tcW w:w="701" w:type="dxa"/>
            <w:vAlign w:val="center"/>
          </w:tcPr>
          <w:p>
            <w:pPr>
              <w:spacing w:line="360" w:lineRule="auto"/>
              <w:jc w:val="center"/>
              <w:rPr>
                <w:sz w:val="27"/>
              </w:rPr>
            </w:pPr>
          </w:p>
        </w:tc>
        <w:tc>
          <w:tcPr>
            <w:tcW w:w="1110"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922"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1293" w:type="dxa"/>
            <w:vAlign w:val="center"/>
          </w:tcPr>
          <w:p>
            <w:pPr>
              <w:spacing w:line="360" w:lineRule="auto"/>
              <w:jc w:val="center"/>
              <w:rPr>
                <w:sz w:val="27"/>
              </w:rPr>
            </w:pPr>
          </w:p>
        </w:tc>
        <w:tc>
          <w:tcPr>
            <w:tcW w:w="793" w:type="dxa"/>
            <w:vAlign w:val="center"/>
          </w:tcPr>
          <w:p>
            <w:pPr>
              <w:spacing w:line="360" w:lineRule="auto"/>
              <w:jc w:val="center"/>
              <w:rPr>
                <w:sz w:val="27"/>
              </w:rPr>
            </w:pPr>
          </w:p>
        </w:tc>
        <w:tc>
          <w:tcPr>
            <w:tcW w:w="1049" w:type="dxa"/>
            <w:vAlign w:val="center"/>
          </w:tcPr>
          <w:p>
            <w:pPr>
              <w:spacing w:line="360" w:lineRule="auto"/>
              <w:jc w:val="center"/>
              <w:rPr>
                <w:sz w:val="27"/>
              </w:rPr>
            </w:pPr>
          </w:p>
        </w:tc>
        <w:tc>
          <w:tcPr>
            <w:tcW w:w="701" w:type="dxa"/>
            <w:vAlign w:val="center"/>
          </w:tcPr>
          <w:p>
            <w:pPr>
              <w:spacing w:line="360" w:lineRule="auto"/>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709" w:type="dxa"/>
            <w:vAlign w:val="center"/>
          </w:tcPr>
          <w:p>
            <w:pPr>
              <w:spacing w:line="360" w:lineRule="auto"/>
              <w:jc w:val="center"/>
              <w:rPr>
                <w:sz w:val="27"/>
              </w:rPr>
            </w:pPr>
          </w:p>
        </w:tc>
        <w:tc>
          <w:tcPr>
            <w:tcW w:w="701" w:type="dxa"/>
            <w:vAlign w:val="center"/>
          </w:tcPr>
          <w:p>
            <w:pPr>
              <w:spacing w:line="360" w:lineRule="auto"/>
              <w:jc w:val="center"/>
              <w:rPr>
                <w:sz w:val="27"/>
              </w:rPr>
            </w:pPr>
          </w:p>
        </w:tc>
        <w:tc>
          <w:tcPr>
            <w:tcW w:w="1110"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922"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1293" w:type="dxa"/>
            <w:vAlign w:val="center"/>
          </w:tcPr>
          <w:p>
            <w:pPr>
              <w:spacing w:line="360" w:lineRule="auto"/>
              <w:jc w:val="center"/>
              <w:rPr>
                <w:sz w:val="27"/>
              </w:rPr>
            </w:pPr>
          </w:p>
        </w:tc>
        <w:tc>
          <w:tcPr>
            <w:tcW w:w="793" w:type="dxa"/>
            <w:vAlign w:val="center"/>
          </w:tcPr>
          <w:p>
            <w:pPr>
              <w:spacing w:line="360" w:lineRule="auto"/>
              <w:jc w:val="center"/>
              <w:rPr>
                <w:sz w:val="27"/>
              </w:rPr>
            </w:pPr>
          </w:p>
        </w:tc>
        <w:tc>
          <w:tcPr>
            <w:tcW w:w="1049" w:type="dxa"/>
            <w:vAlign w:val="center"/>
          </w:tcPr>
          <w:p>
            <w:pPr>
              <w:spacing w:line="360" w:lineRule="auto"/>
              <w:jc w:val="center"/>
              <w:rPr>
                <w:sz w:val="27"/>
              </w:rPr>
            </w:pPr>
          </w:p>
        </w:tc>
        <w:tc>
          <w:tcPr>
            <w:tcW w:w="701" w:type="dxa"/>
            <w:vAlign w:val="center"/>
          </w:tcPr>
          <w:p>
            <w:pPr>
              <w:spacing w:line="360" w:lineRule="auto"/>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709" w:type="dxa"/>
            <w:vAlign w:val="center"/>
          </w:tcPr>
          <w:p>
            <w:pPr>
              <w:spacing w:line="360" w:lineRule="auto"/>
              <w:jc w:val="center"/>
              <w:rPr>
                <w:sz w:val="27"/>
              </w:rPr>
            </w:pPr>
          </w:p>
        </w:tc>
        <w:tc>
          <w:tcPr>
            <w:tcW w:w="701" w:type="dxa"/>
            <w:vAlign w:val="center"/>
          </w:tcPr>
          <w:p>
            <w:pPr>
              <w:spacing w:line="360" w:lineRule="auto"/>
              <w:jc w:val="center"/>
              <w:rPr>
                <w:sz w:val="27"/>
              </w:rPr>
            </w:pPr>
          </w:p>
        </w:tc>
        <w:tc>
          <w:tcPr>
            <w:tcW w:w="1110"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922"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1293" w:type="dxa"/>
            <w:vAlign w:val="center"/>
          </w:tcPr>
          <w:p>
            <w:pPr>
              <w:spacing w:line="360" w:lineRule="auto"/>
              <w:jc w:val="center"/>
              <w:rPr>
                <w:sz w:val="27"/>
              </w:rPr>
            </w:pPr>
          </w:p>
        </w:tc>
        <w:tc>
          <w:tcPr>
            <w:tcW w:w="793" w:type="dxa"/>
            <w:vAlign w:val="center"/>
          </w:tcPr>
          <w:p>
            <w:pPr>
              <w:spacing w:line="360" w:lineRule="auto"/>
              <w:jc w:val="center"/>
              <w:rPr>
                <w:sz w:val="27"/>
              </w:rPr>
            </w:pPr>
          </w:p>
        </w:tc>
        <w:tc>
          <w:tcPr>
            <w:tcW w:w="1049" w:type="dxa"/>
            <w:vAlign w:val="center"/>
          </w:tcPr>
          <w:p>
            <w:pPr>
              <w:spacing w:line="360" w:lineRule="auto"/>
              <w:jc w:val="center"/>
              <w:rPr>
                <w:sz w:val="27"/>
              </w:rPr>
            </w:pPr>
          </w:p>
        </w:tc>
        <w:tc>
          <w:tcPr>
            <w:tcW w:w="701" w:type="dxa"/>
            <w:vAlign w:val="center"/>
          </w:tcPr>
          <w:p>
            <w:pPr>
              <w:spacing w:line="360" w:lineRule="auto"/>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709" w:type="dxa"/>
            <w:vAlign w:val="center"/>
          </w:tcPr>
          <w:p>
            <w:pPr>
              <w:spacing w:line="360" w:lineRule="auto"/>
              <w:jc w:val="center"/>
              <w:rPr>
                <w:sz w:val="27"/>
              </w:rPr>
            </w:pPr>
          </w:p>
        </w:tc>
        <w:tc>
          <w:tcPr>
            <w:tcW w:w="701" w:type="dxa"/>
            <w:vAlign w:val="center"/>
          </w:tcPr>
          <w:p>
            <w:pPr>
              <w:spacing w:line="360" w:lineRule="auto"/>
              <w:jc w:val="center"/>
              <w:rPr>
                <w:sz w:val="27"/>
              </w:rPr>
            </w:pPr>
          </w:p>
        </w:tc>
        <w:tc>
          <w:tcPr>
            <w:tcW w:w="1110"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922"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1293" w:type="dxa"/>
            <w:vAlign w:val="center"/>
          </w:tcPr>
          <w:p>
            <w:pPr>
              <w:spacing w:line="360" w:lineRule="auto"/>
              <w:jc w:val="center"/>
              <w:rPr>
                <w:sz w:val="27"/>
              </w:rPr>
            </w:pPr>
          </w:p>
        </w:tc>
        <w:tc>
          <w:tcPr>
            <w:tcW w:w="793" w:type="dxa"/>
            <w:vAlign w:val="center"/>
          </w:tcPr>
          <w:p>
            <w:pPr>
              <w:spacing w:line="360" w:lineRule="auto"/>
              <w:jc w:val="center"/>
              <w:rPr>
                <w:sz w:val="27"/>
              </w:rPr>
            </w:pPr>
          </w:p>
        </w:tc>
        <w:tc>
          <w:tcPr>
            <w:tcW w:w="1049" w:type="dxa"/>
            <w:vAlign w:val="center"/>
          </w:tcPr>
          <w:p>
            <w:pPr>
              <w:spacing w:line="360" w:lineRule="auto"/>
              <w:jc w:val="center"/>
              <w:rPr>
                <w:sz w:val="27"/>
              </w:rPr>
            </w:pPr>
          </w:p>
        </w:tc>
        <w:tc>
          <w:tcPr>
            <w:tcW w:w="701" w:type="dxa"/>
            <w:vAlign w:val="center"/>
          </w:tcPr>
          <w:p>
            <w:pPr>
              <w:spacing w:line="360" w:lineRule="auto"/>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709" w:type="dxa"/>
            <w:vAlign w:val="center"/>
          </w:tcPr>
          <w:p>
            <w:pPr>
              <w:spacing w:line="360" w:lineRule="auto"/>
              <w:jc w:val="center"/>
              <w:rPr>
                <w:sz w:val="27"/>
              </w:rPr>
            </w:pPr>
          </w:p>
        </w:tc>
        <w:tc>
          <w:tcPr>
            <w:tcW w:w="701" w:type="dxa"/>
            <w:vAlign w:val="center"/>
          </w:tcPr>
          <w:p>
            <w:pPr>
              <w:spacing w:line="360" w:lineRule="auto"/>
              <w:jc w:val="center"/>
              <w:rPr>
                <w:sz w:val="27"/>
              </w:rPr>
            </w:pPr>
          </w:p>
        </w:tc>
        <w:tc>
          <w:tcPr>
            <w:tcW w:w="1110"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922"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1293" w:type="dxa"/>
            <w:vAlign w:val="center"/>
          </w:tcPr>
          <w:p>
            <w:pPr>
              <w:spacing w:line="360" w:lineRule="auto"/>
              <w:jc w:val="center"/>
              <w:rPr>
                <w:sz w:val="27"/>
              </w:rPr>
            </w:pPr>
          </w:p>
        </w:tc>
        <w:tc>
          <w:tcPr>
            <w:tcW w:w="793" w:type="dxa"/>
            <w:vAlign w:val="center"/>
          </w:tcPr>
          <w:p>
            <w:pPr>
              <w:spacing w:line="360" w:lineRule="auto"/>
              <w:jc w:val="center"/>
              <w:rPr>
                <w:sz w:val="27"/>
              </w:rPr>
            </w:pPr>
          </w:p>
        </w:tc>
        <w:tc>
          <w:tcPr>
            <w:tcW w:w="1049" w:type="dxa"/>
            <w:vAlign w:val="center"/>
          </w:tcPr>
          <w:p>
            <w:pPr>
              <w:spacing w:line="360" w:lineRule="auto"/>
              <w:jc w:val="center"/>
              <w:rPr>
                <w:sz w:val="27"/>
              </w:rPr>
            </w:pPr>
          </w:p>
        </w:tc>
        <w:tc>
          <w:tcPr>
            <w:tcW w:w="701" w:type="dxa"/>
            <w:vAlign w:val="center"/>
          </w:tcPr>
          <w:p>
            <w:pPr>
              <w:spacing w:line="360" w:lineRule="auto"/>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709" w:type="dxa"/>
            <w:vAlign w:val="center"/>
          </w:tcPr>
          <w:p>
            <w:pPr>
              <w:spacing w:line="360" w:lineRule="auto"/>
              <w:jc w:val="center"/>
              <w:rPr>
                <w:sz w:val="27"/>
              </w:rPr>
            </w:pPr>
          </w:p>
        </w:tc>
        <w:tc>
          <w:tcPr>
            <w:tcW w:w="701" w:type="dxa"/>
            <w:vAlign w:val="center"/>
          </w:tcPr>
          <w:p>
            <w:pPr>
              <w:spacing w:line="360" w:lineRule="auto"/>
              <w:jc w:val="center"/>
              <w:rPr>
                <w:sz w:val="27"/>
              </w:rPr>
            </w:pPr>
          </w:p>
        </w:tc>
        <w:tc>
          <w:tcPr>
            <w:tcW w:w="1110"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922"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1293" w:type="dxa"/>
            <w:vAlign w:val="center"/>
          </w:tcPr>
          <w:p>
            <w:pPr>
              <w:spacing w:line="360" w:lineRule="auto"/>
              <w:jc w:val="center"/>
              <w:rPr>
                <w:sz w:val="27"/>
              </w:rPr>
            </w:pPr>
          </w:p>
        </w:tc>
        <w:tc>
          <w:tcPr>
            <w:tcW w:w="793" w:type="dxa"/>
            <w:vAlign w:val="center"/>
          </w:tcPr>
          <w:p>
            <w:pPr>
              <w:spacing w:line="360" w:lineRule="auto"/>
              <w:jc w:val="center"/>
              <w:rPr>
                <w:sz w:val="27"/>
              </w:rPr>
            </w:pPr>
          </w:p>
        </w:tc>
        <w:tc>
          <w:tcPr>
            <w:tcW w:w="1049" w:type="dxa"/>
            <w:vAlign w:val="center"/>
          </w:tcPr>
          <w:p>
            <w:pPr>
              <w:spacing w:line="360" w:lineRule="auto"/>
              <w:jc w:val="center"/>
              <w:rPr>
                <w:sz w:val="27"/>
              </w:rPr>
            </w:pPr>
          </w:p>
        </w:tc>
        <w:tc>
          <w:tcPr>
            <w:tcW w:w="701" w:type="dxa"/>
            <w:vAlign w:val="center"/>
          </w:tcPr>
          <w:p>
            <w:pPr>
              <w:spacing w:line="360" w:lineRule="auto"/>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709" w:type="dxa"/>
            <w:vAlign w:val="center"/>
          </w:tcPr>
          <w:p>
            <w:pPr>
              <w:spacing w:line="360" w:lineRule="auto"/>
              <w:jc w:val="center"/>
              <w:rPr>
                <w:sz w:val="27"/>
              </w:rPr>
            </w:pPr>
          </w:p>
        </w:tc>
        <w:tc>
          <w:tcPr>
            <w:tcW w:w="701" w:type="dxa"/>
            <w:vAlign w:val="center"/>
          </w:tcPr>
          <w:p>
            <w:pPr>
              <w:spacing w:line="360" w:lineRule="auto"/>
              <w:jc w:val="center"/>
              <w:rPr>
                <w:sz w:val="27"/>
              </w:rPr>
            </w:pPr>
          </w:p>
        </w:tc>
        <w:tc>
          <w:tcPr>
            <w:tcW w:w="1110"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922"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1293" w:type="dxa"/>
            <w:vAlign w:val="center"/>
          </w:tcPr>
          <w:p>
            <w:pPr>
              <w:spacing w:line="360" w:lineRule="auto"/>
              <w:jc w:val="center"/>
              <w:rPr>
                <w:sz w:val="27"/>
              </w:rPr>
            </w:pPr>
          </w:p>
        </w:tc>
        <w:tc>
          <w:tcPr>
            <w:tcW w:w="793" w:type="dxa"/>
            <w:vAlign w:val="center"/>
          </w:tcPr>
          <w:p>
            <w:pPr>
              <w:spacing w:line="360" w:lineRule="auto"/>
              <w:jc w:val="center"/>
              <w:rPr>
                <w:sz w:val="27"/>
              </w:rPr>
            </w:pPr>
          </w:p>
        </w:tc>
        <w:tc>
          <w:tcPr>
            <w:tcW w:w="1049" w:type="dxa"/>
            <w:vAlign w:val="center"/>
          </w:tcPr>
          <w:p>
            <w:pPr>
              <w:spacing w:line="360" w:lineRule="auto"/>
              <w:jc w:val="center"/>
              <w:rPr>
                <w:sz w:val="27"/>
              </w:rPr>
            </w:pPr>
          </w:p>
        </w:tc>
        <w:tc>
          <w:tcPr>
            <w:tcW w:w="701" w:type="dxa"/>
            <w:vAlign w:val="center"/>
          </w:tcPr>
          <w:p>
            <w:pPr>
              <w:spacing w:line="360" w:lineRule="auto"/>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709" w:type="dxa"/>
            <w:vAlign w:val="center"/>
          </w:tcPr>
          <w:p>
            <w:pPr>
              <w:spacing w:line="360" w:lineRule="auto"/>
              <w:jc w:val="center"/>
              <w:rPr>
                <w:sz w:val="27"/>
              </w:rPr>
            </w:pPr>
          </w:p>
        </w:tc>
        <w:tc>
          <w:tcPr>
            <w:tcW w:w="701" w:type="dxa"/>
            <w:vAlign w:val="center"/>
          </w:tcPr>
          <w:p>
            <w:pPr>
              <w:spacing w:line="360" w:lineRule="auto"/>
              <w:jc w:val="center"/>
              <w:rPr>
                <w:sz w:val="27"/>
              </w:rPr>
            </w:pPr>
          </w:p>
        </w:tc>
        <w:tc>
          <w:tcPr>
            <w:tcW w:w="1110"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922"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1293" w:type="dxa"/>
            <w:vAlign w:val="center"/>
          </w:tcPr>
          <w:p>
            <w:pPr>
              <w:spacing w:line="360" w:lineRule="auto"/>
              <w:jc w:val="center"/>
              <w:rPr>
                <w:sz w:val="27"/>
              </w:rPr>
            </w:pPr>
          </w:p>
        </w:tc>
        <w:tc>
          <w:tcPr>
            <w:tcW w:w="793" w:type="dxa"/>
            <w:vAlign w:val="center"/>
          </w:tcPr>
          <w:p>
            <w:pPr>
              <w:spacing w:line="360" w:lineRule="auto"/>
              <w:jc w:val="center"/>
              <w:rPr>
                <w:sz w:val="27"/>
              </w:rPr>
            </w:pPr>
          </w:p>
        </w:tc>
        <w:tc>
          <w:tcPr>
            <w:tcW w:w="1049" w:type="dxa"/>
            <w:vAlign w:val="center"/>
          </w:tcPr>
          <w:p>
            <w:pPr>
              <w:spacing w:line="360" w:lineRule="auto"/>
              <w:jc w:val="center"/>
              <w:rPr>
                <w:sz w:val="27"/>
              </w:rPr>
            </w:pPr>
          </w:p>
        </w:tc>
        <w:tc>
          <w:tcPr>
            <w:tcW w:w="701" w:type="dxa"/>
            <w:vAlign w:val="center"/>
          </w:tcPr>
          <w:p>
            <w:pPr>
              <w:spacing w:line="360" w:lineRule="auto"/>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709" w:type="dxa"/>
            <w:vAlign w:val="center"/>
          </w:tcPr>
          <w:p>
            <w:pPr>
              <w:spacing w:line="360" w:lineRule="auto"/>
              <w:jc w:val="center"/>
              <w:rPr>
                <w:sz w:val="27"/>
              </w:rPr>
            </w:pPr>
          </w:p>
        </w:tc>
        <w:tc>
          <w:tcPr>
            <w:tcW w:w="701" w:type="dxa"/>
            <w:vAlign w:val="center"/>
          </w:tcPr>
          <w:p>
            <w:pPr>
              <w:spacing w:line="360" w:lineRule="auto"/>
              <w:jc w:val="center"/>
              <w:rPr>
                <w:sz w:val="27"/>
              </w:rPr>
            </w:pPr>
          </w:p>
        </w:tc>
        <w:tc>
          <w:tcPr>
            <w:tcW w:w="1110"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922"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1293" w:type="dxa"/>
            <w:vAlign w:val="center"/>
          </w:tcPr>
          <w:p>
            <w:pPr>
              <w:spacing w:line="360" w:lineRule="auto"/>
              <w:jc w:val="center"/>
              <w:rPr>
                <w:sz w:val="27"/>
              </w:rPr>
            </w:pPr>
          </w:p>
        </w:tc>
        <w:tc>
          <w:tcPr>
            <w:tcW w:w="793" w:type="dxa"/>
            <w:vAlign w:val="center"/>
          </w:tcPr>
          <w:p>
            <w:pPr>
              <w:spacing w:line="360" w:lineRule="auto"/>
              <w:jc w:val="center"/>
              <w:rPr>
                <w:sz w:val="27"/>
              </w:rPr>
            </w:pPr>
          </w:p>
        </w:tc>
        <w:tc>
          <w:tcPr>
            <w:tcW w:w="1049" w:type="dxa"/>
            <w:vAlign w:val="center"/>
          </w:tcPr>
          <w:p>
            <w:pPr>
              <w:spacing w:line="360" w:lineRule="auto"/>
              <w:jc w:val="center"/>
              <w:rPr>
                <w:sz w:val="27"/>
              </w:rPr>
            </w:pPr>
          </w:p>
        </w:tc>
        <w:tc>
          <w:tcPr>
            <w:tcW w:w="701" w:type="dxa"/>
            <w:vAlign w:val="center"/>
          </w:tcPr>
          <w:p>
            <w:pPr>
              <w:spacing w:line="360" w:lineRule="auto"/>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709" w:type="dxa"/>
            <w:vAlign w:val="center"/>
          </w:tcPr>
          <w:p>
            <w:pPr>
              <w:spacing w:line="360" w:lineRule="auto"/>
              <w:jc w:val="center"/>
              <w:rPr>
                <w:sz w:val="27"/>
              </w:rPr>
            </w:pPr>
          </w:p>
        </w:tc>
        <w:tc>
          <w:tcPr>
            <w:tcW w:w="701" w:type="dxa"/>
            <w:vAlign w:val="center"/>
          </w:tcPr>
          <w:p>
            <w:pPr>
              <w:spacing w:line="360" w:lineRule="auto"/>
              <w:jc w:val="center"/>
              <w:rPr>
                <w:sz w:val="27"/>
              </w:rPr>
            </w:pPr>
          </w:p>
        </w:tc>
        <w:tc>
          <w:tcPr>
            <w:tcW w:w="1110"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922"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1293" w:type="dxa"/>
            <w:vAlign w:val="center"/>
          </w:tcPr>
          <w:p>
            <w:pPr>
              <w:spacing w:line="360" w:lineRule="auto"/>
              <w:jc w:val="center"/>
              <w:rPr>
                <w:sz w:val="27"/>
              </w:rPr>
            </w:pPr>
          </w:p>
        </w:tc>
        <w:tc>
          <w:tcPr>
            <w:tcW w:w="793" w:type="dxa"/>
            <w:vAlign w:val="center"/>
          </w:tcPr>
          <w:p>
            <w:pPr>
              <w:spacing w:line="360" w:lineRule="auto"/>
              <w:jc w:val="center"/>
              <w:rPr>
                <w:sz w:val="27"/>
              </w:rPr>
            </w:pPr>
          </w:p>
        </w:tc>
        <w:tc>
          <w:tcPr>
            <w:tcW w:w="1049" w:type="dxa"/>
            <w:vAlign w:val="center"/>
          </w:tcPr>
          <w:p>
            <w:pPr>
              <w:spacing w:line="360" w:lineRule="auto"/>
              <w:jc w:val="center"/>
              <w:rPr>
                <w:sz w:val="27"/>
              </w:rPr>
            </w:pPr>
          </w:p>
        </w:tc>
        <w:tc>
          <w:tcPr>
            <w:tcW w:w="701" w:type="dxa"/>
            <w:vAlign w:val="center"/>
          </w:tcPr>
          <w:p>
            <w:pPr>
              <w:spacing w:line="360" w:lineRule="auto"/>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1" w:hRule="atLeast"/>
          <w:jc w:val="center"/>
        </w:trPr>
        <w:tc>
          <w:tcPr>
            <w:tcW w:w="709" w:type="dxa"/>
            <w:vAlign w:val="center"/>
          </w:tcPr>
          <w:p>
            <w:pPr>
              <w:spacing w:line="360" w:lineRule="auto"/>
              <w:jc w:val="center"/>
              <w:rPr>
                <w:sz w:val="27"/>
              </w:rPr>
            </w:pPr>
          </w:p>
        </w:tc>
        <w:tc>
          <w:tcPr>
            <w:tcW w:w="701" w:type="dxa"/>
            <w:vAlign w:val="center"/>
          </w:tcPr>
          <w:p>
            <w:pPr>
              <w:spacing w:line="360" w:lineRule="auto"/>
              <w:jc w:val="center"/>
              <w:rPr>
                <w:sz w:val="27"/>
              </w:rPr>
            </w:pPr>
          </w:p>
        </w:tc>
        <w:tc>
          <w:tcPr>
            <w:tcW w:w="1110"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922"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1293" w:type="dxa"/>
            <w:vAlign w:val="center"/>
          </w:tcPr>
          <w:p>
            <w:pPr>
              <w:spacing w:line="360" w:lineRule="auto"/>
              <w:jc w:val="center"/>
              <w:rPr>
                <w:sz w:val="27"/>
              </w:rPr>
            </w:pPr>
          </w:p>
        </w:tc>
        <w:tc>
          <w:tcPr>
            <w:tcW w:w="793" w:type="dxa"/>
            <w:vAlign w:val="center"/>
          </w:tcPr>
          <w:p>
            <w:pPr>
              <w:spacing w:line="360" w:lineRule="auto"/>
              <w:jc w:val="center"/>
              <w:rPr>
                <w:sz w:val="27"/>
              </w:rPr>
            </w:pPr>
          </w:p>
        </w:tc>
        <w:tc>
          <w:tcPr>
            <w:tcW w:w="1049" w:type="dxa"/>
            <w:vAlign w:val="center"/>
          </w:tcPr>
          <w:p>
            <w:pPr>
              <w:spacing w:line="360" w:lineRule="auto"/>
              <w:jc w:val="center"/>
              <w:rPr>
                <w:sz w:val="27"/>
              </w:rPr>
            </w:pPr>
          </w:p>
        </w:tc>
        <w:tc>
          <w:tcPr>
            <w:tcW w:w="701" w:type="dxa"/>
            <w:vAlign w:val="center"/>
          </w:tcPr>
          <w:p>
            <w:pPr>
              <w:spacing w:line="360" w:lineRule="auto"/>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709" w:type="dxa"/>
            <w:vAlign w:val="center"/>
          </w:tcPr>
          <w:p>
            <w:pPr>
              <w:spacing w:line="360" w:lineRule="auto"/>
              <w:jc w:val="center"/>
              <w:rPr>
                <w:sz w:val="27"/>
              </w:rPr>
            </w:pPr>
          </w:p>
        </w:tc>
        <w:tc>
          <w:tcPr>
            <w:tcW w:w="701" w:type="dxa"/>
            <w:vAlign w:val="center"/>
          </w:tcPr>
          <w:p>
            <w:pPr>
              <w:spacing w:line="360" w:lineRule="auto"/>
              <w:jc w:val="center"/>
              <w:rPr>
                <w:sz w:val="27"/>
              </w:rPr>
            </w:pPr>
          </w:p>
        </w:tc>
        <w:tc>
          <w:tcPr>
            <w:tcW w:w="1110"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922" w:type="dxa"/>
            <w:vAlign w:val="center"/>
          </w:tcPr>
          <w:p>
            <w:pPr>
              <w:spacing w:line="360" w:lineRule="auto"/>
              <w:jc w:val="center"/>
              <w:rPr>
                <w:sz w:val="27"/>
              </w:rPr>
            </w:pPr>
          </w:p>
        </w:tc>
        <w:tc>
          <w:tcPr>
            <w:tcW w:w="740" w:type="dxa"/>
            <w:vAlign w:val="center"/>
          </w:tcPr>
          <w:p>
            <w:pPr>
              <w:spacing w:line="360" w:lineRule="auto"/>
              <w:jc w:val="center"/>
              <w:rPr>
                <w:sz w:val="27"/>
              </w:rPr>
            </w:pPr>
          </w:p>
        </w:tc>
        <w:tc>
          <w:tcPr>
            <w:tcW w:w="1293" w:type="dxa"/>
            <w:vAlign w:val="center"/>
          </w:tcPr>
          <w:p>
            <w:pPr>
              <w:spacing w:line="360" w:lineRule="auto"/>
              <w:jc w:val="center"/>
              <w:rPr>
                <w:sz w:val="27"/>
              </w:rPr>
            </w:pPr>
          </w:p>
        </w:tc>
        <w:tc>
          <w:tcPr>
            <w:tcW w:w="793" w:type="dxa"/>
            <w:vAlign w:val="center"/>
          </w:tcPr>
          <w:p>
            <w:pPr>
              <w:spacing w:line="360" w:lineRule="auto"/>
              <w:jc w:val="center"/>
              <w:rPr>
                <w:sz w:val="27"/>
              </w:rPr>
            </w:pPr>
          </w:p>
        </w:tc>
        <w:tc>
          <w:tcPr>
            <w:tcW w:w="1049" w:type="dxa"/>
            <w:vAlign w:val="center"/>
          </w:tcPr>
          <w:p>
            <w:pPr>
              <w:spacing w:line="360" w:lineRule="auto"/>
              <w:jc w:val="center"/>
              <w:rPr>
                <w:sz w:val="27"/>
              </w:rPr>
            </w:pPr>
          </w:p>
        </w:tc>
        <w:tc>
          <w:tcPr>
            <w:tcW w:w="701" w:type="dxa"/>
            <w:vAlign w:val="center"/>
          </w:tcPr>
          <w:p>
            <w:pPr>
              <w:spacing w:line="360" w:lineRule="auto"/>
              <w:jc w:val="center"/>
              <w:rPr>
                <w:sz w:val="27"/>
              </w:rPr>
            </w:pPr>
          </w:p>
        </w:tc>
      </w:tr>
    </w:tbl>
    <w:p>
      <w:pPr>
        <w:spacing w:line="36" w:lineRule="auto"/>
        <w:rPr>
          <w:sz w:val="27"/>
        </w:rPr>
      </w:pPr>
    </w:p>
    <w:p>
      <w:pPr>
        <w:widowControl/>
        <w:rPr>
          <w:b/>
          <w:bCs/>
          <w:sz w:val="32"/>
          <w:szCs w:val="32"/>
        </w:rPr>
      </w:pPr>
      <w:r>
        <w:rPr>
          <w:sz w:val="27"/>
        </w:rPr>
        <w:br w:type="page"/>
      </w:r>
      <w:bookmarkStart w:id="817" w:name="_Toc256000100"/>
      <w:r>
        <w:rPr>
          <w:rFonts w:hint="eastAsia"/>
          <w:b/>
          <w:bCs/>
          <w:sz w:val="32"/>
          <w:szCs w:val="32"/>
        </w:rPr>
        <w:t>附表二：拟配备本标段的试验和检测仪器设备表</w:t>
      </w:r>
      <w:bookmarkEnd w:id="817"/>
    </w:p>
    <w:p>
      <w:pPr>
        <w:spacing w:line="36" w:lineRule="auto"/>
        <w:rPr>
          <w:sz w:val="27"/>
        </w:rPr>
      </w:pPr>
    </w:p>
    <w:tbl>
      <w:tblPr>
        <w:tblStyle w:val="3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0"/>
        <w:gridCol w:w="990"/>
        <w:gridCol w:w="990"/>
        <w:gridCol w:w="990"/>
        <w:gridCol w:w="990"/>
        <w:gridCol w:w="990"/>
        <w:gridCol w:w="990"/>
        <w:gridCol w:w="990"/>
        <w:gridCol w:w="9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 w:type="dxa"/>
            <w:vAlign w:val="center"/>
          </w:tcPr>
          <w:p>
            <w:pPr>
              <w:rPr>
                <w:b/>
                <w:sz w:val="24"/>
                <w:szCs w:val="24"/>
              </w:rPr>
            </w:pPr>
            <w:r>
              <w:rPr>
                <w:rFonts w:hint="eastAsia"/>
                <w:b/>
                <w:sz w:val="24"/>
                <w:szCs w:val="24"/>
              </w:rPr>
              <w:t>序号</w:t>
            </w:r>
          </w:p>
        </w:tc>
        <w:tc>
          <w:tcPr>
            <w:tcW w:w="990" w:type="dxa"/>
            <w:vAlign w:val="center"/>
          </w:tcPr>
          <w:p>
            <w:pPr>
              <w:jc w:val="center"/>
              <w:rPr>
                <w:b/>
                <w:sz w:val="24"/>
                <w:szCs w:val="24"/>
              </w:rPr>
            </w:pPr>
            <w:r>
              <w:rPr>
                <w:rFonts w:hint="eastAsia"/>
                <w:b/>
                <w:sz w:val="24"/>
                <w:szCs w:val="24"/>
              </w:rPr>
              <w:t>仪器设</w:t>
            </w:r>
          </w:p>
          <w:p>
            <w:pPr>
              <w:jc w:val="center"/>
              <w:rPr>
                <w:b/>
                <w:sz w:val="24"/>
                <w:szCs w:val="24"/>
              </w:rPr>
            </w:pPr>
            <w:r>
              <w:rPr>
                <w:rFonts w:hint="eastAsia"/>
                <w:b/>
                <w:sz w:val="24"/>
                <w:szCs w:val="24"/>
              </w:rPr>
              <w:t>备名称</w:t>
            </w:r>
          </w:p>
        </w:tc>
        <w:tc>
          <w:tcPr>
            <w:tcW w:w="990" w:type="dxa"/>
            <w:vAlign w:val="center"/>
          </w:tcPr>
          <w:p>
            <w:pPr>
              <w:jc w:val="center"/>
              <w:rPr>
                <w:b/>
                <w:sz w:val="24"/>
                <w:szCs w:val="24"/>
              </w:rPr>
            </w:pPr>
            <w:r>
              <w:rPr>
                <w:rFonts w:hint="eastAsia"/>
                <w:b/>
                <w:sz w:val="24"/>
                <w:szCs w:val="24"/>
              </w:rPr>
              <w:t>型号</w:t>
            </w:r>
          </w:p>
          <w:p>
            <w:pPr>
              <w:jc w:val="center"/>
              <w:rPr>
                <w:b/>
                <w:sz w:val="24"/>
                <w:szCs w:val="24"/>
              </w:rPr>
            </w:pPr>
            <w:r>
              <w:rPr>
                <w:rFonts w:hint="eastAsia"/>
                <w:b/>
                <w:sz w:val="24"/>
                <w:szCs w:val="24"/>
              </w:rPr>
              <w:t>规格</w:t>
            </w:r>
          </w:p>
        </w:tc>
        <w:tc>
          <w:tcPr>
            <w:tcW w:w="990" w:type="dxa"/>
            <w:vAlign w:val="center"/>
          </w:tcPr>
          <w:p>
            <w:pPr>
              <w:jc w:val="center"/>
              <w:rPr>
                <w:b/>
                <w:sz w:val="24"/>
                <w:szCs w:val="24"/>
              </w:rPr>
            </w:pPr>
            <w:r>
              <w:rPr>
                <w:rFonts w:hint="eastAsia"/>
                <w:b/>
                <w:sz w:val="24"/>
                <w:szCs w:val="24"/>
              </w:rPr>
              <w:t>数量</w:t>
            </w:r>
          </w:p>
        </w:tc>
        <w:tc>
          <w:tcPr>
            <w:tcW w:w="990" w:type="dxa"/>
            <w:vAlign w:val="center"/>
          </w:tcPr>
          <w:p>
            <w:pPr>
              <w:jc w:val="center"/>
              <w:rPr>
                <w:b/>
                <w:sz w:val="24"/>
                <w:szCs w:val="24"/>
              </w:rPr>
            </w:pPr>
            <w:r>
              <w:rPr>
                <w:rFonts w:hint="eastAsia"/>
                <w:b/>
                <w:sz w:val="24"/>
                <w:szCs w:val="24"/>
              </w:rPr>
              <w:t>国别</w:t>
            </w:r>
          </w:p>
          <w:p>
            <w:pPr>
              <w:jc w:val="center"/>
              <w:rPr>
                <w:b/>
                <w:sz w:val="24"/>
                <w:szCs w:val="24"/>
              </w:rPr>
            </w:pPr>
            <w:r>
              <w:rPr>
                <w:rFonts w:hint="eastAsia"/>
                <w:b/>
                <w:sz w:val="24"/>
                <w:szCs w:val="24"/>
              </w:rPr>
              <w:t>产地</w:t>
            </w:r>
          </w:p>
        </w:tc>
        <w:tc>
          <w:tcPr>
            <w:tcW w:w="990" w:type="dxa"/>
            <w:vAlign w:val="center"/>
          </w:tcPr>
          <w:p>
            <w:pPr>
              <w:jc w:val="center"/>
              <w:rPr>
                <w:b/>
                <w:sz w:val="24"/>
                <w:szCs w:val="24"/>
              </w:rPr>
            </w:pPr>
            <w:r>
              <w:rPr>
                <w:rFonts w:hint="eastAsia"/>
                <w:b/>
                <w:sz w:val="24"/>
                <w:szCs w:val="24"/>
              </w:rPr>
              <w:t>制造</w:t>
            </w:r>
          </w:p>
          <w:p>
            <w:pPr>
              <w:jc w:val="center"/>
              <w:rPr>
                <w:b/>
                <w:sz w:val="24"/>
                <w:szCs w:val="24"/>
              </w:rPr>
            </w:pPr>
            <w:r>
              <w:rPr>
                <w:rFonts w:hint="eastAsia"/>
                <w:b/>
                <w:sz w:val="24"/>
                <w:szCs w:val="24"/>
              </w:rPr>
              <w:t>年份</w:t>
            </w:r>
          </w:p>
        </w:tc>
        <w:tc>
          <w:tcPr>
            <w:tcW w:w="990" w:type="dxa"/>
            <w:vAlign w:val="center"/>
          </w:tcPr>
          <w:p>
            <w:pPr>
              <w:jc w:val="center"/>
              <w:rPr>
                <w:b/>
                <w:sz w:val="24"/>
                <w:szCs w:val="24"/>
              </w:rPr>
            </w:pPr>
            <w:r>
              <w:rPr>
                <w:rFonts w:hint="eastAsia"/>
                <w:b/>
                <w:sz w:val="24"/>
                <w:szCs w:val="24"/>
              </w:rPr>
              <w:t>已使用</w:t>
            </w:r>
          </w:p>
          <w:p>
            <w:pPr>
              <w:jc w:val="center"/>
              <w:rPr>
                <w:b/>
                <w:sz w:val="24"/>
                <w:szCs w:val="24"/>
              </w:rPr>
            </w:pPr>
            <w:r>
              <w:rPr>
                <w:rFonts w:hint="eastAsia"/>
                <w:b/>
                <w:sz w:val="24"/>
                <w:szCs w:val="24"/>
              </w:rPr>
              <w:t>台时数</w:t>
            </w:r>
          </w:p>
        </w:tc>
        <w:tc>
          <w:tcPr>
            <w:tcW w:w="990" w:type="dxa"/>
            <w:vAlign w:val="center"/>
          </w:tcPr>
          <w:p>
            <w:pPr>
              <w:jc w:val="center"/>
              <w:rPr>
                <w:b/>
                <w:sz w:val="24"/>
                <w:szCs w:val="24"/>
              </w:rPr>
            </w:pPr>
            <w:r>
              <w:rPr>
                <w:rFonts w:hint="eastAsia"/>
                <w:b/>
                <w:sz w:val="24"/>
                <w:szCs w:val="24"/>
              </w:rPr>
              <w:t>用途</w:t>
            </w:r>
          </w:p>
        </w:tc>
        <w:tc>
          <w:tcPr>
            <w:tcW w:w="993" w:type="dxa"/>
            <w:vAlign w:val="center"/>
          </w:tcPr>
          <w:p>
            <w:pPr>
              <w:jc w:val="center"/>
              <w:rPr>
                <w:b/>
                <w:sz w:val="24"/>
                <w:szCs w:val="24"/>
              </w:rPr>
            </w:pPr>
            <w:r>
              <w:rPr>
                <w:rFonts w:hint="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3"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3"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3"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3"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3"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3"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3"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3"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3"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3"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3"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3"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0" w:type="dxa"/>
            <w:vAlign w:val="center"/>
          </w:tcPr>
          <w:p>
            <w:pPr>
              <w:jc w:val="center"/>
              <w:rPr>
                <w:sz w:val="27"/>
              </w:rPr>
            </w:pPr>
          </w:p>
        </w:tc>
        <w:tc>
          <w:tcPr>
            <w:tcW w:w="993" w:type="dxa"/>
            <w:vAlign w:val="center"/>
          </w:tcPr>
          <w:p>
            <w:pPr>
              <w:jc w:val="center"/>
              <w:rPr>
                <w:sz w:val="27"/>
              </w:rPr>
            </w:pPr>
          </w:p>
        </w:tc>
      </w:tr>
    </w:tbl>
    <w:p>
      <w:pPr>
        <w:spacing w:line="36" w:lineRule="auto"/>
        <w:rPr>
          <w:sz w:val="27"/>
        </w:rPr>
      </w:pPr>
    </w:p>
    <w:p>
      <w:pPr>
        <w:widowControl/>
        <w:rPr>
          <w:b/>
          <w:bCs/>
          <w:sz w:val="32"/>
          <w:szCs w:val="32"/>
        </w:rPr>
      </w:pPr>
      <w:r>
        <w:rPr>
          <w:sz w:val="27"/>
        </w:rPr>
        <w:br w:type="page"/>
      </w:r>
      <w:bookmarkStart w:id="818" w:name="_Toc256000101"/>
      <w:r>
        <w:rPr>
          <w:rFonts w:hint="eastAsia"/>
          <w:b/>
          <w:bCs/>
          <w:sz w:val="32"/>
          <w:szCs w:val="32"/>
        </w:rPr>
        <w:t>附表三：劳动力计划表</w:t>
      </w:r>
      <w:bookmarkEnd w:id="818"/>
    </w:p>
    <w:p>
      <w:pPr>
        <w:spacing w:line="36" w:lineRule="auto"/>
        <w:jc w:val="center"/>
        <w:rPr>
          <w:b/>
          <w:sz w:val="27"/>
        </w:rPr>
      </w:pPr>
      <w:r>
        <w:rPr>
          <w:b/>
          <w:sz w:val="27"/>
        </w:rPr>
        <w:t xml:space="preserve">                                             </w:t>
      </w:r>
      <w:r>
        <w:rPr>
          <w:rFonts w:hint="eastAsia"/>
          <w:b/>
          <w:sz w:val="27"/>
        </w:rPr>
        <w:t>单位：人</w:t>
      </w:r>
    </w:p>
    <w:tbl>
      <w:tblPr>
        <w:tblStyle w:val="36"/>
        <w:tblW w:w="931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63"/>
        <w:gridCol w:w="1163"/>
        <w:gridCol w:w="1164"/>
        <w:gridCol w:w="1166"/>
        <w:gridCol w:w="1164"/>
        <w:gridCol w:w="1164"/>
        <w:gridCol w:w="1164"/>
        <w:gridCol w:w="11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8" w:hRule="atLeast"/>
        </w:trPr>
        <w:tc>
          <w:tcPr>
            <w:tcW w:w="4658" w:type="dxa"/>
            <w:gridSpan w:val="4"/>
            <w:vAlign w:val="center"/>
          </w:tcPr>
          <w:p>
            <w:pPr>
              <w:jc w:val="center"/>
              <w:rPr>
                <w:b/>
                <w:sz w:val="24"/>
                <w:szCs w:val="24"/>
              </w:rPr>
            </w:pPr>
            <w:r>
              <w:rPr>
                <w:rFonts w:hint="eastAsia"/>
                <w:b/>
                <w:sz w:val="24"/>
                <w:szCs w:val="24"/>
              </w:rPr>
              <w:t>工种</w:t>
            </w:r>
          </w:p>
        </w:tc>
        <w:tc>
          <w:tcPr>
            <w:tcW w:w="4659" w:type="dxa"/>
            <w:gridSpan w:val="4"/>
            <w:vAlign w:val="center"/>
          </w:tcPr>
          <w:p>
            <w:pPr>
              <w:jc w:val="center"/>
              <w:rPr>
                <w:b/>
                <w:sz w:val="24"/>
                <w:szCs w:val="24"/>
              </w:rPr>
            </w:pPr>
            <w:r>
              <w:rPr>
                <w:rFonts w:hint="eastAsia"/>
                <w:b/>
                <w:sz w:val="24"/>
                <w:szCs w:val="24"/>
              </w:rPr>
              <w:t>按工程施工阶段投入劳动力情况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9"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9"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9"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9"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9"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9"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9"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9"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9"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9"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9"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9"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9"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9"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4" w:type="dxa"/>
            <w:vAlign w:val="center"/>
          </w:tcPr>
          <w:p>
            <w:pPr>
              <w:jc w:val="center"/>
              <w:rPr>
                <w:sz w:val="27"/>
              </w:rPr>
            </w:pPr>
          </w:p>
        </w:tc>
        <w:tc>
          <w:tcPr>
            <w:tcW w:w="1169" w:type="dxa"/>
            <w:vAlign w:val="center"/>
          </w:tcPr>
          <w:p>
            <w:pPr>
              <w:jc w:val="center"/>
              <w:rPr>
                <w:sz w:val="27"/>
              </w:rPr>
            </w:pPr>
          </w:p>
        </w:tc>
      </w:tr>
    </w:tbl>
    <w:p>
      <w:pPr>
        <w:rPr>
          <w:sz w:val="27"/>
        </w:rPr>
      </w:pPr>
    </w:p>
    <w:p>
      <w:pPr>
        <w:widowControl/>
        <w:rPr>
          <w:b/>
          <w:bCs/>
          <w:sz w:val="32"/>
          <w:szCs w:val="32"/>
        </w:rPr>
      </w:pPr>
      <w:r>
        <w:rPr>
          <w:sz w:val="27"/>
        </w:rPr>
        <w:br w:type="page"/>
      </w:r>
      <w:bookmarkStart w:id="819" w:name="_Toc256000102"/>
      <w:r>
        <w:rPr>
          <w:rFonts w:hint="eastAsia"/>
          <w:b/>
          <w:bCs/>
          <w:sz w:val="32"/>
          <w:szCs w:val="32"/>
        </w:rPr>
        <w:t>附表四：计划开、竣工日期和施工进度网络图</w:t>
      </w:r>
      <w:bookmarkEnd w:id="819"/>
    </w:p>
    <w:p>
      <w:pPr>
        <w:spacing w:line="36" w:lineRule="auto"/>
        <w:rPr>
          <w:sz w:val="27"/>
        </w:rPr>
      </w:pPr>
    </w:p>
    <w:p>
      <w:pPr>
        <w:spacing w:line="360" w:lineRule="auto"/>
        <w:rPr>
          <w:sz w:val="24"/>
          <w:szCs w:val="24"/>
        </w:rPr>
      </w:pPr>
      <w:r>
        <w:t xml:space="preserve">   </w:t>
      </w:r>
      <w:r>
        <w:rPr>
          <w:sz w:val="24"/>
          <w:szCs w:val="24"/>
        </w:rPr>
        <w:t xml:space="preserve"> 1.</w:t>
      </w:r>
      <w:r>
        <w:rPr>
          <w:rFonts w:hint="eastAsia"/>
          <w:sz w:val="24"/>
          <w:szCs w:val="24"/>
        </w:rPr>
        <w:t>投标人应递交施工进度网络图或施工进度表，说明按招标文件要求的计划工期进行施工的各个关键日期。</w:t>
      </w:r>
    </w:p>
    <w:p>
      <w:pPr>
        <w:spacing w:line="360" w:lineRule="auto"/>
        <w:ind w:firstLine="480"/>
        <w:rPr>
          <w:sz w:val="24"/>
          <w:szCs w:val="24"/>
        </w:rPr>
      </w:pPr>
      <w:r>
        <w:rPr>
          <w:sz w:val="24"/>
          <w:szCs w:val="24"/>
        </w:rPr>
        <w:t xml:space="preserve">2. </w:t>
      </w:r>
      <w:r>
        <w:rPr>
          <w:rFonts w:hint="eastAsia"/>
          <w:sz w:val="24"/>
          <w:szCs w:val="24"/>
        </w:rPr>
        <w:t>施工进度表可采用网络图（或横道图）表示。</w:t>
      </w: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spacing w:line="360" w:lineRule="auto"/>
        <w:ind w:firstLine="480"/>
        <w:rPr>
          <w:sz w:val="24"/>
          <w:szCs w:val="24"/>
        </w:rPr>
      </w:pPr>
    </w:p>
    <w:p>
      <w:pPr>
        <w:pStyle w:val="4"/>
        <w:spacing w:line="36" w:lineRule="auto"/>
        <w:rPr>
          <w:rFonts w:ascii="宋体" w:eastAsia="宋体" w:cs="宋体"/>
          <w:sz w:val="32"/>
        </w:rPr>
      </w:pPr>
      <w:bookmarkStart w:id="820" w:name="_Toc256000103"/>
      <w:r>
        <w:rPr>
          <w:rFonts w:hint="eastAsia" w:ascii="宋体" w:hAnsi="宋体" w:cs="宋体"/>
          <w:sz w:val="32"/>
        </w:rPr>
        <w:t>附表五：施工总平面图</w:t>
      </w:r>
      <w:bookmarkEnd w:id="820"/>
    </w:p>
    <w:p>
      <w:pPr>
        <w:spacing w:line="360" w:lineRule="auto"/>
        <w:ind w:firstLine="480" w:firstLineChars="200"/>
        <w:rPr>
          <w:sz w:val="24"/>
          <w:szCs w:val="24"/>
        </w:rPr>
      </w:pPr>
      <w:r>
        <w:rPr>
          <w:rFonts w:hint="eastAsia"/>
          <w:sz w:val="24"/>
          <w:szCs w:val="24"/>
        </w:rPr>
        <w:t>投标人应递交一份施工总平面图，绘出现场临时设施布置图表并附文字说明，说明临时设施、加工车间、现场办公、设备及仓储、供电、供水、卫生、生活、道路、消防等设施的情况和布置。</w:t>
      </w:r>
    </w:p>
    <w:p>
      <w:pPr>
        <w:spacing w:line="360" w:lineRule="auto"/>
        <w:ind w:firstLine="1134"/>
        <w:rPr>
          <w:sz w:val="24"/>
          <w:szCs w:val="24"/>
        </w:rPr>
      </w:pPr>
    </w:p>
    <w:p>
      <w:pPr>
        <w:widowControl/>
        <w:rPr>
          <w:b/>
          <w:bCs/>
          <w:sz w:val="32"/>
          <w:szCs w:val="32"/>
        </w:rPr>
      </w:pPr>
      <w:r>
        <w:rPr>
          <w:sz w:val="24"/>
          <w:szCs w:val="24"/>
        </w:rPr>
        <w:br w:type="page"/>
      </w:r>
      <w:bookmarkStart w:id="821" w:name="_Toc256000104"/>
      <w:r>
        <w:rPr>
          <w:rFonts w:hint="eastAsia"/>
          <w:b/>
          <w:bCs/>
          <w:sz w:val="32"/>
          <w:szCs w:val="32"/>
        </w:rPr>
        <w:t>附表六：临时用地表</w:t>
      </w:r>
      <w:bookmarkEnd w:id="821"/>
    </w:p>
    <w:p>
      <w:pPr>
        <w:spacing w:line="36" w:lineRule="auto"/>
        <w:rPr>
          <w:sz w:val="27"/>
        </w:rPr>
      </w:pPr>
    </w:p>
    <w:tbl>
      <w:tblPr>
        <w:tblStyle w:val="3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31"/>
        <w:gridCol w:w="2131"/>
        <w:gridCol w:w="2131"/>
        <w:gridCol w:w="21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1" w:type="dxa"/>
            <w:vAlign w:val="center"/>
          </w:tcPr>
          <w:p>
            <w:pPr>
              <w:jc w:val="center"/>
              <w:rPr>
                <w:b/>
                <w:sz w:val="24"/>
                <w:szCs w:val="24"/>
              </w:rPr>
            </w:pPr>
            <w:r>
              <w:rPr>
                <w:rFonts w:hint="eastAsia"/>
                <w:b/>
                <w:sz w:val="24"/>
                <w:szCs w:val="24"/>
              </w:rPr>
              <w:t>用途</w:t>
            </w:r>
          </w:p>
        </w:tc>
        <w:tc>
          <w:tcPr>
            <w:tcW w:w="2131" w:type="dxa"/>
            <w:vAlign w:val="center"/>
          </w:tcPr>
          <w:p>
            <w:pPr>
              <w:jc w:val="center"/>
              <w:rPr>
                <w:b/>
                <w:sz w:val="24"/>
                <w:szCs w:val="24"/>
              </w:rPr>
            </w:pPr>
            <w:r>
              <w:rPr>
                <w:rFonts w:hint="eastAsia"/>
                <w:b/>
                <w:sz w:val="24"/>
                <w:szCs w:val="24"/>
              </w:rPr>
              <w:t>面积（平方米）</w:t>
            </w:r>
          </w:p>
        </w:tc>
        <w:tc>
          <w:tcPr>
            <w:tcW w:w="2131" w:type="dxa"/>
            <w:vAlign w:val="center"/>
          </w:tcPr>
          <w:p>
            <w:pPr>
              <w:jc w:val="center"/>
              <w:rPr>
                <w:b/>
                <w:sz w:val="24"/>
                <w:szCs w:val="24"/>
              </w:rPr>
            </w:pPr>
            <w:r>
              <w:rPr>
                <w:rFonts w:hint="eastAsia"/>
                <w:b/>
                <w:sz w:val="24"/>
                <w:szCs w:val="24"/>
              </w:rPr>
              <w:t>位置</w:t>
            </w:r>
          </w:p>
        </w:tc>
        <w:tc>
          <w:tcPr>
            <w:tcW w:w="2131" w:type="dxa"/>
            <w:vAlign w:val="center"/>
          </w:tcPr>
          <w:p>
            <w:pPr>
              <w:jc w:val="center"/>
              <w:rPr>
                <w:b/>
                <w:sz w:val="24"/>
                <w:szCs w:val="24"/>
              </w:rPr>
            </w:pPr>
            <w:r>
              <w:rPr>
                <w:rFonts w:hint="eastAsia"/>
                <w:b/>
                <w:sz w:val="24"/>
                <w:szCs w:val="24"/>
              </w:rPr>
              <w:t>需用时间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c>
          <w:tcPr>
            <w:tcW w:w="2131" w:type="dxa"/>
            <w:vAlign w:val="center"/>
          </w:tcPr>
          <w:p>
            <w:pPr>
              <w:jc w:val="center"/>
              <w:rPr>
                <w:sz w:val="27"/>
              </w:rPr>
            </w:pPr>
          </w:p>
        </w:tc>
      </w:tr>
    </w:tbl>
    <w:p>
      <w:pPr>
        <w:spacing w:line="36" w:lineRule="auto"/>
        <w:rPr>
          <w:sz w:val="27"/>
        </w:rPr>
      </w:pPr>
    </w:p>
    <w:p>
      <w:pPr>
        <w:spacing w:line="36" w:lineRule="auto"/>
        <w:rPr>
          <w:sz w:val="27"/>
        </w:rPr>
      </w:pPr>
    </w:p>
    <w:p>
      <w:pPr>
        <w:spacing w:line="36" w:lineRule="auto"/>
        <w:rPr>
          <w:sz w:val="27"/>
        </w:rPr>
      </w:pPr>
    </w:p>
    <w:p>
      <w:pPr>
        <w:spacing w:line="36" w:lineRule="auto"/>
        <w:rPr>
          <w:sz w:val="27"/>
        </w:rPr>
      </w:pPr>
    </w:p>
    <w:p>
      <w:pPr>
        <w:pStyle w:val="3"/>
        <w:spacing w:before="0"/>
        <w:ind w:left="0"/>
        <w:jc w:val="center"/>
        <w:rPr>
          <w:sz w:val="32"/>
        </w:rPr>
      </w:pPr>
      <w:bookmarkStart w:id="822" w:name="_Toc256000105"/>
      <w:r>
        <w:rPr>
          <w:rFonts w:hint="eastAsia"/>
          <w:sz w:val="32"/>
        </w:rPr>
        <w:t>七、项目管理机构</w:t>
      </w:r>
      <w:bookmarkEnd w:id="822"/>
    </w:p>
    <w:p>
      <w:pPr>
        <w:pStyle w:val="4"/>
        <w:jc w:val="center"/>
        <w:rPr>
          <w:rFonts w:ascii="宋体" w:eastAsia="宋体" w:cs="宋体"/>
          <w:sz w:val="32"/>
        </w:rPr>
      </w:pPr>
      <w:bookmarkStart w:id="823" w:name="_Toc256000106"/>
      <w:r>
        <w:rPr>
          <w:rFonts w:hint="eastAsia" w:ascii="宋体" w:hAnsi="宋体" w:cs="宋体"/>
          <w:sz w:val="32"/>
        </w:rPr>
        <w:t>（一）项目管理机构组成表</w:t>
      </w:r>
      <w:bookmarkEnd w:id="823"/>
    </w:p>
    <w:tbl>
      <w:tblPr>
        <w:tblStyle w:val="3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6"/>
        <w:gridCol w:w="908"/>
        <w:gridCol w:w="908"/>
        <w:gridCol w:w="1595"/>
        <w:gridCol w:w="908"/>
        <w:gridCol w:w="908"/>
        <w:gridCol w:w="972"/>
        <w:gridCol w:w="10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046" w:type="dxa"/>
            <w:vMerge w:val="restart"/>
            <w:vAlign w:val="center"/>
          </w:tcPr>
          <w:p>
            <w:pPr>
              <w:jc w:val="center"/>
              <w:rPr>
                <w:b/>
                <w:sz w:val="24"/>
                <w:szCs w:val="24"/>
              </w:rPr>
            </w:pPr>
            <w:r>
              <w:rPr>
                <w:rFonts w:hint="eastAsia"/>
                <w:b/>
                <w:sz w:val="24"/>
                <w:szCs w:val="24"/>
              </w:rPr>
              <w:t>职务</w:t>
            </w:r>
          </w:p>
        </w:tc>
        <w:tc>
          <w:tcPr>
            <w:tcW w:w="908" w:type="dxa"/>
            <w:vMerge w:val="restart"/>
            <w:vAlign w:val="center"/>
          </w:tcPr>
          <w:p>
            <w:pPr>
              <w:jc w:val="center"/>
              <w:rPr>
                <w:b/>
                <w:sz w:val="24"/>
                <w:szCs w:val="24"/>
              </w:rPr>
            </w:pPr>
            <w:r>
              <w:rPr>
                <w:rFonts w:hint="eastAsia"/>
                <w:b/>
                <w:sz w:val="24"/>
                <w:szCs w:val="24"/>
              </w:rPr>
              <w:t>姓名</w:t>
            </w:r>
          </w:p>
        </w:tc>
        <w:tc>
          <w:tcPr>
            <w:tcW w:w="908" w:type="dxa"/>
            <w:vMerge w:val="restart"/>
            <w:vAlign w:val="center"/>
          </w:tcPr>
          <w:p>
            <w:pPr>
              <w:jc w:val="center"/>
              <w:rPr>
                <w:b/>
                <w:sz w:val="24"/>
                <w:szCs w:val="24"/>
              </w:rPr>
            </w:pPr>
            <w:r>
              <w:rPr>
                <w:rFonts w:hint="eastAsia"/>
                <w:b/>
                <w:sz w:val="24"/>
                <w:szCs w:val="24"/>
              </w:rPr>
              <w:t>专业技术职称</w:t>
            </w:r>
          </w:p>
        </w:tc>
        <w:tc>
          <w:tcPr>
            <w:tcW w:w="4383" w:type="dxa"/>
            <w:gridSpan w:val="4"/>
            <w:vAlign w:val="center"/>
          </w:tcPr>
          <w:p>
            <w:pPr>
              <w:jc w:val="center"/>
              <w:rPr>
                <w:b/>
                <w:sz w:val="24"/>
                <w:szCs w:val="24"/>
              </w:rPr>
            </w:pPr>
            <w:r>
              <w:rPr>
                <w:rFonts w:hint="eastAsia"/>
                <w:b/>
                <w:sz w:val="24"/>
                <w:szCs w:val="24"/>
              </w:rPr>
              <w:t>执业或职业资格证明</w:t>
            </w:r>
          </w:p>
        </w:tc>
        <w:tc>
          <w:tcPr>
            <w:tcW w:w="1018" w:type="dxa"/>
            <w:vMerge w:val="restart"/>
            <w:vAlign w:val="center"/>
          </w:tcPr>
          <w:p>
            <w:pPr>
              <w:jc w:val="center"/>
              <w:rPr>
                <w:b/>
                <w:sz w:val="24"/>
                <w:szCs w:val="24"/>
              </w:rPr>
            </w:pPr>
            <w:r>
              <w:rPr>
                <w:rFonts w:hint="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6" w:type="dxa"/>
            <w:vMerge w:val="continue"/>
            <w:vAlign w:val="center"/>
          </w:tcPr>
          <w:p>
            <w:pPr>
              <w:rPr>
                <w:b/>
                <w:sz w:val="24"/>
                <w:szCs w:val="24"/>
              </w:rPr>
            </w:pPr>
          </w:p>
        </w:tc>
        <w:tc>
          <w:tcPr>
            <w:tcW w:w="908" w:type="dxa"/>
            <w:vMerge w:val="continue"/>
            <w:vAlign w:val="center"/>
          </w:tcPr>
          <w:p>
            <w:pPr>
              <w:rPr>
                <w:b/>
                <w:sz w:val="24"/>
                <w:szCs w:val="24"/>
              </w:rPr>
            </w:pPr>
          </w:p>
        </w:tc>
        <w:tc>
          <w:tcPr>
            <w:tcW w:w="908" w:type="dxa"/>
            <w:vMerge w:val="continue"/>
            <w:vAlign w:val="center"/>
          </w:tcPr>
          <w:p>
            <w:pPr>
              <w:rPr>
                <w:b/>
                <w:sz w:val="24"/>
                <w:szCs w:val="24"/>
              </w:rPr>
            </w:pPr>
          </w:p>
        </w:tc>
        <w:tc>
          <w:tcPr>
            <w:tcW w:w="1595" w:type="dxa"/>
            <w:vAlign w:val="center"/>
          </w:tcPr>
          <w:p>
            <w:pPr>
              <w:jc w:val="center"/>
              <w:rPr>
                <w:b/>
                <w:sz w:val="24"/>
                <w:szCs w:val="24"/>
              </w:rPr>
            </w:pPr>
            <w:r>
              <w:rPr>
                <w:rFonts w:hint="eastAsia"/>
                <w:b/>
                <w:sz w:val="24"/>
                <w:szCs w:val="24"/>
              </w:rPr>
              <w:t>证书名称</w:t>
            </w:r>
          </w:p>
        </w:tc>
        <w:tc>
          <w:tcPr>
            <w:tcW w:w="908" w:type="dxa"/>
            <w:vAlign w:val="center"/>
          </w:tcPr>
          <w:p>
            <w:pPr>
              <w:rPr>
                <w:b/>
                <w:sz w:val="24"/>
                <w:szCs w:val="24"/>
              </w:rPr>
            </w:pPr>
            <w:r>
              <w:rPr>
                <w:rFonts w:hint="eastAsia"/>
                <w:b/>
                <w:sz w:val="24"/>
                <w:szCs w:val="24"/>
              </w:rPr>
              <w:t>级别</w:t>
            </w:r>
          </w:p>
        </w:tc>
        <w:tc>
          <w:tcPr>
            <w:tcW w:w="908" w:type="dxa"/>
            <w:vAlign w:val="center"/>
          </w:tcPr>
          <w:p>
            <w:pPr>
              <w:jc w:val="center"/>
              <w:rPr>
                <w:b/>
                <w:sz w:val="24"/>
                <w:szCs w:val="24"/>
              </w:rPr>
            </w:pPr>
            <w:r>
              <w:rPr>
                <w:rFonts w:hint="eastAsia"/>
                <w:b/>
                <w:sz w:val="24"/>
                <w:szCs w:val="24"/>
              </w:rPr>
              <w:t>证号</w:t>
            </w:r>
          </w:p>
        </w:tc>
        <w:tc>
          <w:tcPr>
            <w:tcW w:w="972" w:type="dxa"/>
            <w:vAlign w:val="center"/>
          </w:tcPr>
          <w:p>
            <w:pPr>
              <w:jc w:val="center"/>
              <w:rPr>
                <w:b/>
                <w:sz w:val="24"/>
                <w:szCs w:val="24"/>
              </w:rPr>
            </w:pPr>
            <w:r>
              <w:rPr>
                <w:rFonts w:hint="eastAsia"/>
                <w:b/>
                <w:sz w:val="24"/>
                <w:szCs w:val="24"/>
              </w:rPr>
              <w:t>专业</w:t>
            </w:r>
          </w:p>
        </w:tc>
        <w:tc>
          <w:tcPr>
            <w:tcW w:w="1018" w:type="dxa"/>
            <w:vMerge w:val="continue"/>
            <w:vAlign w:val="center"/>
          </w:tcPr>
          <w:p>
            <w:pPr>
              <w:jc w:val="center"/>
              <w:rPr>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6"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1595"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972" w:type="dxa"/>
            <w:vAlign w:val="center"/>
          </w:tcPr>
          <w:p>
            <w:pPr>
              <w:jc w:val="center"/>
              <w:rPr>
                <w:sz w:val="27"/>
              </w:rPr>
            </w:pPr>
          </w:p>
        </w:tc>
        <w:tc>
          <w:tcPr>
            <w:tcW w:w="1018"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6"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1595"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972" w:type="dxa"/>
            <w:vAlign w:val="center"/>
          </w:tcPr>
          <w:p>
            <w:pPr>
              <w:jc w:val="center"/>
              <w:rPr>
                <w:sz w:val="27"/>
              </w:rPr>
            </w:pPr>
          </w:p>
        </w:tc>
        <w:tc>
          <w:tcPr>
            <w:tcW w:w="1018"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6"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1595"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972" w:type="dxa"/>
            <w:vAlign w:val="center"/>
          </w:tcPr>
          <w:p>
            <w:pPr>
              <w:jc w:val="center"/>
              <w:rPr>
                <w:sz w:val="27"/>
              </w:rPr>
            </w:pPr>
          </w:p>
        </w:tc>
        <w:tc>
          <w:tcPr>
            <w:tcW w:w="1018"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6"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1595"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972" w:type="dxa"/>
            <w:vAlign w:val="center"/>
          </w:tcPr>
          <w:p>
            <w:pPr>
              <w:jc w:val="center"/>
              <w:rPr>
                <w:sz w:val="27"/>
              </w:rPr>
            </w:pPr>
          </w:p>
        </w:tc>
        <w:tc>
          <w:tcPr>
            <w:tcW w:w="1018"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6"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1595"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972" w:type="dxa"/>
            <w:vAlign w:val="center"/>
          </w:tcPr>
          <w:p>
            <w:pPr>
              <w:jc w:val="center"/>
              <w:rPr>
                <w:sz w:val="27"/>
              </w:rPr>
            </w:pPr>
          </w:p>
        </w:tc>
        <w:tc>
          <w:tcPr>
            <w:tcW w:w="1018"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6"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1595"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972" w:type="dxa"/>
            <w:vAlign w:val="center"/>
          </w:tcPr>
          <w:p>
            <w:pPr>
              <w:jc w:val="center"/>
              <w:rPr>
                <w:sz w:val="27"/>
              </w:rPr>
            </w:pPr>
          </w:p>
        </w:tc>
        <w:tc>
          <w:tcPr>
            <w:tcW w:w="1018"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6"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1595"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972" w:type="dxa"/>
            <w:vAlign w:val="center"/>
          </w:tcPr>
          <w:p>
            <w:pPr>
              <w:jc w:val="center"/>
              <w:rPr>
                <w:sz w:val="27"/>
              </w:rPr>
            </w:pPr>
          </w:p>
        </w:tc>
        <w:tc>
          <w:tcPr>
            <w:tcW w:w="1018"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6"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1595"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972" w:type="dxa"/>
            <w:vAlign w:val="center"/>
          </w:tcPr>
          <w:p>
            <w:pPr>
              <w:jc w:val="center"/>
              <w:rPr>
                <w:sz w:val="27"/>
              </w:rPr>
            </w:pPr>
          </w:p>
        </w:tc>
        <w:tc>
          <w:tcPr>
            <w:tcW w:w="1018"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6"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1595"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972" w:type="dxa"/>
            <w:vAlign w:val="center"/>
          </w:tcPr>
          <w:p>
            <w:pPr>
              <w:jc w:val="center"/>
              <w:rPr>
                <w:sz w:val="27"/>
              </w:rPr>
            </w:pPr>
          </w:p>
        </w:tc>
        <w:tc>
          <w:tcPr>
            <w:tcW w:w="1018"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6"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1595"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972" w:type="dxa"/>
            <w:vAlign w:val="center"/>
          </w:tcPr>
          <w:p>
            <w:pPr>
              <w:jc w:val="center"/>
              <w:rPr>
                <w:sz w:val="27"/>
              </w:rPr>
            </w:pPr>
          </w:p>
        </w:tc>
        <w:tc>
          <w:tcPr>
            <w:tcW w:w="1018"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6"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1595"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972" w:type="dxa"/>
            <w:vAlign w:val="center"/>
          </w:tcPr>
          <w:p>
            <w:pPr>
              <w:jc w:val="center"/>
              <w:rPr>
                <w:sz w:val="27"/>
              </w:rPr>
            </w:pPr>
          </w:p>
        </w:tc>
        <w:tc>
          <w:tcPr>
            <w:tcW w:w="1018"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6"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1595"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972" w:type="dxa"/>
            <w:vAlign w:val="center"/>
          </w:tcPr>
          <w:p>
            <w:pPr>
              <w:jc w:val="center"/>
              <w:rPr>
                <w:sz w:val="27"/>
              </w:rPr>
            </w:pPr>
          </w:p>
        </w:tc>
        <w:tc>
          <w:tcPr>
            <w:tcW w:w="1018"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6"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1595"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972" w:type="dxa"/>
            <w:vAlign w:val="center"/>
          </w:tcPr>
          <w:p>
            <w:pPr>
              <w:jc w:val="center"/>
              <w:rPr>
                <w:sz w:val="27"/>
              </w:rPr>
            </w:pPr>
          </w:p>
        </w:tc>
        <w:tc>
          <w:tcPr>
            <w:tcW w:w="1018"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046"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1595" w:type="dxa"/>
            <w:vAlign w:val="center"/>
          </w:tcPr>
          <w:p>
            <w:pPr>
              <w:jc w:val="center"/>
              <w:rPr>
                <w:sz w:val="27"/>
              </w:rPr>
            </w:pPr>
          </w:p>
        </w:tc>
        <w:tc>
          <w:tcPr>
            <w:tcW w:w="908" w:type="dxa"/>
            <w:vAlign w:val="center"/>
          </w:tcPr>
          <w:p>
            <w:pPr>
              <w:jc w:val="center"/>
              <w:rPr>
                <w:sz w:val="27"/>
              </w:rPr>
            </w:pPr>
          </w:p>
        </w:tc>
        <w:tc>
          <w:tcPr>
            <w:tcW w:w="908" w:type="dxa"/>
            <w:vAlign w:val="center"/>
          </w:tcPr>
          <w:p>
            <w:pPr>
              <w:jc w:val="center"/>
              <w:rPr>
                <w:sz w:val="27"/>
              </w:rPr>
            </w:pPr>
          </w:p>
        </w:tc>
        <w:tc>
          <w:tcPr>
            <w:tcW w:w="972" w:type="dxa"/>
            <w:vAlign w:val="center"/>
          </w:tcPr>
          <w:p>
            <w:pPr>
              <w:jc w:val="center"/>
              <w:rPr>
                <w:sz w:val="27"/>
              </w:rPr>
            </w:pPr>
          </w:p>
        </w:tc>
        <w:tc>
          <w:tcPr>
            <w:tcW w:w="1018" w:type="dxa"/>
            <w:vAlign w:val="center"/>
          </w:tcPr>
          <w:p>
            <w:pPr>
              <w:jc w:val="center"/>
              <w:rPr>
                <w:sz w:val="27"/>
              </w:rPr>
            </w:pPr>
          </w:p>
        </w:tc>
      </w:tr>
    </w:tbl>
    <w:p>
      <w:pPr>
        <w:spacing w:line="36" w:lineRule="auto"/>
        <w:rPr>
          <w:sz w:val="27"/>
        </w:rPr>
      </w:pPr>
    </w:p>
    <w:p>
      <w:pPr>
        <w:spacing w:line="36" w:lineRule="auto"/>
        <w:rPr>
          <w:sz w:val="27"/>
        </w:rPr>
      </w:pPr>
    </w:p>
    <w:p>
      <w:pPr>
        <w:spacing w:line="36" w:lineRule="auto"/>
        <w:rPr>
          <w:sz w:val="27"/>
        </w:rPr>
      </w:pPr>
    </w:p>
    <w:p>
      <w:pPr>
        <w:spacing w:line="36" w:lineRule="auto"/>
        <w:rPr>
          <w:sz w:val="27"/>
        </w:rPr>
      </w:pPr>
    </w:p>
    <w:p>
      <w:pPr>
        <w:spacing w:line="36" w:lineRule="auto"/>
        <w:rPr>
          <w:sz w:val="27"/>
        </w:rPr>
      </w:pPr>
    </w:p>
    <w:p>
      <w:pPr>
        <w:pStyle w:val="4"/>
        <w:spacing w:line="36" w:lineRule="auto"/>
        <w:jc w:val="center"/>
        <w:rPr>
          <w:rFonts w:ascii="宋体" w:eastAsia="宋体" w:cs="宋体"/>
          <w:sz w:val="32"/>
        </w:rPr>
      </w:pPr>
      <w:bookmarkStart w:id="824" w:name="_Toc256000107"/>
      <w:r>
        <w:rPr>
          <w:rFonts w:hint="eastAsia" w:ascii="宋体" w:hAnsi="宋体" w:cs="宋体"/>
          <w:sz w:val="32"/>
        </w:rPr>
        <w:t>（二）主要人员简历表</w:t>
      </w:r>
      <w:bookmarkEnd w:id="824"/>
    </w:p>
    <w:tbl>
      <w:tblPr>
        <w:tblStyle w:val="3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20"/>
        <w:gridCol w:w="710"/>
        <w:gridCol w:w="710"/>
        <w:gridCol w:w="1421"/>
        <w:gridCol w:w="1420"/>
        <w:gridCol w:w="710"/>
        <w:gridCol w:w="710"/>
        <w:gridCol w:w="14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20" w:type="dxa"/>
            <w:vAlign w:val="center"/>
          </w:tcPr>
          <w:p>
            <w:pPr>
              <w:jc w:val="center"/>
              <w:rPr>
                <w:b/>
                <w:sz w:val="24"/>
                <w:szCs w:val="24"/>
              </w:rPr>
            </w:pPr>
            <w:r>
              <w:rPr>
                <w:rFonts w:hint="eastAsia"/>
                <w:b/>
                <w:sz w:val="24"/>
                <w:szCs w:val="24"/>
              </w:rPr>
              <w:t>姓名</w:t>
            </w:r>
          </w:p>
        </w:tc>
        <w:tc>
          <w:tcPr>
            <w:tcW w:w="1420" w:type="dxa"/>
            <w:gridSpan w:val="2"/>
            <w:vAlign w:val="center"/>
          </w:tcPr>
          <w:p>
            <w:pPr>
              <w:jc w:val="center"/>
              <w:rPr>
                <w:b/>
                <w:sz w:val="24"/>
                <w:szCs w:val="24"/>
              </w:rPr>
            </w:pPr>
          </w:p>
        </w:tc>
        <w:tc>
          <w:tcPr>
            <w:tcW w:w="1420" w:type="dxa"/>
            <w:vAlign w:val="center"/>
          </w:tcPr>
          <w:p>
            <w:pPr>
              <w:jc w:val="center"/>
              <w:rPr>
                <w:b/>
                <w:sz w:val="24"/>
                <w:szCs w:val="24"/>
              </w:rPr>
            </w:pPr>
            <w:r>
              <w:rPr>
                <w:rFonts w:hint="eastAsia"/>
                <w:b/>
                <w:sz w:val="24"/>
                <w:szCs w:val="24"/>
              </w:rPr>
              <w:t>年龄</w:t>
            </w:r>
          </w:p>
        </w:tc>
        <w:tc>
          <w:tcPr>
            <w:tcW w:w="1420" w:type="dxa"/>
            <w:vAlign w:val="center"/>
          </w:tcPr>
          <w:p>
            <w:pPr>
              <w:jc w:val="center"/>
              <w:rPr>
                <w:b/>
                <w:sz w:val="24"/>
                <w:szCs w:val="24"/>
              </w:rPr>
            </w:pPr>
          </w:p>
        </w:tc>
        <w:tc>
          <w:tcPr>
            <w:tcW w:w="1420" w:type="dxa"/>
            <w:gridSpan w:val="2"/>
            <w:vMerge w:val="restart"/>
            <w:vAlign w:val="center"/>
          </w:tcPr>
          <w:p>
            <w:pPr>
              <w:jc w:val="center"/>
              <w:rPr>
                <w:b/>
                <w:sz w:val="24"/>
                <w:szCs w:val="24"/>
              </w:rPr>
            </w:pPr>
            <w:r>
              <w:rPr>
                <w:rFonts w:hint="eastAsia"/>
                <w:b/>
                <w:sz w:val="24"/>
                <w:szCs w:val="24"/>
              </w:rPr>
              <w:t>拟在本合同任职</w:t>
            </w:r>
          </w:p>
        </w:tc>
        <w:tc>
          <w:tcPr>
            <w:tcW w:w="1422" w:type="dxa"/>
            <w:vMerge w:val="restart"/>
            <w:vAlign w:val="center"/>
          </w:tcPr>
          <w:p>
            <w:pPr>
              <w:jc w:val="center"/>
              <w:rPr>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67" w:hRule="atLeast"/>
          <w:jc w:val="center"/>
        </w:trPr>
        <w:tc>
          <w:tcPr>
            <w:tcW w:w="1420" w:type="dxa"/>
            <w:vAlign w:val="center"/>
          </w:tcPr>
          <w:p>
            <w:pPr>
              <w:jc w:val="center"/>
              <w:rPr>
                <w:b/>
                <w:sz w:val="24"/>
                <w:szCs w:val="24"/>
              </w:rPr>
            </w:pPr>
            <w:r>
              <w:rPr>
                <w:rFonts w:hint="eastAsia"/>
                <w:b/>
                <w:sz w:val="24"/>
                <w:szCs w:val="24"/>
              </w:rPr>
              <w:t>专业技术职称</w:t>
            </w:r>
          </w:p>
        </w:tc>
        <w:tc>
          <w:tcPr>
            <w:tcW w:w="1420" w:type="dxa"/>
            <w:gridSpan w:val="2"/>
            <w:vAlign w:val="center"/>
          </w:tcPr>
          <w:p>
            <w:pPr>
              <w:jc w:val="center"/>
              <w:rPr>
                <w:b/>
                <w:sz w:val="24"/>
                <w:szCs w:val="24"/>
              </w:rPr>
            </w:pPr>
          </w:p>
        </w:tc>
        <w:tc>
          <w:tcPr>
            <w:tcW w:w="1420" w:type="dxa"/>
            <w:vAlign w:val="center"/>
          </w:tcPr>
          <w:p>
            <w:pPr>
              <w:jc w:val="center"/>
              <w:rPr>
                <w:b/>
                <w:sz w:val="24"/>
                <w:szCs w:val="24"/>
              </w:rPr>
            </w:pPr>
            <w:r>
              <w:rPr>
                <w:rFonts w:hint="eastAsia"/>
                <w:b/>
                <w:sz w:val="24"/>
                <w:szCs w:val="24"/>
              </w:rPr>
              <w:t>职务</w:t>
            </w:r>
          </w:p>
        </w:tc>
        <w:tc>
          <w:tcPr>
            <w:tcW w:w="1420" w:type="dxa"/>
            <w:vAlign w:val="center"/>
          </w:tcPr>
          <w:p>
            <w:pPr>
              <w:jc w:val="center"/>
              <w:rPr>
                <w:b/>
                <w:sz w:val="24"/>
                <w:szCs w:val="24"/>
              </w:rPr>
            </w:pPr>
          </w:p>
        </w:tc>
        <w:tc>
          <w:tcPr>
            <w:tcW w:w="1420" w:type="dxa"/>
            <w:gridSpan w:val="2"/>
            <w:vMerge w:val="continue"/>
            <w:vAlign w:val="center"/>
          </w:tcPr>
          <w:p>
            <w:pPr>
              <w:jc w:val="center"/>
              <w:rPr>
                <w:b/>
                <w:sz w:val="24"/>
                <w:szCs w:val="24"/>
              </w:rPr>
            </w:pPr>
          </w:p>
        </w:tc>
        <w:tc>
          <w:tcPr>
            <w:tcW w:w="1422" w:type="dxa"/>
            <w:vMerge w:val="continue"/>
            <w:vAlign w:val="center"/>
          </w:tcPr>
          <w:p>
            <w:pPr>
              <w:jc w:val="center"/>
              <w:rPr>
                <w:b/>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4261" w:type="dxa"/>
            <w:gridSpan w:val="4"/>
            <w:vAlign w:val="center"/>
          </w:tcPr>
          <w:p>
            <w:pPr>
              <w:jc w:val="center"/>
              <w:rPr>
                <w:b/>
                <w:sz w:val="24"/>
                <w:szCs w:val="24"/>
              </w:rPr>
            </w:pPr>
            <w:r>
              <w:rPr>
                <w:rFonts w:hint="eastAsia"/>
                <w:b/>
                <w:sz w:val="24"/>
                <w:szCs w:val="24"/>
              </w:rPr>
              <w:t>毕业学校</w:t>
            </w:r>
          </w:p>
        </w:tc>
        <w:tc>
          <w:tcPr>
            <w:tcW w:w="4261" w:type="dxa"/>
            <w:gridSpan w:val="4"/>
            <w:vAlign w:val="center"/>
          </w:tcPr>
          <w:p>
            <w:pPr>
              <w:jc w:val="center"/>
              <w:rPr>
                <w:b/>
                <w:sz w:val="24"/>
                <w:szCs w:val="24"/>
              </w:rPr>
            </w:pPr>
            <w:r>
              <w:rPr>
                <w:rFonts w:hint="eastAsia"/>
                <w:b/>
                <w:sz w:val="24"/>
                <w:szCs w:val="24"/>
              </w:rPr>
              <w:t>年毕业于学校专业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22" w:type="dxa"/>
            <w:gridSpan w:val="8"/>
            <w:vAlign w:val="center"/>
          </w:tcPr>
          <w:p>
            <w:pPr>
              <w:jc w:val="center"/>
              <w:rPr>
                <w:b/>
                <w:sz w:val="24"/>
                <w:szCs w:val="24"/>
              </w:rPr>
            </w:pPr>
            <w:r>
              <w:rPr>
                <w:rFonts w:hint="eastAsia"/>
                <w:b/>
                <w:sz w:val="24"/>
                <w:szCs w:val="24"/>
              </w:rPr>
              <w:t>主要工作经历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0" w:type="dxa"/>
            <w:gridSpan w:val="2"/>
            <w:vAlign w:val="center"/>
          </w:tcPr>
          <w:p>
            <w:pPr>
              <w:jc w:val="center"/>
              <w:rPr>
                <w:b/>
                <w:sz w:val="24"/>
                <w:szCs w:val="24"/>
              </w:rPr>
            </w:pPr>
            <w:r>
              <w:rPr>
                <w:rFonts w:hint="eastAsia"/>
                <w:b/>
                <w:sz w:val="24"/>
                <w:szCs w:val="24"/>
              </w:rPr>
              <w:t>时间</w:t>
            </w:r>
          </w:p>
        </w:tc>
        <w:tc>
          <w:tcPr>
            <w:tcW w:w="2130" w:type="dxa"/>
            <w:gridSpan w:val="2"/>
            <w:vAlign w:val="center"/>
          </w:tcPr>
          <w:p>
            <w:pPr>
              <w:jc w:val="center"/>
              <w:rPr>
                <w:b/>
                <w:sz w:val="24"/>
                <w:szCs w:val="24"/>
              </w:rPr>
            </w:pPr>
            <w:r>
              <w:rPr>
                <w:rFonts w:hint="eastAsia"/>
                <w:b/>
                <w:sz w:val="24"/>
                <w:szCs w:val="24"/>
              </w:rPr>
              <w:t>参加过的类似项目</w:t>
            </w:r>
          </w:p>
        </w:tc>
        <w:tc>
          <w:tcPr>
            <w:tcW w:w="2130" w:type="dxa"/>
            <w:gridSpan w:val="2"/>
            <w:vAlign w:val="center"/>
          </w:tcPr>
          <w:p>
            <w:pPr>
              <w:jc w:val="center"/>
              <w:rPr>
                <w:b/>
                <w:sz w:val="24"/>
                <w:szCs w:val="24"/>
              </w:rPr>
            </w:pPr>
            <w:r>
              <w:rPr>
                <w:rFonts w:hint="eastAsia"/>
                <w:b/>
                <w:sz w:val="24"/>
                <w:szCs w:val="24"/>
              </w:rPr>
              <w:t>担任职务</w:t>
            </w:r>
          </w:p>
        </w:tc>
        <w:tc>
          <w:tcPr>
            <w:tcW w:w="2132" w:type="dxa"/>
            <w:gridSpan w:val="2"/>
            <w:vAlign w:val="center"/>
          </w:tcPr>
          <w:p>
            <w:pPr>
              <w:jc w:val="center"/>
              <w:rPr>
                <w:b/>
                <w:sz w:val="24"/>
                <w:szCs w:val="24"/>
              </w:rPr>
            </w:pPr>
            <w:r>
              <w:rPr>
                <w:rFonts w:hint="eastAsia"/>
                <w:b/>
                <w:sz w:val="24"/>
                <w:szCs w:val="24"/>
              </w:rPr>
              <w:t>发包人及联系电话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0" w:type="dxa"/>
            <w:gridSpan w:val="2"/>
            <w:vAlign w:val="center"/>
          </w:tcPr>
          <w:p>
            <w:pPr>
              <w:jc w:val="center"/>
              <w:rPr>
                <w:sz w:val="27"/>
              </w:rPr>
            </w:pPr>
          </w:p>
        </w:tc>
        <w:tc>
          <w:tcPr>
            <w:tcW w:w="2130" w:type="dxa"/>
            <w:gridSpan w:val="2"/>
            <w:vAlign w:val="center"/>
          </w:tcPr>
          <w:p>
            <w:pPr>
              <w:jc w:val="center"/>
              <w:rPr>
                <w:sz w:val="27"/>
              </w:rPr>
            </w:pPr>
          </w:p>
        </w:tc>
        <w:tc>
          <w:tcPr>
            <w:tcW w:w="2130" w:type="dxa"/>
            <w:gridSpan w:val="2"/>
            <w:vAlign w:val="center"/>
          </w:tcPr>
          <w:p>
            <w:pPr>
              <w:jc w:val="center"/>
              <w:rPr>
                <w:sz w:val="27"/>
              </w:rPr>
            </w:pPr>
          </w:p>
        </w:tc>
        <w:tc>
          <w:tcPr>
            <w:tcW w:w="2132" w:type="dxa"/>
            <w:gridSpan w:val="2"/>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0" w:type="dxa"/>
            <w:gridSpan w:val="2"/>
            <w:vAlign w:val="center"/>
          </w:tcPr>
          <w:p>
            <w:pPr>
              <w:jc w:val="center"/>
              <w:rPr>
                <w:sz w:val="27"/>
              </w:rPr>
            </w:pPr>
          </w:p>
        </w:tc>
        <w:tc>
          <w:tcPr>
            <w:tcW w:w="2130" w:type="dxa"/>
            <w:gridSpan w:val="2"/>
            <w:vAlign w:val="center"/>
          </w:tcPr>
          <w:p>
            <w:pPr>
              <w:jc w:val="center"/>
              <w:rPr>
                <w:sz w:val="27"/>
              </w:rPr>
            </w:pPr>
          </w:p>
        </w:tc>
        <w:tc>
          <w:tcPr>
            <w:tcW w:w="2130" w:type="dxa"/>
            <w:gridSpan w:val="2"/>
            <w:vAlign w:val="center"/>
          </w:tcPr>
          <w:p>
            <w:pPr>
              <w:jc w:val="center"/>
              <w:rPr>
                <w:sz w:val="27"/>
              </w:rPr>
            </w:pPr>
          </w:p>
        </w:tc>
        <w:tc>
          <w:tcPr>
            <w:tcW w:w="2132" w:type="dxa"/>
            <w:gridSpan w:val="2"/>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0" w:type="dxa"/>
            <w:gridSpan w:val="2"/>
            <w:vAlign w:val="center"/>
          </w:tcPr>
          <w:p>
            <w:pPr>
              <w:jc w:val="center"/>
              <w:rPr>
                <w:sz w:val="27"/>
              </w:rPr>
            </w:pPr>
          </w:p>
        </w:tc>
        <w:tc>
          <w:tcPr>
            <w:tcW w:w="2130" w:type="dxa"/>
            <w:gridSpan w:val="2"/>
            <w:vAlign w:val="center"/>
          </w:tcPr>
          <w:p>
            <w:pPr>
              <w:jc w:val="center"/>
              <w:rPr>
                <w:sz w:val="27"/>
              </w:rPr>
            </w:pPr>
          </w:p>
        </w:tc>
        <w:tc>
          <w:tcPr>
            <w:tcW w:w="2130" w:type="dxa"/>
            <w:gridSpan w:val="2"/>
            <w:vAlign w:val="center"/>
          </w:tcPr>
          <w:p>
            <w:pPr>
              <w:jc w:val="center"/>
              <w:rPr>
                <w:sz w:val="27"/>
              </w:rPr>
            </w:pPr>
          </w:p>
        </w:tc>
        <w:tc>
          <w:tcPr>
            <w:tcW w:w="2132" w:type="dxa"/>
            <w:gridSpan w:val="2"/>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0" w:type="dxa"/>
            <w:gridSpan w:val="2"/>
            <w:vAlign w:val="center"/>
          </w:tcPr>
          <w:p>
            <w:pPr>
              <w:jc w:val="center"/>
              <w:rPr>
                <w:sz w:val="27"/>
              </w:rPr>
            </w:pPr>
          </w:p>
        </w:tc>
        <w:tc>
          <w:tcPr>
            <w:tcW w:w="2130" w:type="dxa"/>
            <w:gridSpan w:val="2"/>
            <w:vAlign w:val="center"/>
          </w:tcPr>
          <w:p>
            <w:pPr>
              <w:jc w:val="center"/>
              <w:rPr>
                <w:sz w:val="27"/>
              </w:rPr>
            </w:pPr>
          </w:p>
        </w:tc>
        <w:tc>
          <w:tcPr>
            <w:tcW w:w="2130" w:type="dxa"/>
            <w:gridSpan w:val="2"/>
            <w:vAlign w:val="center"/>
          </w:tcPr>
          <w:p>
            <w:pPr>
              <w:jc w:val="center"/>
              <w:rPr>
                <w:sz w:val="27"/>
              </w:rPr>
            </w:pPr>
          </w:p>
        </w:tc>
        <w:tc>
          <w:tcPr>
            <w:tcW w:w="2132" w:type="dxa"/>
            <w:gridSpan w:val="2"/>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0" w:type="dxa"/>
            <w:gridSpan w:val="2"/>
            <w:vAlign w:val="center"/>
          </w:tcPr>
          <w:p>
            <w:pPr>
              <w:jc w:val="center"/>
              <w:rPr>
                <w:sz w:val="27"/>
              </w:rPr>
            </w:pPr>
          </w:p>
        </w:tc>
        <w:tc>
          <w:tcPr>
            <w:tcW w:w="2130" w:type="dxa"/>
            <w:gridSpan w:val="2"/>
            <w:vAlign w:val="center"/>
          </w:tcPr>
          <w:p>
            <w:pPr>
              <w:jc w:val="center"/>
              <w:rPr>
                <w:sz w:val="27"/>
              </w:rPr>
            </w:pPr>
          </w:p>
        </w:tc>
        <w:tc>
          <w:tcPr>
            <w:tcW w:w="2130" w:type="dxa"/>
            <w:gridSpan w:val="2"/>
            <w:vAlign w:val="center"/>
          </w:tcPr>
          <w:p>
            <w:pPr>
              <w:jc w:val="center"/>
              <w:rPr>
                <w:sz w:val="27"/>
              </w:rPr>
            </w:pPr>
          </w:p>
        </w:tc>
        <w:tc>
          <w:tcPr>
            <w:tcW w:w="2132" w:type="dxa"/>
            <w:gridSpan w:val="2"/>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0" w:type="dxa"/>
            <w:gridSpan w:val="2"/>
            <w:vAlign w:val="center"/>
          </w:tcPr>
          <w:p>
            <w:pPr>
              <w:jc w:val="center"/>
              <w:rPr>
                <w:sz w:val="27"/>
              </w:rPr>
            </w:pPr>
          </w:p>
        </w:tc>
        <w:tc>
          <w:tcPr>
            <w:tcW w:w="2130" w:type="dxa"/>
            <w:gridSpan w:val="2"/>
            <w:vAlign w:val="center"/>
          </w:tcPr>
          <w:p>
            <w:pPr>
              <w:jc w:val="center"/>
              <w:rPr>
                <w:sz w:val="27"/>
              </w:rPr>
            </w:pPr>
          </w:p>
        </w:tc>
        <w:tc>
          <w:tcPr>
            <w:tcW w:w="2130" w:type="dxa"/>
            <w:gridSpan w:val="2"/>
            <w:vAlign w:val="center"/>
          </w:tcPr>
          <w:p>
            <w:pPr>
              <w:jc w:val="center"/>
              <w:rPr>
                <w:sz w:val="27"/>
              </w:rPr>
            </w:pPr>
          </w:p>
        </w:tc>
        <w:tc>
          <w:tcPr>
            <w:tcW w:w="2132" w:type="dxa"/>
            <w:gridSpan w:val="2"/>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30" w:type="dxa"/>
            <w:gridSpan w:val="2"/>
            <w:vAlign w:val="center"/>
          </w:tcPr>
          <w:p>
            <w:pPr>
              <w:jc w:val="center"/>
              <w:rPr>
                <w:sz w:val="27"/>
              </w:rPr>
            </w:pPr>
          </w:p>
        </w:tc>
        <w:tc>
          <w:tcPr>
            <w:tcW w:w="2130" w:type="dxa"/>
            <w:gridSpan w:val="2"/>
            <w:vAlign w:val="center"/>
          </w:tcPr>
          <w:p>
            <w:pPr>
              <w:jc w:val="center"/>
              <w:rPr>
                <w:sz w:val="27"/>
              </w:rPr>
            </w:pPr>
          </w:p>
        </w:tc>
        <w:tc>
          <w:tcPr>
            <w:tcW w:w="2130" w:type="dxa"/>
            <w:gridSpan w:val="2"/>
            <w:vAlign w:val="center"/>
          </w:tcPr>
          <w:p>
            <w:pPr>
              <w:jc w:val="center"/>
              <w:rPr>
                <w:sz w:val="27"/>
              </w:rPr>
            </w:pPr>
          </w:p>
        </w:tc>
        <w:tc>
          <w:tcPr>
            <w:tcW w:w="2132" w:type="dxa"/>
            <w:gridSpan w:val="2"/>
            <w:vAlign w:val="center"/>
          </w:tcPr>
          <w:p>
            <w:pPr>
              <w:jc w:val="center"/>
              <w:rPr>
                <w:sz w:val="27"/>
              </w:rPr>
            </w:pPr>
          </w:p>
        </w:tc>
      </w:tr>
    </w:tbl>
    <w:p>
      <w:pPr>
        <w:spacing w:line="360" w:lineRule="auto"/>
        <w:rPr>
          <w:sz w:val="24"/>
          <w:szCs w:val="24"/>
        </w:rPr>
      </w:pPr>
      <w:r>
        <w:rPr>
          <w:rFonts w:hint="eastAsia"/>
          <w:sz w:val="24"/>
          <w:szCs w:val="24"/>
        </w:rPr>
        <w:t>注：（</w:t>
      </w:r>
      <w:r>
        <w:rPr>
          <w:sz w:val="24"/>
          <w:szCs w:val="24"/>
        </w:rPr>
        <w:t>1</w:t>
      </w:r>
      <w:r>
        <w:rPr>
          <w:rFonts w:hint="eastAsia"/>
          <w:sz w:val="24"/>
          <w:szCs w:val="24"/>
        </w:rPr>
        <w:t>）项目经理、技术负责人应附身份证、社保缴费证明和第二章投标人须知前附表</w:t>
      </w:r>
      <w:r>
        <w:rPr>
          <w:sz w:val="24"/>
          <w:szCs w:val="24"/>
        </w:rPr>
        <w:t>1.4.1</w:t>
      </w:r>
      <w:r>
        <w:rPr>
          <w:rFonts w:hint="eastAsia"/>
          <w:sz w:val="24"/>
          <w:szCs w:val="24"/>
        </w:rPr>
        <w:t>条规定的证书扫描件；其他人员应附身份证、社保缴费证明和第三章评标办法中规定的证书扫描件。</w:t>
      </w:r>
    </w:p>
    <w:p>
      <w:pPr>
        <w:tabs>
          <w:tab w:val="left" w:pos="0"/>
          <w:tab w:val="left" w:pos="1134"/>
        </w:tabs>
        <w:spacing w:line="360" w:lineRule="auto"/>
        <w:ind w:firstLine="480" w:firstLineChars="200"/>
        <w:textAlignment w:val="bottom"/>
        <w:rPr>
          <w:sz w:val="24"/>
          <w:szCs w:val="24"/>
        </w:rPr>
      </w:pPr>
      <w:r>
        <w:rPr>
          <w:rFonts w:hint="eastAsia"/>
          <w:sz w:val="24"/>
          <w:szCs w:val="24"/>
        </w:rPr>
        <w:t>（</w:t>
      </w:r>
      <w:r>
        <w:rPr>
          <w:sz w:val="24"/>
          <w:szCs w:val="24"/>
        </w:rPr>
        <w:t>2</w:t>
      </w:r>
      <w:r>
        <w:rPr>
          <w:rFonts w:hint="eastAsia"/>
          <w:sz w:val="24"/>
          <w:szCs w:val="24"/>
        </w:rPr>
        <w:t>）社保缴费证明是指，由社保部门出具的主要人员在该投标人单位最近</w:t>
      </w:r>
      <w:r>
        <w:rPr>
          <w:sz w:val="24"/>
          <w:szCs w:val="24"/>
        </w:rPr>
        <w:t xml:space="preserve"> 6 </w:t>
      </w:r>
      <w:r>
        <w:rPr>
          <w:rFonts w:hint="eastAsia"/>
          <w:sz w:val="24"/>
          <w:szCs w:val="24"/>
        </w:rPr>
        <w:t>个月连续缴费证明，从招标文件开始下载时间的上一个月或上上个月起算，往前推</w:t>
      </w:r>
      <w:r>
        <w:rPr>
          <w:sz w:val="24"/>
          <w:szCs w:val="24"/>
        </w:rPr>
        <w:t>6</w:t>
      </w:r>
      <w:r>
        <w:rPr>
          <w:rFonts w:hint="eastAsia"/>
          <w:sz w:val="24"/>
          <w:szCs w:val="24"/>
        </w:rPr>
        <w:t>个月的连续、不间断的缴费证明，企业设立不足</w:t>
      </w:r>
      <w:r>
        <w:rPr>
          <w:sz w:val="24"/>
          <w:szCs w:val="24"/>
        </w:rPr>
        <w:t>6</w:t>
      </w:r>
      <w:r>
        <w:rPr>
          <w:rFonts w:hint="eastAsia"/>
          <w:sz w:val="24"/>
          <w:szCs w:val="24"/>
        </w:rPr>
        <w:t>个月的可少于</w:t>
      </w:r>
      <w:r>
        <w:rPr>
          <w:sz w:val="24"/>
          <w:szCs w:val="24"/>
        </w:rPr>
        <w:t>6</w:t>
      </w:r>
      <w:r>
        <w:rPr>
          <w:rFonts w:hint="eastAsia"/>
          <w:sz w:val="24"/>
          <w:szCs w:val="24"/>
        </w:rPr>
        <w:t>个月；退休的注册建造师提供退休证明材料，无需提供社保缴费证明；新聘人员在该投标人单位的社保缴费证明不足</w:t>
      </w:r>
      <w:r>
        <w:rPr>
          <w:sz w:val="24"/>
          <w:szCs w:val="24"/>
        </w:rPr>
        <w:t>6</w:t>
      </w:r>
      <w:r>
        <w:rPr>
          <w:rFonts w:hint="eastAsia"/>
          <w:sz w:val="24"/>
          <w:szCs w:val="24"/>
        </w:rPr>
        <w:t>个月的，还应提供聘用合同。</w:t>
      </w:r>
      <w:r>
        <w:rPr>
          <w:sz w:val="24"/>
          <w:szCs w:val="24"/>
        </w:rPr>
        <w:t xml:space="preserve"> </w:t>
      </w:r>
    </w:p>
    <w:p>
      <w:pPr>
        <w:spacing w:line="360" w:lineRule="auto"/>
        <w:ind w:firstLine="360" w:firstLineChars="150"/>
        <w:rPr>
          <w:sz w:val="24"/>
          <w:szCs w:val="24"/>
        </w:rPr>
      </w:pPr>
      <w:r>
        <w:rPr>
          <w:rFonts w:hint="eastAsia"/>
          <w:sz w:val="24"/>
          <w:szCs w:val="24"/>
        </w:rPr>
        <w:t>（</w:t>
      </w:r>
      <w:r>
        <w:rPr>
          <w:sz w:val="24"/>
          <w:szCs w:val="24"/>
        </w:rPr>
        <w:t>3</w:t>
      </w:r>
      <w:r>
        <w:rPr>
          <w:rFonts w:hint="eastAsia"/>
          <w:sz w:val="24"/>
          <w:szCs w:val="24"/>
        </w:rPr>
        <w:t>）资格条件和评标办法中有其他要求的应按要求提供相关证明材料扫描件，未要求的可不提供。若要求项目经理业绩，则项目经理业绩以竣工验收报告中载明的项目经理为准。</w:t>
      </w:r>
    </w:p>
    <w:p>
      <w:pPr>
        <w:spacing w:line="360" w:lineRule="auto"/>
        <w:ind w:firstLine="360" w:firstLineChars="150"/>
        <w:rPr>
          <w:sz w:val="24"/>
          <w:szCs w:val="24"/>
        </w:rPr>
      </w:pPr>
      <w:r>
        <w:rPr>
          <w:rFonts w:hint="eastAsia"/>
          <w:sz w:val="24"/>
          <w:szCs w:val="24"/>
        </w:rPr>
        <w:t>（</w:t>
      </w:r>
      <w:r>
        <w:rPr>
          <w:sz w:val="24"/>
          <w:szCs w:val="24"/>
        </w:rPr>
        <w:t>4</w:t>
      </w:r>
      <w:r>
        <w:rPr>
          <w:rFonts w:hint="eastAsia"/>
          <w:sz w:val="24"/>
          <w:szCs w:val="24"/>
        </w:rPr>
        <w:t>）社保指：养老保险、医疗保险、工伤保险、失业保险、生育保险五险（同时满足）。</w:t>
      </w:r>
    </w:p>
    <w:p>
      <w:pPr>
        <w:pStyle w:val="3"/>
        <w:spacing w:line="36" w:lineRule="auto"/>
        <w:jc w:val="center"/>
        <w:rPr>
          <w:sz w:val="32"/>
        </w:rPr>
      </w:pPr>
      <w:bookmarkStart w:id="825" w:name="_Toc256000108"/>
      <w:r>
        <w:rPr>
          <w:rFonts w:hint="eastAsia"/>
          <w:sz w:val="32"/>
        </w:rPr>
        <w:t>八、拟分包项目情况表</w:t>
      </w:r>
      <w:bookmarkEnd w:id="825"/>
    </w:p>
    <w:tbl>
      <w:tblPr>
        <w:tblStyle w:val="36"/>
        <w:tblW w:w="45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4"/>
        <w:gridCol w:w="2354"/>
        <w:gridCol w:w="1785"/>
        <w:gridCol w:w="2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17" w:type="pct"/>
            <w:vAlign w:val="center"/>
          </w:tcPr>
          <w:p>
            <w:pPr>
              <w:spacing w:line="360" w:lineRule="auto"/>
              <w:jc w:val="center"/>
              <w:rPr>
                <w:szCs w:val="21"/>
              </w:rPr>
            </w:pPr>
            <w:r>
              <w:rPr>
                <w:rFonts w:hint="eastAsia"/>
                <w:szCs w:val="21"/>
              </w:rPr>
              <w:t>分包人名称</w:t>
            </w: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r>
              <w:rPr>
                <w:rFonts w:hint="eastAsia"/>
                <w:szCs w:val="21"/>
              </w:rPr>
              <w:t>地</w:t>
            </w:r>
            <w:r>
              <w:rPr>
                <w:szCs w:val="21"/>
              </w:rPr>
              <w:t xml:space="preserve"> </w:t>
            </w:r>
            <w:r>
              <w:rPr>
                <w:rFonts w:hint="eastAsia"/>
                <w:szCs w:val="21"/>
              </w:rPr>
              <w:t>址</w:t>
            </w:r>
          </w:p>
        </w:tc>
        <w:tc>
          <w:tcPr>
            <w:tcW w:w="1453"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pct"/>
            <w:vAlign w:val="center"/>
          </w:tcPr>
          <w:p>
            <w:pPr>
              <w:spacing w:line="360" w:lineRule="auto"/>
              <w:jc w:val="center"/>
              <w:rPr>
                <w:szCs w:val="21"/>
              </w:rPr>
            </w:pPr>
            <w:r>
              <w:rPr>
                <w:rFonts w:hint="eastAsia"/>
                <w:szCs w:val="21"/>
              </w:rPr>
              <w:t>法定代表人</w:t>
            </w: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r>
              <w:rPr>
                <w:rFonts w:hint="eastAsia"/>
                <w:szCs w:val="21"/>
              </w:rPr>
              <w:t>电</w:t>
            </w:r>
            <w:r>
              <w:rPr>
                <w:szCs w:val="21"/>
              </w:rPr>
              <w:t xml:space="preserve"> </w:t>
            </w:r>
            <w:r>
              <w:rPr>
                <w:rFonts w:hint="eastAsia"/>
                <w:szCs w:val="21"/>
              </w:rPr>
              <w:t>话</w:t>
            </w:r>
          </w:p>
        </w:tc>
        <w:tc>
          <w:tcPr>
            <w:tcW w:w="1453"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pct"/>
            <w:vAlign w:val="center"/>
          </w:tcPr>
          <w:p>
            <w:pPr>
              <w:spacing w:line="360" w:lineRule="auto"/>
              <w:jc w:val="center"/>
              <w:rPr>
                <w:szCs w:val="21"/>
              </w:rPr>
            </w:pPr>
            <w:r>
              <w:rPr>
                <w:rFonts w:hint="eastAsia"/>
                <w:szCs w:val="21"/>
              </w:rPr>
              <w:t>营业执照号码</w:t>
            </w: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r>
              <w:rPr>
                <w:rFonts w:hint="eastAsia"/>
                <w:szCs w:val="21"/>
              </w:rPr>
              <w:t>资质等级</w:t>
            </w:r>
          </w:p>
        </w:tc>
        <w:tc>
          <w:tcPr>
            <w:tcW w:w="1453" w:type="pct"/>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pct"/>
            <w:vAlign w:val="center"/>
          </w:tcPr>
          <w:p>
            <w:pPr>
              <w:spacing w:line="360" w:lineRule="auto"/>
              <w:jc w:val="center"/>
              <w:rPr>
                <w:szCs w:val="21"/>
              </w:rPr>
            </w:pPr>
            <w:r>
              <w:rPr>
                <w:rFonts w:hint="eastAsia"/>
                <w:szCs w:val="21"/>
              </w:rPr>
              <w:t>拟分包的工程项目</w:t>
            </w:r>
          </w:p>
        </w:tc>
        <w:tc>
          <w:tcPr>
            <w:tcW w:w="1381" w:type="pct"/>
            <w:vAlign w:val="center"/>
          </w:tcPr>
          <w:p>
            <w:pPr>
              <w:spacing w:line="360" w:lineRule="auto"/>
              <w:jc w:val="center"/>
              <w:rPr>
                <w:szCs w:val="21"/>
              </w:rPr>
            </w:pPr>
            <w:r>
              <w:rPr>
                <w:rFonts w:hint="eastAsia"/>
                <w:szCs w:val="21"/>
              </w:rPr>
              <w:t>主</w:t>
            </w:r>
            <w:r>
              <w:rPr>
                <w:szCs w:val="21"/>
              </w:rPr>
              <w:t xml:space="preserve"> </w:t>
            </w:r>
            <w:r>
              <w:rPr>
                <w:rFonts w:hint="eastAsia"/>
                <w:szCs w:val="21"/>
              </w:rPr>
              <w:t>要</w:t>
            </w:r>
            <w:r>
              <w:rPr>
                <w:szCs w:val="21"/>
              </w:rPr>
              <w:t xml:space="preserve"> </w:t>
            </w:r>
            <w:r>
              <w:rPr>
                <w:rFonts w:hint="eastAsia"/>
                <w:szCs w:val="21"/>
              </w:rPr>
              <w:t>内</w:t>
            </w:r>
            <w:r>
              <w:rPr>
                <w:szCs w:val="21"/>
              </w:rPr>
              <w:t xml:space="preserve"> </w:t>
            </w:r>
            <w:r>
              <w:rPr>
                <w:rFonts w:hint="eastAsia"/>
                <w:szCs w:val="21"/>
              </w:rPr>
              <w:t>容</w:t>
            </w:r>
          </w:p>
        </w:tc>
        <w:tc>
          <w:tcPr>
            <w:tcW w:w="1047" w:type="pct"/>
            <w:vAlign w:val="center"/>
          </w:tcPr>
          <w:p>
            <w:pPr>
              <w:spacing w:line="360" w:lineRule="auto"/>
              <w:jc w:val="center"/>
              <w:rPr>
                <w:szCs w:val="21"/>
              </w:rPr>
            </w:pPr>
            <w:r>
              <w:rPr>
                <w:rFonts w:hint="eastAsia"/>
                <w:szCs w:val="21"/>
              </w:rPr>
              <w:t>预计造价（万元）</w:t>
            </w:r>
          </w:p>
        </w:tc>
        <w:tc>
          <w:tcPr>
            <w:tcW w:w="1453" w:type="pct"/>
            <w:vAlign w:val="center"/>
          </w:tcPr>
          <w:p>
            <w:pPr>
              <w:spacing w:line="360" w:lineRule="auto"/>
              <w:jc w:val="center"/>
              <w:rPr>
                <w:szCs w:val="21"/>
              </w:rPr>
            </w:pPr>
            <w:r>
              <w:rPr>
                <w:rFonts w:hint="eastAsia"/>
                <w:szCs w:val="21"/>
              </w:rPr>
              <w:t>已经做过的类似工程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restart"/>
            <w:vAlign w:val="center"/>
          </w:tcPr>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7" w:type="pct"/>
            <w:vAlign w:val="center"/>
          </w:tcPr>
          <w:p>
            <w:pPr>
              <w:spacing w:line="360" w:lineRule="auto"/>
              <w:jc w:val="center"/>
              <w:rPr>
                <w:szCs w:val="21"/>
              </w:rPr>
            </w:pPr>
          </w:p>
        </w:tc>
        <w:tc>
          <w:tcPr>
            <w:tcW w:w="1381" w:type="pct"/>
            <w:vAlign w:val="center"/>
          </w:tcPr>
          <w:p>
            <w:pPr>
              <w:spacing w:line="360" w:lineRule="auto"/>
              <w:jc w:val="center"/>
              <w:rPr>
                <w:szCs w:val="21"/>
              </w:rPr>
            </w:pPr>
          </w:p>
        </w:tc>
        <w:tc>
          <w:tcPr>
            <w:tcW w:w="1047" w:type="pct"/>
            <w:vAlign w:val="center"/>
          </w:tcPr>
          <w:p>
            <w:pPr>
              <w:spacing w:line="360" w:lineRule="auto"/>
              <w:jc w:val="center"/>
              <w:rPr>
                <w:szCs w:val="21"/>
              </w:rPr>
            </w:pPr>
          </w:p>
        </w:tc>
        <w:tc>
          <w:tcPr>
            <w:tcW w:w="1453" w:type="pct"/>
            <w:vMerge w:val="continue"/>
            <w:vAlign w:val="center"/>
          </w:tcPr>
          <w:p>
            <w:pPr>
              <w:spacing w:line="360" w:lineRule="auto"/>
              <w:jc w:val="center"/>
              <w:rPr>
                <w:szCs w:val="21"/>
              </w:rPr>
            </w:pPr>
          </w:p>
        </w:tc>
      </w:tr>
    </w:tbl>
    <w:p>
      <w:pPr>
        <w:widowControl/>
        <w:jc w:val="center"/>
        <w:rPr>
          <w:b/>
          <w:bCs/>
          <w:sz w:val="32"/>
          <w:szCs w:val="32"/>
        </w:rPr>
      </w:pPr>
      <w:r>
        <w:rPr>
          <w:sz w:val="27"/>
        </w:rPr>
        <w:br w:type="page"/>
      </w:r>
      <w:bookmarkStart w:id="826" w:name="_Toc256000109"/>
      <w:r>
        <w:rPr>
          <w:rFonts w:hint="eastAsia"/>
          <w:b/>
          <w:bCs/>
          <w:sz w:val="32"/>
          <w:szCs w:val="32"/>
        </w:rPr>
        <w:t>九、资格审查资料</w:t>
      </w:r>
      <w:bookmarkEnd w:id="826"/>
    </w:p>
    <w:p>
      <w:pPr>
        <w:widowControl/>
        <w:jc w:val="center"/>
        <w:rPr>
          <w:b/>
          <w:bCs/>
          <w:sz w:val="32"/>
          <w:szCs w:val="32"/>
        </w:rPr>
      </w:pPr>
      <w:bookmarkStart w:id="827" w:name="_Toc256000110"/>
      <w:r>
        <w:rPr>
          <w:rFonts w:hint="eastAsia"/>
          <w:b/>
          <w:bCs/>
          <w:sz w:val="32"/>
          <w:szCs w:val="32"/>
        </w:rPr>
        <w:t>（一）基本情况表</w:t>
      </w:r>
      <w:bookmarkEnd w:id="827"/>
    </w:p>
    <w:tbl>
      <w:tblPr>
        <w:tblStyle w:val="3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1"/>
        <w:gridCol w:w="1009"/>
        <w:gridCol w:w="649"/>
        <w:gridCol w:w="1276"/>
        <w:gridCol w:w="1520"/>
        <w:gridCol w:w="760"/>
        <w:gridCol w:w="12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2311" w:type="dxa"/>
            <w:vAlign w:val="center"/>
          </w:tcPr>
          <w:p>
            <w:pPr>
              <w:jc w:val="center"/>
              <w:rPr>
                <w:sz w:val="24"/>
                <w:szCs w:val="24"/>
              </w:rPr>
            </w:pPr>
            <w:r>
              <w:rPr>
                <w:rFonts w:hint="eastAsia"/>
                <w:sz w:val="24"/>
                <w:szCs w:val="24"/>
              </w:rPr>
              <w:t>投标人名称</w:t>
            </w:r>
          </w:p>
        </w:tc>
        <w:tc>
          <w:tcPr>
            <w:tcW w:w="6470" w:type="dxa"/>
            <w:gridSpan w:val="6"/>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2311" w:type="dxa"/>
            <w:vAlign w:val="center"/>
          </w:tcPr>
          <w:p>
            <w:pPr>
              <w:jc w:val="center"/>
              <w:rPr>
                <w:sz w:val="24"/>
                <w:szCs w:val="24"/>
              </w:rPr>
            </w:pPr>
            <w:r>
              <w:rPr>
                <w:rFonts w:hint="eastAsia"/>
                <w:sz w:val="24"/>
                <w:szCs w:val="24"/>
              </w:rPr>
              <w:t>注册地址</w:t>
            </w:r>
          </w:p>
        </w:tc>
        <w:tc>
          <w:tcPr>
            <w:tcW w:w="2934" w:type="dxa"/>
            <w:gridSpan w:val="3"/>
            <w:vAlign w:val="center"/>
          </w:tcPr>
          <w:p>
            <w:pPr>
              <w:jc w:val="center"/>
              <w:rPr>
                <w:sz w:val="24"/>
                <w:szCs w:val="24"/>
              </w:rPr>
            </w:pPr>
          </w:p>
        </w:tc>
        <w:tc>
          <w:tcPr>
            <w:tcW w:w="1520" w:type="dxa"/>
            <w:vAlign w:val="center"/>
          </w:tcPr>
          <w:p>
            <w:pPr>
              <w:jc w:val="center"/>
              <w:rPr>
                <w:sz w:val="24"/>
                <w:szCs w:val="24"/>
              </w:rPr>
            </w:pPr>
            <w:r>
              <w:rPr>
                <w:rFonts w:hint="eastAsia"/>
                <w:sz w:val="24"/>
                <w:szCs w:val="24"/>
              </w:rPr>
              <w:t>邮政编码</w:t>
            </w:r>
          </w:p>
        </w:tc>
        <w:tc>
          <w:tcPr>
            <w:tcW w:w="2016" w:type="dxa"/>
            <w:gridSpan w:val="2"/>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2311" w:type="dxa"/>
            <w:vMerge w:val="restart"/>
            <w:vAlign w:val="center"/>
          </w:tcPr>
          <w:p>
            <w:pPr>
              <w:jc w:val="center"/>
              <w:rPr>
                <w:sz w:val="24"/>
                <w:szCs w:val="24"/>
              </w:rPr>
            </w:pPr>
            <w:r>
              <w:rPr>
                <w:rFonts w:hint="eastAsia"/>
                <w:sz w:val="24"/>
                <w:szCs w:val="24"/>
              </w:rPr>
              <w:t>联系方式</w:t>
            </w:r>
          </w:p>
        </w:tc>
        <w:tc>
          <w:tcPr>
            <w:tcW w:w="1009" w:type="dxa"/>
            <w:vAlign w:val="center"/>
          </w:tcPr>
          <w:p>
            <w:pPr>
              <w:jc w:val="center"/>
              <w:rPr>
                <w:sz w:val="24"/>
                <w:szCs w:val="24"/>
              </w:rPr>
            </w:pPr>
            <w:r>
              <w:rPr>
                <w:rFonts w:hint="eastAsia"/>
                <w:sz w:val="24"/>
                <w:szCs w:val="24"/>
              </w:rPr>
              <w:t>联系人</w:t>
            </w:r>
          </w:p>
        </w:tc>
        <w:tc>
          <w:tcPr>
            <w:tcW w:w="1925" w:type="dxa"/>
            <w:gridSpan w:val="2"/>
            <w:vAlign w:val="center"/>
          </w:tcPr>
          <w:p>
            <w:pPr>
              <w:jc w:val="center"/>
              <w:rPr>
                <w:sz w:val="24"/>
                <w:szCs w:val="24"/>
              </w:rPr>
            </w:pPr>
          </w:p>
        </w:tc>
        <w:tc>
          <w:tcPr>
            <w:tcW w:w="1520" w:type="dxa"/>
            <w:vAlign w:val="center"/>
          </w:tcPr>
          <w:p>
            <w:pPr>
              <w:jc w:val="center"/>
              <w:rPr>
                <w:sz w:val="24"/>
                <w:szCs w:val="24"/>
              </w:rPr>
            </w:pPr>
            <w:r>
              <w:rPr>
                <w:rFonts w:hint="eastAsia"/>
                <w:sz w:val="24"/>
                <w:szCs w:val="24"/>
              </w:rPr>
              <w:t>电话</w:t>
            </w:r>
          </w:p>
        </w:tc>
        <w:tc>
          <w:tcPr>
            <w:tcW w:w="2016" w:type="dxa"/>
            <w:gridSpan w:val="2"/>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2311" w:type="dxa"/>
            <w:vMerge w:val="continue"/>
            <w:vAlign w:val="center"/>
          </w:tcPr>
          <w:p>
            <w:pPr>
              <w:rPr>
                <w:sz w:val="24"/>
                <w:szCs w:val="24"/>
              </w:rPr>
            </w:pPr>
          </w:p>
        </w:tc>
        <w:tc>
          <w:tcPr>
            <w:tcW w:w="1009" w:type="dxa"/>
            <w:vAlign w:val="center"/>
          </w:tcPr>
          <w:p>
            <w:pPr>
              <w:jc w:val="center"/>
              <w:rPr>
                <w:sz w:val="24"/>
                <w:szCs w:val="24"/>
              </w:rPr>
            </w:pPr>
            <w:r>
              <w:rPr>
                <w:rFonts w:hint="eastAsia"/>
                <w:sz w:val="24"/>
                <w:szCs w:val="24"/>
              </w:rPr>
              <w:t>传真</w:t>
            </w:r>
          </w:p>
        </w:tc>
        <w:tc>
          <w:tcPr>
            <w:tcW w:w="1925" w:type="dxa"/>
            <w:gridSpan w:val="2"/>
            <w:vAlign w:val="center"/>
          </w:tcPr>
          <w:p>
            <w:pPr>
              <w:jc w:val="center"/>
              <w:rPr>
                <w:sz w:val="24"/>
                <w:szCs w:val="24"/>
              </w:rPr>
            </w:pPr>
          </w:p>
        </w:tc>
        <w:tc>
          <w:tcPr>
            <w:tcW w:w="1520" w:type="dxa"/>
            <w:vAlign w:val="center"/>
          </w:tcPr>
          <w:p>
            <w:pPr>
              <w:jc w:val="center"/>
              <w:rPr>
                <w:sz w:val="24"/>
                <w:szCs w:val="24"/>
              </w:rPr>
            </w:pPr>
            <w:r>
              <w:rPr>
                <w:rFonts w:hint="eastAsia"/>
                <w:sz w:val="24"/>
                <w:szCs w:val="24"/>
              </w:rPr>
              <w:t>网址</w:t>
            </w:r>
          </w:p>
        </w:tc>
        <w:tc>
          <w:tcPr>
            <w:tcW w:w="2016" w:type="dxa"/>
            <w:gridSpan w:val="2"/>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2311" w:type="dxa"/>
            <w:vAlign w:val="center"/>
          </w:tcPr>
          <w:p>
            <w:pPr>
              <w:jc w:val="center"/>
              <w:rPr>
                <w:sz w:val="24"/>
                <w:szCs w:val="24"/>
              </w:rPr>
            </w:pPr>
            <w:r>
              <w:rPr>
                <w:rFonts w:hint="eastAsia"/>
                <w:sz w:val="24"/>
                <w:szCs w:val="24"/>
              </w:rPr>
              <w:t>组织结构</w:t>
            </w:r>
          </w:p>
        </w:tc>
        <w:tc>
          <w:tcPr>
            <w:tcW w:w="6470" w:type="dxa"/>
            <w:gridSpan w:val="6"/>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1" w:hRule="atLeast"/>
          <w:jc w:val="center"/>
        </w:trPr>
        <w:tc>
          <w:tcPr>
            <w:tcW w:w="2311" w:type="dxa"/>
            <w:vAlign w:val="center"/>
          </w:tcPr>
          <w:p>
            <w:pPr>
              <w:jc w:val="center"/>
              <w:rPr>
                <w:sz w:val="24"/>
                <w:szCs w:val="24"/>
              </w:rPr>
            </w:pPr>
            <w:r>
              <w:rPr>
                <w:rFonts w:hint="eastAsia"/>
                <w:sz w:val="24"/>
                <w:szCs w:val="24"/>
              </w:rPr>
              <w:t>法定代表人</w:t>
            </w:r>
          </w:p>
        </w:tc>
        <w:tc>
          <w:tcPr>
            <w:tcW w:w="1009" w:type="dxa"/>
            <w:vAlign w:val="center"/>
          </w:tcPr>
          <w:p>
            <w:pPr>
              <w:jc w:val="center"/>
              <w:rPr>
                <w:sz w:val="24"/>
                <w:szCs w:val="24"/>
              </w:rPr>
            </w:pPr>
            <w:r>
              <w:rPr>
                <w:rFonts w:hint="eastAsia"/>
                <w:sz w:val="24"/>
                <w:szCs w:val="24"/>
              </w:rPr>
              <w:t>姓名</w:t>
            </w:r>
          </w:p>
        </w:tc>
        <w:tc>
          <w:tcPr>
            <w:tcW w:w="649" w:type="dxa"/>
            <w:vAlign w:val="center"/>
          </w:tcPr>
          <w:p>
            <w:pPr>
              <w:jc w:val="center"/>
              <w:rPr>
                <w:sz w:val="24"/>
                <w:szCs w:val="24"/>
              </w:rPr>
            </w:pPr>
          </w:p>
        </w:tc>
        <w:tc>
          <w:tcPr>
            <w:tcW w:w="1276" w:type="dxa"/>
            <w:vAlign w:val="center"/>
          </w:tcPr>
          <w:p>
            <w:pPr>
              <w:jc w:val="center"/>
              <w:rPr>
                <w:sz w:val="24"/>
                <w:szCs w:val="24"/>
              </w:rPr>
            </w:pPr>
            <w:r>
              <w:rPr>
                <w:rFonts w:hint="eastAsia"/>
                <w:sz w:val="24"/>
                <w:szCs w:val="24"/>
              </w:rPr>
              <w:t>专业技术职称</w:t>
            </w:r>
          </w:p>
        </w:tc>
        <w:tc>
          <w:tcPr>
            <w:tcW w:w="1520" w:type="dxa"/>
            <w:vAlign w:val="center"/>
          </w:tcPr>
          <w:p>
            <w:pPr>
              <w:jc w:val="center"/>
              <w:rPr>
                <w:sz w:val="24"/>
                <w:szCs w:val="24"/>
              </w:rPr>
            </w:pPr>
          </w:p>
        </w:tc>
        <w:tc>
          <w:tcPr>
            <w:tcW w:w="760" w:type="dxa"/>
            <w:vAlign w:val="center"/>
          </w:tcPr>
          <w:p>
            <w:pPr>
              <w:jc w:val="center"/>
              <w:rPr>
                <w:sz w:val="24"/>
                <w:szCs w:val="24"/>
              </w:rPr>
            </w:pPr>
            <w:r>
              <w:rPr>
                <w:rFonts w:hint="eastAsia"/>
                <w:sz w:val="24"/>
                <w:szCs w:val="24"/>
              </w:rPr>
              <w:t>电话</w:t>
            </w:r>
          </w:p>
        </w:tc>
        <w:tc>
          <w:tcPr>
            <w:tcW w:w="1256" w:type="dxa"/>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9" w:hRule="atLeast"/>
          <w:jc w:val="center"/>
        </w:trPr>
        <w:tc>
          <w:tcPr>
            <w:tcW w:w="2311" w:type="dxa"/>
            <w:vAlign w:val="center"/>
          </w:tcPr>
          <w:p>
            <w:pPr>
              <w:jc w:val="center"/>
              <w:rPr>
                <w:sz w:val="24"/>
                <w:szCs w:val="24"/>
              </w:rPr>
            </w:pPr>
            <w:r>
              <w:rPr>
                <w:rFonts w:hint="eastAsia"/>
                <w:sz w:val="24"/>
                <w:szCs w:val="24"/>
              </w:rPr>
              <w:t>技术负责人</w:t>
            </w:r>
          </w:p>
        </w:tc>
        <w:tc>
          <w:tcPr>
            <w:tcW w:w="1009" w:type="dxa"/>
            <w:vAlign w:val="center"/>
          </w:tcPr>
          <w:p>
            <w:pPr>
              <w:jc w:val="center"/>
              <w:rPr>
                <w:sz w:val="24"/>
                <w:szCs w:val="24"/>
              </w:rPr>
            </w:pPr>
            <w:r>
              <w:rPr>
                <w:rFonts w:hint="eastAsia"/>
                <w:sz w:val="24"/>
                <w:szCs w:val="24"/>
              </w:rPr>
              <w:t>姓名</w:t>
            </w:r>
          </w:p>
        </w:tc>
        <w:tc>
          <w:tcPr>
            <w:tcW w:w="649" w:type="dxa"/>
            <w:vAlign w:val="center"/>
          </w:tcPr>
          <w:p>
            <w:pPr>
              <w:jc w:val="center"/>
              <w:rPr>
                <w:sz w:val="24"/>
                <w:szCs w:val="24"/>
              </w:rPr>
            </w:pPr>
          </w:p>
        </w:tc>
        <w:tc>
          <w:tcPr>
            <w:tcW w:w="1276" w:type="dxa"/>
            <w:vAlign w:val="center"/>
          </w:tcPr>
          <w:p>
            <w:pPr>
              <w:jc w:val="center"/>
              <w:rPr>
                <w:sz w:val="24"/>
                <w:szCs w:val="24"/>
              </w:rPr>
            </w:pPr>
            <w:r>
              <w:rPr>
                <w:rFonts w:hint="eastAsia"/>
                <w:sz w:val="24"/>
                <w:szCs w:val="24"/>
              </w:rPr>
              <w:t>专业技术职称</w:t>
            </w:r>
          </w:p>
        </w:tc>
        <w:tc>
          <w:tcPr>
            <w:tcW w:w="1520" w:type="dxa"/>
            <w:vAlign w:val="center"/>
          </w:tcPr>
          <w:p>
            <w:pPr>
              <w:jc w:val="center"/>
              <w:rPr>
                <w:sz w:val="24"/>
                <w:szCs w:val="24"/>
              </w:rPr>
            </w:pPr>
          </w:p>
        </w:tc>
        <w:tc>
          <w:tcPr>
            <w:tcW w:w="760" w:type="dxa"/>
            <w:vAlign w:val="center"/>
          </w:tcPr>
          <w:p>
            <w:pPr>
              <w:jc w:val="center"/>
              <w:rPr>
                <w:sz w:val="24"/>
                <w:szCs w:val="24"/>
              </w:rPr>
            </w:pPr>
            <w:r>
              <w:rPr>
                <w:rFonts w:hint="eastAsia"/>
                <w:sz w:val="24"/>
                <w:szCs w:val="24"/>
              </w:rPr>
              <w:t>电话</w:t>
            </w:r>
          </w:p>
        </w:tc>
        <w:tc>
          <w:tcPr>
            <w:tcW w:w="1256" w:type="dxa"/>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311" w:type="dxa"/>
            <w:vAlign w:val="center"/>
          </w:tcPr>
          <w:p>
            <w:pPr>
              <w:jc w:val="center"/>
              <w:rPr>
                <w:sz w:val="24"/>
                <w:szCs w:val="24"/>
              </w:rPr>
            </w:pPr>
            <w:r>
              <w:rPr>
                <w:rFonts w:hint="eastAsia"/>
                <w:sz w:val="24"/>
                <w:szCs w:val="24"/>
              </w:rPr>
              <w:t>成立时间</w:t>
            </w:r>
          </w:p>
        </w:tc>
        <w:tc>
          <w:tcPr>
            <w:tcW w:w="1658" w:type="dxa"/>
            <w:gridSpan w:val="2"/>
            <w:vAlign w:val="center"/>
          </w:tcPr>
          <w:p>
            <w:pPr>
              <w:jc w:val="center"/>
              <w:rPr>
                <w:sz w:val="24"/>
                <w:szCs w:val="24"/>
              </w:rPr>
            </w:pPr>
          </w:p>
        </w:tc>
        <w:tc>
          <w:tcPr>
            <w:tcW w:w="4812" w:type="dxa"/>
            <w:gridSpan w:val="4"/>
            <w:vAlign w:val="center"/>
          </w:tcPr>
          <w:p>
            <w:pPr>
              <w:rPr>
                <w:sz w:val="24"/>
                <w:szCs w:val="24"/>
              </w:rPr>
            </w:pPr>
            <w:r>
              <w:rPr>
                <w:rFonts w:hint="eastAsia"/>
                <w:sz w:val="24"/>
                <w:szCs w:val="24"/>
              </w:rPr>
              <w:t>员工总人数：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2311" w:type="dxa"/>
            <w:vAlign w:val="center"/>
          </w:tcPr>
          <w:p>
            <w:pPr>
              <w:jc w:val="center"/>
              <w:rPr>
                <w:sz w:val="24"/>
                <w:szCs w:val="24"/>
              </w:rPr>
            </w:pPr>
            <w:r>
              <w:rPr>
                <w:rFonts w:hint="eastAsia"/>
                <w:sz w:val="24"/>
                <w:szCs w:val="24"/>
              </w:rPr>
              <w:t>企业资质等级</w:t>
            </w:r>
          </w:p>
        </w:tc>
        <w:tc>
          <w:tcPr>
            <w:tcW w:w="1658" w:type="dxa"/>
            <w:gridSpan w:val="2"/>
            <w:vAlign w:val="center"/>
          </w:tcPr>
          <w:p>
            <w:pPr>
              <w:jc w:val="center"/>
              <w:rPr>
                <w:sz w:val="24"/>
                <w:szCs w:val="24"/>
              </w:rPr>
            </w:pPr>
          </w:p>
        </w:tc>
        <w:tc>
          <w:tcPr>
            <w:tcW w:w="1276" w:type="dxa"/>
            <w:vMerge w:val="restart"/>
            <w:vAlign w:val="center"/>
          </w:tcPr>
          <w:p>
            <w:pPr>
              <w:jc w:val="center"/>
              <w:rPr>
                <w:sz w:val="24"/>
                <w:szCs w:val="24"/>
              </w:rPr>
            </w:pPr>
            <w:r>
              <w:rPr>
                <w:rFonts w:hint="eastAsia"/>
                <w:sz w:val="24"/>
                <w:szCs w:val="24"/>
              </w:rPr>
              <w:t>其中</w:t>
            </w:r>
          </w:p>
        </w:tc>
        <w:tc>
          <w:tcPr>
            <w:tcW w:w="1520" w:type="dxa"/>
            <w:vAlign w:val="center"/>
          </w:tcPr>
          <w:p>
            <w:pPr>
              <w:jc w:val="center"/>
              <w:rPr>
                <w:sz w:val="24"/>
                <w:szCs w:val="24"/>
              </w:rPr>
            </w:pPr>
            <w:r>
              <w:rPr>
                <w:rFonts w:hint="eastAsia"/>
                <w:sz w:val="24"/>
                <w:szCs w:val="24"/>
              </w:rPr>
              <w:t>注册建造师</w:t>
            </w:r>
          </w:p>
        </w:tc>
        <w:tc>
          <w:tcPr>
            <w:tcW w:w="2016" w:type="dxa"/>
            <w:gridSpan w:val="2"/>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2311" w:type="dxa"/>
            <w:vAlign w:val="center"/>
          </w:tcPr>
          <w:p>
            <w:pPr>
              <w:jc w:val="center"/>
              <w:rPr>
                <w:sz w:val="24"/>
                <w:szCs w:val="24"/>
              </w:rPr>
            </w:pPr>
            <w:r>
              <w:rPr>
                <w:rFonts w:hint="eastAsia"/>
                <w:sz w:val="24"/>
                <w:szCs w:val="24"/>
              </w:rPr>
              <w:t>营业执照号</w:t>
            </w:r>
          </w:p>
        </w:tc>
        <w:tc>
          <w:tcPr>
            <w:tcW w:w="1658" w:type="dxa"/>
            <w:gridSpan w:val="2"/>
            <w:vAlign w:val="center"/>
          </w:tcPr>
          <w:p>
            <w:pPr>
              <w:jc w:val="center"/>
              <w:rPr>
                <w:sz w:val="24"/>
                <w:szCs w:val="24"/>
              </w:rPr>
            </w:pPr>
          </w:p>
        </w:tc>
        <w:tc>
          <w:tcPr>
            <w:tcW w:w="1276" w:type="dxa"/>
            <w:vMerge w:val="continue"/>
            <w:vAlign w:val="center"/>
          </w:tcPr>
          <w:p>
            <w:pPr>
              <w:rPr>
                <w:sz w:val="24"/>
                <w:szCs w:val="24"/>
              </w:rPr>
            </w:pPr>
          </w:p>
        </w:tc>
        <w:tc>
          <w:tcPr>
            <w:tcW w:w="1520" w:type="dxa"/>
            <w:vAlign w:val="center"/>
          </w:tcPr>
          <w:p>
            <w:pPr>
              <w:jc w:val="center"/>
              <w:rPr>
                <w:sz w:val="24"/>
                <w:szCs w:val="24"/>
              </w:rPr>
            </w:pPr>
            <w:r>
              <w:rPr>
                <w:rFonts w:hint="eastAsia"/>
                <w:sz w:val="24"/>
                <w:szCs w:val="24"/>
              </w:rPr>
              <w:t>高级专业技术职称人员</w:t>
            </w:r>
          </w:p>
        </w:tc>
        <w:tc>
          <w:tcPr>
            <w:tcW w:w="2016" w:type="dxa"/>
            <w:gridSpan w:val="2"/>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2311" w:type="dxa"/>
            <w:vAlign w:val="center"/>
          </w:tcPr>
          <w:p>
            <w:pPr>
              <w:jc w:val="center"/>
              <w:rPr>
                <w:sz w:val="24"/>
                <w:szCs w:val="24"/>
              </w:rPr>
            </w:pPr>
            <w:r>
              <w:rPr>
                <w:rFonts w:hint="eastAsia"/>
                <w:sz w:val="24"/>
                <w:szCs w:val="24"/>
              </w:rPr>
              <w:t>注册资金</w:t>
            </w:r>
          </w:p>
        </w:tc>
        <w:tc>
          <w:tcPr>
            <w:tcW w:w="1658" w:type="dxa"/>
            <w:gridSpan w:val="2"/>
            <w:vAlign w:val="center"/>
          </w:tcPr>
          <w:p>
            <w:pPr>
              <w:jc w:val="center"/>
              <w:rPr>
                <w:sz w:val="24"/>
                <w:szCs w:val="24"/>
              </w:rPr>
            </w:pPr>
          </w:p>
        </w:tc>
        <w:tc>
          <w:tcPr>
            <w:tcW w:w="1276" w:type="dxa"/>
            <w:vMerge w:val="continue"/>
            <w:vAlign w:val="center"/>
          </w:tcPr>
          <w:p>
            <w:pPr>
              <w:rPr>
                <w:sz w:val="24"/>
                <w:szCs w:val="24"/>
              </w:rPr>
            </w:pPr>
          </w:p>
        </w:tc>
        <w:tc>
          <w:tcPr>
            <w:tcW w:w="1520" w:type="dxa"/>
            <w:vAlign w:val="center"/>
          </w:tcPr>
          <w:p>
            <w:pPr>
              <w:jc w:val="center"/>
              <w:rPr>
                <w:sz w:val="24"/>
                <w:szCs w:val="24"/>
              </w:rPr>
            </w:pPr>
            <w:r>
              <w:rPr>
                <w:rFonts w:hint="eastAsia"/>
                <w:sz w:val="24"/>
                <w:szCs w:val="24"/>
              </w:rPr>
              <w:t>中级专业技术职称人员</w:t>
            </w:r>
          </w:p>
        </w:tc>
        <w:tc>
          <w:tcPr>
            <w:tcW w:w="2016" w:type="dxa"/>
            <w:gridSpan w:val="2"/>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2311" w:type="dxa"/>
            <w:vAlign w:val="center"/>
          </w:tcPr>
          <w:p>
            <w:pPr>
              <w:jc w:val="center"/>
              <w:rPr>
                <w:sz w:val="24"/>
                <w:szCs w:val="24"/>
              </w:rPr>
            </w:pPr>
            <w:r>
              <w:rPr>
                <w:rFonts w:hint="eastAsia"/>
                <w:sz w:val="24"/>
                <w:szCs w:val="24"/>
              </w:rPr>
              <w:t>开户银行</w:t>
            </w:r>
          </w:p>
        </w:tc>
        <w:tc>
          <w:tcPr>
            <w:tcW w:w="1658" w:type="dxa"/>
            <w:gridSpan w:val="2"/>
            <w:vAlign w:val="center"/>
          </w:tcPr>
          <w:p>
            <w:pPr>
              <w:jc w:val="center"/>
              <w:rPr>
                <w:sz w:val="24"/>
                <w:szCs w:val="24"/>
              </w:rPr>
            </w:pPr>
          </w:p>
        </w:tc>
        <w:tc>
          <w:tcPr>
            <w:tcW w:w="1276" w:type="dxa"/>
            <w:vMerge w:val="continue"/>
            <w:vAlign w:val="center"/>
          </w:tcPr>
          <w:p>
            <w:pPr>
              <w:rPr>
                <w:sz w:val="24"/>
                <w:szCs w:val="24"/>
              </w:rPr>
            </w:pPr>
          </w:p>
        </w:tc>
        <w:tc>
          <w:tcPr>
            <w:tcW w:w="1520" w:type="dxa"/>
            <w:vAlign w:val="center"/>
          </w:tcPr>
          <w:p>
            <w:pPr>
              <w:jc w:val="center"/>
              <w:rPr>
                <w:sz w:val="24"/>
                <w:szCs w:val="24"/>
              </w:rPr>
            </w:pPr>
            <w:r>
              <w:rPr>
                <w:rFonts w:hint="eastAsia"/>
                <w:sz w:val="24"/>
                <w:szCs w:val="24"/>
              </w:rPr>
              <w:t>初级专业技术职称人员</w:t>
            </w:r>
          </w:p>
        </w:tc>
        <w:tc>
          <w:tcPr>
            <w:tcW w:w="2016" w:type="dxa"/>
            <w:gridSpan w:val="2"/>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2311" w:type="dxa"/>
            <w:vAlign w:val="center"/>
          </w:tcPr>
          <w:p>
            <w:pPr>
              <w:jc w:val="center"/>
              <w:rPr>
                <w:sz w:val="24"/>
                <w:szCs w:val="24"/>
              </w:rPr>
            </w:pPr>
            <w:r>
              <w:rPr>
                <w:rFonts w:hint="eastAsia"/>
                <w:sz w:val="24"/>
                <w:szCs w:val="24"/>
              </w:rPr>
              <w:t>账号</w:t>
            </w:r>
          </w:p>
        </w:tc>
        <w:tc>
          <w:tcPr>
            <w:tcW w:w="1658" w:type="dxa"/>
            <w:gridSpan w:val="2"/>
            <w:vAlign w:val="center"/>
          </w:tcPr>
          <w:p>
            <w:pPr>
              <w:jc w:val="center"/>
              <w:rPr>
                <w:sz w:val="24"/>
                <w:szCs w:val="24"/>
              </w:rPr>
            </w:pPr>
          </w:p>
        </w:tc>
        <w:tc>
          <w:tcPr>
            <w:tcW w:w="1276" w:type="dxa"/>
            <w:vMerge w:val="continue"/>
            <w:vAlign w:val="center"/>
          </w:tcPr>
          <w:p>
            <w:pPr>
              <w:rPr>
                <w:sz w:val="24"/>
                <w:szCs w:val="24"/>
              </w:rPr>
            </w:pPr>
          </w:p>
        </w:tc>
        <w:tc>
          <w:tcPr>
            <w:tcW w:w="1520" w:type="dxa"/>
            <w:vAlign w:val="center"/>
          </w:tcPr>
          <w:p>
            <w:pPr>
              <w:jc w:val="center"/>
              <w:rPr>
                <w:sz w:val="24"/>
                <w:szCs w:val="24"/>
              </w:rPr>
            </w:pPr>
            <w:r>
              <w:rPr>
                <w:rFonts w:hint="eastAsia"/>
                <w:sz w:val="24"/>
                <w:szCs w:val="24"/>
              </w:rPr>
              <w:t>技工</w:t>
            </w:r>
          </w:p>
        </w:tc>
        <w:tc>
          <w:tcPr>
            <w:tcW w:w="2016" w:type="dxa"/>
            <w:gridSpan w:val="2"/>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2311" w:type="dxa"/>
            <w:vAlign w:val="center"/>
          </w:tcPr>
          <w:p>
            <w:pPr>
              <w:jc w:val="center"/>
              <w:rPr>
                <w:sz w:val="24"/>
                <w:szCs w:val="24"/>
              </w:rPr>
            </w:pPr>
            <w:r>
              <w:rPr>
                <w:rFonts w:hint="eastAsia"/>
                <w:sz w:val="24"/>
                <w:szCs w:val="24"/>
              </w:rPr>
              <w:t>经营范围</w:t>
            </w:r>
          </w:p>
        </w:tc>
        <w:tc>
          <w:tcPr>
            <w:tcW w:w="6470" w:type="dxa"/>
            <w:gridSpan w:val="6"/>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2311" w:type="dxa"/>
            <w:vAlign w:val="center"/>
          </w:tcPr>
          <w:p>
            <w:pPr>
              <w:jc w:val="center"/>
              <w:rPr>
                <w:sz w:val="24"/>
                <w:szCs w:val="24"/>
              </w:rPr>
            </w:pPr>
            <w:r>
              <w:rPr>
                <w:rFonts w:hint="eastAsia"/>
                <w:sz w:val="24"/>
                <w:szCs w:val="24"/>
              </w:rPr>
              <w:t>与投标人的单位负责人为同一人的单位</w:t>
            </w:r>
          </w:p>
        </w:tc>
        <w:tc>
          <w:tcPr>
            <w:tcW w:w="6470" w:type="dxa"/>
            <w:gridSpan w:val="6"/>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2311" w:type="dxa"/>
            <w:vAlign w:val="center"/>
          </w:tcPr>
          <w:p>
            <w:pPr>
              <w:jc w:val="center"/>
              <w:rPr>
                <w:sz w:val="24"/>
                <w:szCs w:val="24"/>
              </w:rPr>
            </w:pPr>
            <w:r>
              <w:rPr>
                <w:rFonts w:hint="eastAsia"/>
                <w:sz w:val="24"/>
                <w:szCs w:val="24"/>
              </w:rPr>
              <w:t>与投标人存在控股关系的单位</w:t>
            </w:r>
          </w:p>
        </w:tc>
        <w:tc>
          <w:tcPr>
            <w:tcW w:w="6470" w:type="dxa"/>
            <w:gridSpan w:val="6"/>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2311" w:type="dxa"/>
            <w:vAlign w:val="center"/>
          </w:tcPr>
          <w:p>
            <w:pPr>
              <w:jc w:val="center"/>
              <w:rPr>
                <w:sz w:val="24"/>
                <w:szCs w:val="24"/>
              </w:rPr>
            </w:pPr>
            <w:r>
              <w:rPr>
                <w:rFonts w:hint="eastAsia"/>
                <w:sz w:val="24"/>
                <w:szCs w:val="24"/>
              </w:rPr>
              <w:t>与投标人存在管理关系的单位</w:t>
            </w:r>
          </w:p>
        </w:tc>
        <w:tc>
          <w:tcPr>
            <w:tcW w:w="6470" w:type="dxa"/>
            <w:gridSpan w:val="6"/>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2311" w:type="dxa"/>
            <w:vAlign w:val="center"/>
          </w:tcPr>
          <w:p>
            <w:pPr>
              <w:jc w:val="center"/>
              <w:rPr>
                <w:sz w:val="24"/>
                <w:szCs w:val="24"/>
              </w:rPr>
            </w:pPr>
            <w:r>
              <w:rPr>
                <w:rFonts w:hint="eastAsia"/>
                <w:sz w:val="24"/>
                <w:szCs w:val="24"/>
              </w:rPr>
              <w:t>备注</w:t>
            </w:r>
          </w:p>
        </w:tc>
        <w:tc>
          <w:tcPr>
            <w:tcW w:w="6470" w:type="dxa"/>
            <w:gridSpan w:val="6"/>
            <w:vAlign w:val="center"/>
          </w:tcPr>
          <w:p>
            <w:pPr>
              <w:jc w:val="center"/>
              <w:rPr>
                <w:sz w:val="24"/>
                <w:szCs w:val="24"/>
              </w:rPr>
            </w:pPr>
          </w:p>
        </w:tc>
      </w:tr>
    </w:tbl>
    <w:p>
      <w:pPr>
        <w:widowControl/>
        <w:spacing w:line="360" w:lineRule="auto"/>
        <w:rPr>
          <w:sz w:val="24"/>
          <w:szCs w:val="24"/>
        </w:rPr>
      </w:pPr>
      <w:r>
        <w:rPr>
          <w:rFonts w:hint="eastAsia"/>
          <w:sz w:val="24"/>
          <w:szCs w:val="24"/>
        </w:rPr>
        <w:t>注：投标人应根据投标人须知第</w:t>
      </w:r>
      <w:r>
        <w:rPr>
          <w:sz w:val="24"/>
          <w:szCs w:val="24"/>
        </w:rPr>
        <w:t xml:space="preserve"> 3.5.1 </w:t>
      </w:r>
      <w:r>
        <w:rPr>
          <w:rFonts w:hint="eastAsia"/>
          <w:sz w:val="24"/>
          <w:szCs w:val="24"/>
        </w:rPr>
        <w:t>项的要求在本表后附相关证明材料扫描件。</w:t>
      </w:r>
    </w:p>
    <w:p>
      <w:pPr>
        <w:spacing w:line="360" w:lineRule="auto"/>
        <w:jc w:val="center"/>
        <w:rPr>
          <w:b/>
          <w:sz w:val="32"/>
          <w:szCs w:val="32"/>
        </w:rPr>
      </w:pPr>
      <w:bookmarkStart w:id="828" w:name="_Toc17730_WPSOffice_Level1"/>
      <w:r>
        <w:rPr>
          <w:rFonts w:hint="eastAsia"/>
          <w:b/>
          <w:sz w:val="32"/>
          <w:szCs w:val="32"/>
        </w:rPr>
        <w:t>基本情况表（成员单位）</w:t>
      </w:r>
      <w:bookmarkEnd w:id="828"/>
    </w:p>
    <w:tbl>
      <w:tblPr>
        <w:tblStyle w:val="3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230"/>
        <w:gridCol w:w="1010"/>
        <w:gridCol w:w="729"/>
        <w:gridCol w:w="1276"/>
        <w:gridCol w:w="1418"/>
        <w:gridCol w:w="749"/>
        <w:gridCol w:w="12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2230" w:type="dxa"/>
            <w:vAlign w:val="center"/>
          </w:tcPr>
          <w:p>
            <w:pPr>
              <w:jc w:val="center"/>
              <w:rPr>
                <w:sz w:val="24"/>
                <w:szCs w:val="24"/>
              </w:rPr>
            </w:pPr>
            <w:r>
              <w:rPr>
                <w:rFonts w:hint="eastAsia"/>
                <w:sz w:val="24"/>
                <w:szCs w:val="24"/>
              </w:rPr>
              <w:t>联合体成员名称</w:t>
            </w:r>
          </w:p>
        </w:tc>
        <w:tc>
          <w:tcPr>
            <w:tcW w:w="6417" w:type="dxa"/>
            <w:gridSpan w:val="6"/>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2230" w:type="dxa"/>
            <w:vAlign w:val="center"/>
          </w:tcPr>
          <w:p>
            <w:pPr>
              <w:jc w:val="center"/>
              <w:rPr>
                <w:sz w:val="24"/>
                <w:szCs w:val="24"/>
              </w:rPr>
            </w:pPr>
            <w:r>
              <w:rPr>
                <w:rFonts w:hint="eastAsia"/>
                <w:sz w:val="24"/>
                <w:szCs w:val="24"/>
              </w:rPr>
              <w:t>注册地址</w:t>
            </w:r>
          </w:p>
        </w:tc>
        <w:tc>
          <w:tcPr>
            <w:tcW w:w="3015" w:type="dxa"/>
            <w:gridSpan w:val="3"/>
            <w:vAlign w:val="center"/>
          </w:tcPr>
          <w:p>
            <w:pPr>
              <w:jc w:val="center"/>
              <w:rPr>
                <w:sz w:val="24"/>
                <w:szCs w:val="24"/>
              </w:rPr>
            </w:pPr>
          </w:p>
        </w:tc>
        <w:tc>
          <w:tcPr>
            <w:tcW w:w="1418" w:type="dxa"/>
            <w:vAlign w:val="center"/>
          </w:tcPr>
          <w:p>
            <w:pPr>
              <w:jc w:val="center"/>
              <w:rPr>
                <w:sz w:val="24"/>
                <w:szCs w:val="24"/>
              </w:rPr>
            </w:pPr>
            <w:r>
              <w:rPr>
                <w:rFonts w:hint="eastAsia"/>
                <w:sz w:val="24"/>
                <w:szCs w:val="24"/>
              </w:rPr>
              <w:t>邮政编码</w:t>
            </w:r>
          </w:p>
        </w:tc>
        <w:tc>
          <w:tcPr>
            <w:tcW w:w="1984" w:type="dxa"/>
            <w:gridSpan w:val="2"/>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2230" w:type="dxa"/>
            <w:vMerge w:val="restart"/>
            <w:vAlign w:val="center"/>
          </w:tcPr>
          <w:p>
            <w:pPr>
              <w:jc w:val="center"/>
              <w:rPr>
                <w:sz w:val="24"/>
                <w:szCs w:val="24"/>
              </w:rPr>
            </w:pPr>
            <w:r>
              <w:rPr>
                <w:rFonts w:hint="eastAsia"/>
                <w:sz w:val="24"/>
                <w:szCs w:val="24"/>
              </w:rPr>
              <w:t>联系方式</w:t>
            </w:r>
          </w:p>
        </w:tc>
        <w:tc>
          <w:tcPr>
            <w:tcW w:w="1010" w:type="dxa"/>
            <w:vAlign w:val="center"/>
          </w:tcPr>
          <w:p>
            <w:pPr>
              <w:jc w:val="center"/>
              <w:rPr>
                <w:sz w:val="24"/>
                <w:szCs w:val="24"/>
              </w:rPr>
            </w:pPr>
            <w:r>
              <w:rPr>
                <w:rFonts w:hint="eastAsia"/>
                <w:sz w:val="24"/>
                <w:szCs w:val="24"/>
              </w:rPr>
              <w:t>联系人</w:t>
            </w:r>
          </w:p>
        </w:tc>
        <w:tc>
          <w:tcPr>
            <w:tcW w:w="2005" w:type="dxa"/>
            <w:gridSpan w:val="2"/>
            <w:vAlign w:val="center"/>
          </w:tcPr>
          <w:p>
            <w:pPr>
              <w:jc w:val="center"/>
              <w:rPr>
                <w:sz w:val="24"/>
                <w:szCs w:val="24"/>
              </w:rPr>
            </w:pPr>
          </w:p>
        </w:tc>
        <w:tc>
          <w:tcPr>
            <w:tcW w:w="1418" w:type="dxa"/>
            <w:vAlign w:val="center"/>
          </w:tcPr>
          <w:p>
            <w:pPr>
              <w:jc w:val="center"/>
              <w:rPr>
                <w:sz w:val="24"/>
                <w:szCs w:val="24"/>
              </w:rPr>
            </w:pPr>
            <w:r>
              <w:rPr>
                <w:rFonts w:hint="eastAsia"/>
                <w:sz w:val="24"/>
                <w:szCs w:val="24"/>
              </w:rPr>
              <w:t>电话</w:t>
            </w:r>
          </w:p>
        </w:tc>
        <w:tc>
          <w:tcPr>
            <w:tcW w:w="1984" w:type="dxa"/>
            <w:gridSpan w:val="2"/>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7" w:hRule="atLeast"/>
          <w:jc w:val="center"/>
        </w:trPr>
        <w:tc>
          <w:tcPr>
            <w:tcW w:w="2230" w:type="dxa"/>
            <w:vMerge w:val="continue"/>
            <w:vAlign w:val="center"/>
          </w:tcPr>
          <w:p>
            <w:pPr>
              <w:rPr>
                <w:sz w:val="24"/>
                <w:szCs w:val="24"/>
              </w:rPr>
            </w:pPr>
          </w:p>
        </w:tc>
        <w:tc>
          <w:tcPr>
            <w:tcW w:w="1010" w:type="dxa"/>
            <w:vAlign w:val="center"/>
          </w:tcPr>
          <w:p>
            <w:pPr>
              <w:jc w:val="center"/>
              <w:rPr>
                <w:sz w:val="24"/>
                <w:szCs w:val="24"/>
              </w:rPr>
            </w:pPr>
            <w:r>
              <w:rPr>
                <w:rFonts w:hint="eastAsia"/>
                <w:sz w:val="24"/>
                <w:szCs w:val="24"/>
              </w:rPr>
              <w:t>传真</w:t>
            </w:r>
          </w:p>
        </w:tc>
        <w:tc>
          <w:tcPr>
            <w:tcW w:w="2005" w:type="dxa"/>
            <w:gridSpan w:val="2"/>
            <w:vAlign w:val="center"/>
          </w:tcPr>
          <w:p>
            <w:pPr>
              <w:jc w:val="center"/>
              <w:rPr>
                <w:sz w:val="24"/>
                <w:szCs w:val="24"/>
              </w:rPr>
            </w:pPr>
          </w:p>
        </w:tc>
        <w:tc>
          <w:tcPr>
            <w:tcW w:w="1418" w:type="dxa"/>
            <w:vAlign w:val="center"/>
          </w:tcPr>
          <w:p>
            <w:pPr>
              <w:jc w:val="center"/>
              <w:rPr>
                <w:sz w:val="24"/>
                <w:szCs w:val="24"/>
              </w:rPr>
            </w:pPr>
            <w:r>
              <w:rPr>
                <w:rFonts w:hint="eastAsia"/>
                <w:sz w:val="24"/>
                <w:szCs w:val="24"/>
              </w:rPr>
              <w:t>网址</w:t>
            </w:r>
          </w:p>
        </w:tc>
        <w:tc>
          <w:tcPr>
            <w:tcW w:w="1984" w:type="dxa"/>
            <w:gridSpan w:val="2"/>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8" w:hRule="atLeast"/>
          <w:jc w:val="center"/>
        </w:trPr>
        <w:tc>
          <w:tcPr>
            <w:tcW w:w="2230" w:type="dxa"/>
            <w:vAlign w:val="center"/>
          </w:tcPr>
          <w:p>
            <w:pPr>
              <w:jc w:val="center"/>
              <w:rPr>
                <w:sz w:val="24"/>
                <w:szCs w:val="24"/>
              </w:rPr>
            </w:pPr>
            <w:r>
              <w:rPr>
                <w:rFonts w:hint="eastAsia"/>
                <w:sz w:val="24"/>
                <w:szCs w:val="24"/>
              </w:rPr>
              <w:t>组织结构</w:t>
            </w:r>
          </w:p>
        </w:tc>
        <w:tc>
          <w:tcPr>
            <w:tcW w:w="6417" w:type="dxa"/>
            <w:gridSpan w:val="6"/>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1" w:hRule="atLeast"/>
          <w:jc w:val="center"/>
        </w:trPr>
        <w:tc>
          <w:tcPr>
            <w:tcW w:w="2230" w:type="dxa"/>
            <w:vAlign w:val="center"/>
          </w:tcPr>
          <w:p>
            <w:pPr>
              <w:jc w:val="center"/>
              <w:rPr>
                <w:sz w:val="24"/>
                <w:szCs w:val="24"/>
              </w:rPr>
            </w:pPr>
            <w:r>
              <w:rPr>
                <w:rFonts w:hint="eastAsia"/>
                <w:sz w:val="24"/>
                <w:szCs w:val="24"/>
              </w:rPr>
              <w:t>法定代表人</w:t>
            </w:r>
          </w:p>
        </w:tc>
        <w:tc>
          <w:tcPr>
            <w:tcW w:w="1010" w:type="dxa"/>
            <w:vAlign w:val="center"/>
          </w:tcPr>
          <w:p>
            <w:pPr>
              <w:jc w:val="center"/>
              <w:rPr>
                <w:sz w:val="24"/>
                <w:szCs w:val="24"/>
              </w:rPr>
            </w:pPr>
            <w:r>
              <w:rPr>
                <w:rFonts w:hint="eastAsia"/>
                <w:sz w:val="24"/>
                <w:szCs w:val="24"/>
              </w:rPr>
              <w:t>姓名</w:t>
            </w:r>
          </w:p>
        </w:tc>
        <w:tc>
          <w:tcPr>
            <w:tcW w:w="729" w:type="dxa"/>
            <w:vAlign w:val="center"/>
          </w:tcPr>
          <w:p>
            <w:pPr>
              <w:jc w:val="center"/>
              <w:rPr>
                <w:sz w:val="24"/>
                <w:szCs w:val="24"/>
              </w:rPr>
            </w:pPr>
          </w:p>
        </w:tc>
        <w:tc>
          <w:tcPr>
            <w:tcW w:w="1276" w:type="dxa"/>
            <w:vAlign w:val="center"/>
          </w:tcPr>
          <w:p>
            <w:pPr>
              <w:jc w:val="center"/>
              <w:rPr>
                <w:sz w:val="24"/>
                <w:szCs w:val="24"/>
              </w:rPr>
            </w:pPr>
            <w:r>
              <w:rPr>
                <w:rFonts w:hint="eastAsia"/>
                <w:sz w:val="24"/>
                <w:szCs w:val="24"/>
              </w:rPr>
              <w:t>专业技术职称</w:t>
            </w:r>
          </w:p>
        </w:tc>
        <w:tc>
          <w:tcPr>
            <w:tcW w:w="1418" w:type="dxa"/>
            <w:vAlign w:val="center"/>
          </w:tcPr>
          <w:p>
            <w:pPr>
              <w:jc w:val="center"/>
              <w:rPr>
                <w:sz w:val="24"/>
                <w:szCs w:val="24"/>
              </w:rPr>
            </w:pPr>
          </w:p>
        </w:tc>
        <w:tc>
          <w:tcPr>
            <w:tcW w:w="749" w:type="dxa"/>
            <w:vAlign w:val="center"/>
          </w:tcPr>
          <w:p>
            <w:pPr>
              <w:jc w:val="center"/>
              <w:rPr>
                <w:sz w:val="24"/>
                <w:szCs w:val="24"/>
              </w:rPr>
            </w:pPr>
            <w:r>
              <w:rPr>
                <w:rFonts w:hint="eastAsia"/>
                <w:sz w:val="24"/>
                <w:szCs w:val="24"/>
              </w:rPr>
              <w:t>电话</w:t>
            </w:r>
          </w:p>
        </w:tc>
        <w:tc>
          <w:tcPr>
            <w:tcW w:w="1235" w:type="dxa"/>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9" w:hRule="atLeast"/>
          <w:jc w:val="center"/>
        </w:trPr>
        <w:tc>
          <w:tcPr>
            <w:tcW w:w="2230" w:type="dxa"/>
            <w:vAlign w:val="center"/>
          </w:tcPr>
          <w:p>
            <w:pPr>
              <w:jc w:val="center"/>
              <w:rPr>
                <w:sz w:val="24"/>
                <w:szCs w:val="24"/>
              </w:rPr>
            </w:pPr>
            <w:r>
              <w:rPr>
                <w:rFonts w:hint="eastAsia"/>
                <w:sz w:val="24"/>
                <w:szCs w:val="24"/>
              </w:rPr>
              <w:t>技术负责人</w:t>
            </w:r>
          </w:p>
        </w:tc>
        <w:tc>
          <w:tcPr>
            <w:tcW w:w="1010" w:type="dxa"/>
            <w:vAlign w:val="center"/>
          </w:tcPr>
          <w:p>
            <w:pPr>
              <w:jc w:val="center"/>
              <w:rPr>
                <w:sz w:val="24"/>
                <w:szCs w:val="24"/>
              </w:rPr>
            </w:pPr>
            <w:r>
              <w:rPr>
                <w:rFonts w:hint="eastAsia"/>
                <w:sz w:val="24"/>
                <w:szCs w:val="24"/>
              </w:rPr>
              <w:t>姓名</w:t>
            </w:r>
          </w:p>
        </w:tc>
        <w:tc>
          <w:tcPr>
            <w:tcW w:w="729" w:type="dxa"/>
            <w:vAlign w:val="center"/>
          </w:tcPr>
          <w:p>
            <w:pPr>
              <w:jc w:val="center"/>
              <w:rPr>
                <w:sz w:val="24"/>
                <w:szCs w:val="24"/>
              </w:rPr>
            </w:pPr>
          </w:p>
        </w:tc>
        <w:tc>
          <w:tcPr>
            <w:tcW w:w="1276" w:type="dxa"/>
            <w:vAlign w:val="center"/>
          </w:tcPr>
          <w:p>
            <w:pPr>
              <w:jc w:val="center"/>
              <w:rPr>
                <w:sz w:val="24"/>
                <w:szCs w:val="24"/>
              </w:rPr>
            </w:pPr>
            <w:r>
              <w:rPr>
                <w:rFonts w:hint="eastAsia"/>
                <w:sz w:val="24"/>
                <w:szCs w:val="24"/>
              </w:rPr>
              <w:t>专业技术职称</w:t>
            </w:r>
          </w:p>
        </w:tc>
        <w:tc>
          <w:tcPr>
            <w:tcW w:w="1418" w:type="dxa"/>
            <w:vAlign w:val="center"/>
          </w:tcPr>
          <w:p>
            <w:pPr>
              <w:jc w:val="center"/>
              <w:rPr>
                <w:sz w:val="24"/>
                <w:szCs w:val="24"/>
              </w:rPr>
            </w:pPr>
          </w:p>
        </w:tc>
        <w:tc>
          <w:tcPr>
            <w:tcW w:w="749" w:type="dxa"/>
            <w:vAlign w:val="center"/>
          </w:tcPr>
          <w:p>
            <w:pPr>
              <w:jc w:val="center"/>
              <w:rPr>
                <w:sz w:val="24"/>
                <w:szCs w:val="24"/>
              </w:rPr>
            </w:pPr>
            <w:r>
              <w:rPr>
                <w:rFonts w:hint="eastAsia"/>
                <w:sz w:val="24"/>
                <w:szCs w:val="24"/>
              </w:rPr>
              <w:t>电话</w:t>
            </w:r>
          </w:p>
        </w:tc>
        <w:tc>
          <w:tcPr>
            <w:tcW w:w="1235" w:type="dxa"/>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0" w:hRule="atLeast"/>
          <w:jc w:val="center"/>
        </w:trPr>
        <w:tc>
          <w:tcPr>
            <w:tcW w:w="2230" w:type="dxa"/>
            <w:vAlign w:val="center"/>
          </w:tcPr>
          <w:p>
            <w:pPr>
              <w:jc w:val="center"/>
              <w:rPr>
                <w:sz w:val="24"/>
                <w:szCs w:val="24"/>
              </w:rPr>
            </w:pPr>
            <w:r>
              <w:rPr>
                <w:rFonts w:hint="eastAsia"/>
                <w:sz w:val="24"/>
                <w:szCs w:val="24"/>
              </w:rPr>
              <w:t>成立时间</w:t>
            </w:r>
          </w:p>
        </w:tc>
        <w:tc>
          <w:tcPr>
            <w:tcW w:w="1739" w:type="dxa"/>
            <w:gridSpan w:val="2"/>
            <w:vAlign w:val="center"/>
          </w:tcPr>
          <w:p>
            <w:pPr>
              <w:jc w:val="center"/>
              <w:rPr>
                <w:sz w:val="24"/>
                <w:szCs w:val="24"/>
              </w:rPr>
            </w:pPr>
          </w:p>
        </w:tc>
        <w:tc>
          <w:tcPr>
            <w:tcW w:w="4678" w:type="dxa"/>
            <w:gridSpan w:val="4"/>
            <w:vAlign w:val="center"/>
          </w:tcPr>
          <w:p>
            <w:pPr>
              <w:rPr>
                <w:sz w:val="24"/>
                <w:szCs w:val="24"/>
              </w:rPr>
            </w:pPr>
            <w:r>
              <w:rPr>
                <w:rFonts w:hint="eastAsia"/>
                <w:sz w:val="24"/>
                <w:szCs w:val="24"/>
              </w:rPr>
              <w:t>员工总人数：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5" w:hRule="atLeast"/>
          <w:jc w:val="center"/>
        </w:trPr>
        <w:tc>
          <w:tcPr>
            <w:tcW w:w="2230" w:type="dxa"/>
            <w:vAlign w:val="center"/>
          </w:tcPr>
          <w:p>
            <w:pPr>
              <w:jc w:val="center"/>
              <w:rPr>
                <w:sz w:val="24"/>
                <w:szCs w:val="24"/>
              </w:rPr>
            </w:pPr>
            <w:r>
              <w:rPr>
                <w:rFonts w:hint="eastAsia"/>
                <w:sz w:val="24"/>
                <w:szCs w:val="24"/>
              </w:rPr>
              <w:t>企业资质等级</w:t>
            </w:r>
          </w:p>
        </w:tc>
        <w:tc>
          <w:tcPr>
            <w:tcW w:w="1739" w:type="dxa"/>
            <w:gridSpan w:val="2"/>
            <w:vAlign w:val="center"/>
          </w:tcPr>
          <w:p>
            <w:pPr>
              <w:jc w:val="center"/>
              <w:rPr>
                <w:sz w:val="24"/>
                <w:szCs w:val="24"/>
              </w:rPr>
            </w:pPr>
          </w:p>
        </w:tc>
        <w:tc>
          <w:tcPr>
            <w:tcW w:w="1276" w:type="dxa"/>
            <w:vMerge w:val="restart"/>
            <w:vAlign w:val="center"/>
          </w:tcPr>
          <w:p>
            <w:pPr>
              <w:jc w:val="center"/>
              <w:rPr>
                <w:sz w:val="24"/>
                <w:szCs w:val="24"/>
              </w:rPr>
            </w:pPr>
            <w:r>
              <w:rPr>
                <w:rFonts w:hint="eastAsia"/>
                <w:sz w:val="24"/>
                <w:szCs w:val="24"/>
              </w:rPr>
              <w:t>其中</w:t>
            </w:r>
          </w:p>
        </w:tc>
        <w:tc>
          <w:tcPr>
            <w:tcW w:w="1418" w:type="dxa"/>
            <w:vAlign w:val="center"/>
          </w:tcPr>
          <w:p>
            <w:pPr>
              <w:jc w:val="center"/>
              <w:rPr>
                <w:sz w:val="24"/>
                <w:szCs w:val="24"/>
              </w:rPr>
            </w:pPr>
            <w:r>
              <w:rPr>
                <w:rFonts w:hint="eastAsia"/>
                <w:sz w:val="24"/>
                <w:szCs w:val="24"/>
              </w:rPr>
              <w:t>注册建造师</w:t>
            </w:r>
          </w:p>
        </w:tc>
        <w:tc>
          <w:tcPr>
            <w:tcW w:w="1984" w:type="dxa"/>
            <w:gridSpan w:val="2"/>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2230" w:type="dxa"/>
            <w:vAlign w:val="center"/>
          </w:tcPr>
          <w:p>
            <w:pPr>
              <w:jc w:val="center"/>
              <w:rPr>
                <w:sz w:val="24"/>
                <w:szCs w:val="24"/>
              </w:rPr>
            </w:pPr>
            <w:r>
              <w:rPr>
                <w:rFonts w:hint="eastAsia"/>
                <w:sz w:val="24"/>
                <w:szCs w:val="24"/>
              </w:rPr>
              <w:t>营业执照号</w:t>
            </w:r>
          </w:p>
        </w:tc>
        <w:tc>
          <w:tcPr>
            <w:tcW w:w="1739" w:type="dxa"/>
            <w:gridSpan w:val="2"/>
            <w:vAlign w:val="center"/>
          </w:tcPr>
          <w:p>
            <w:pPr>
              <w:jc w:val="center"/>
              <w:rPr>
                <w:sz w:val="24"/>
                <w:szCs w:val="24"/>
              </w:rPr>
            </w:pPr>
          </w:p>
        </w:tc>
        <w:tc>
          <w:tcPr>
            <w:tcW w:w="1276" w:type="dxa"/>
            <w:vMerge w:val="continue"/>
            <w:vAlign w:val="center"/>
          </w:tcPr>
          <w:p>
            <w:pPr>
              <w:rPr>
                <w:sz w:val="24"/>
                <w:szCs w:val="24"/>
              </w:rPr>
            </w:pPr>
          </w:p>
        </w:tc>
        <w:tc>
          <w:tcPr>
            <w:tcW w:w="1418" w:type="dxa"/>
            <w:vAlign w:val="center"/>
          </w:tcPr>
          <w:p>
            <w:pPr>
              <w:jc w:val="center"/>
              <w:rPr>
                <w:sz w:val="24"/>
                <w:szCs w:val="24"/>
              </w:rPr>
            </w:pPr>
            <w:r>
              <w:rPr>
                <w:rFonts w:hint="eastAsia"/>
                <w:sz w:val="24"/>
                <w:szCs w:val="24"/>
              </w:rPr>
              <w:t>高级专业技术职称人员</w:t>
            </w:r>
          </w:p>
        </w:tc>
        <w:tc>
          <w:tcPr>
            <w:tcW w:w="1984" w:type="dxa"/>
            <w:gridSpan w:val="2"/>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2230" w:type="dxa"/>
            <w:vAlign w:val="center"/>
          </w:tcPr>
          <w:p>
            <w:pPr>
              <w:jc w:val="center"/>
              <w:rPr>
                <w:sz w:val="24"/>
                <w:szCs w:val="24"/>
              </w:rPr>
            </w:pPr>
            <w:r>
              <w:rPr>
                <w:rFonts w:hint="eastAsia"/>
                <w:sz w:val="24"/>
                <w:szCs w:val="24"/>
              </w:rPr>
              <w:t>注册资金</w:t>
            </w:r>
          </w:p>
        </w:tc>
        <w:tc>
          <w:tcPr>
            <w:tcW w:w="1739" w:type="dxa"/>
            <w:gridSpan w:val="2"/>
            <w:vAlign w:val="center"/>
          </w:tcPr>
          <w:p>
            <w:pPr>
              <w:jc w:val="center"/>
              <w:rPr>
                <w:sz w:val="24"/>
                <w:szCs w:val="24"/>
              </w:rPr>
            </w:pPr>
          </w:p>
        </w:tc>
        <w:tc>
          <w:tcPr>
            <w:tcW w:w="1276" w:type="dxa"/>
            <w:vMerge w:val="continue"/>
            <w:vAlign w:val="center"/>
          </w:tcPr>
          <w:p>
            <w:pPr>
              <w:rPr>
                <w:sz w:val="24"/>
                <w:szCs w:val="24"/>
              </w:rPr>
            </w:pPr>
          </w:p>
        </w:tc>
        <w:tc>
          <w:tcPr>
            <w:tcW w:w="1418" w:type="dxa"/>
            <w:vAlign w:val="center"/>
          </w:tcPr>
          <w:p>
            <w:pPr>
              <w:jc w:val="center"/>
              <w:rPr>
                <w:sz w:val="24"/>
                <w:szCs w:val="24"/>
              </w:rPr>
            </w:pPr>
            <w:r>
              <w:rPr>
                <w:rFonts w:hint="eastAsia"/>
                <w:sz w:val="24"/>
                <w:szCs w:val="24"/>
              </w:rPr>
              <w:t>中级专业技术职称人员</w:t>
            </w:r>
          </w:p>
        </w:tc>
        <w:tc>
          <w:tcPr>
            <w:tcW w:w="1984" w:type="dxa"/>
            <w:gridSpan w:val="2"/>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2230" w:type="dxa"/>
            <w:vAlign w:val="center"/>
          </w:tcPr>
          <w:p>
            <w:pPr>
              <w:jc w:val="center"/>
              <w:rPr>
                <w:sz w:val="24"/>
                <w:szCs w:val="24"/>
              </w:rPr>
            </w:pPr>
            <w:r>
              <w:rPr>
                <w:rFonts w:hint="eastAsia"/>
                <w:sz w:val="24"/>
                <w:szCs w:val="24"/>
              </w:rPr>
              <w:t>开户银行</w:t>
            </w:r>
          </w:p>
        </w:tc>
        <w:tc>
          <w:tcPr>
            <w:tcW w:w="1739" w:type="dxa"/>
            <w:gridSpan w:val="2"/>
            <w:vAlign w:val="center"/>
          </w:tcPr>
          <w:p>
            <w:pPr>
              <w:jc w:val="center"/>
              <w:rPr>
                <w:sz w:val="24"/>
                <w:szCs w:val="24"/>
              </w:rPr>
            </w:pPr>
          </w:p>
        </w:tc>
        <w:tc>
          <w:tcPr>
            <w:tcW w:w="1276" w:type="dxa"/>
            <w:vMerge w:val="continue"/>
            <w:vAlign w:val="center"/>
          </w:tcPr>
          <w:p>
            <w:pPr>
              <w:rPr>
                <w:sz w:val="24"/>
                <w:szCs w:val="24"/>
              </w:rPr>
            </w:pPr>
          </w:p>
        </w:tc>
        <w:tc>
          <w:tcPr>
            <w:tcW w:w="1418" w:type="dxa"/>
            <w:vAlign w:val="center"/>
          </w:tcPr>
          <w:p>
            <w:pPr>
              <w:jc w:val="center"/>
              <w:rPr>
                <w:sz w:val="24"/>
                <w:szCs w:val="24"/>
              </w:rPr>
            </w:pPr>
            <w:r>
              <w:rPr>
                <w:rFonts w:hint="eastAsia"/>
                <w:sz w:val="24"/>
                <w:szCs w:val="24"/>
              </w:rPr>
              <w:t>初级专业技术职称人员</w:t>
            </w:r>
          </w:p>
        </w:tc>
        <w:tc>
          <w:tcPr>
            <w:tcW w:w="1984" w:type="dxa"/>
            <w:gridSpan w:val="2"/>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6" w:hRule="atLeast"/>
          <w:jc w:val="center"/>
        </w:trPr>
        <w:tc>
          <w:tcPr>
            <w:tcW w:w="2230" w:type="dxa"/>
            <w:vAlign w:val="center"/>
          </w:tcPr>
          <w:p>
            <w:pPr>
              <w:jc w:val="center"/>
              <w:rPr>
                <w:sz w:val="24"/>
                <w:szCs w:val="24"/>
              </w:rPr>
            </w:pPr>
            <w:r>
              <w:rPr>
                <w:rFonts w:hint="eastAsia"/>
                <w:sz w:val="24"/>
                <w:szCs w:val="24"/>
              </w:rPr>
              <w:t>账号</w:t>
            </w:r>
          </w:p>
        </w:tc>
        <w:tc>
          <w:tcPr>
            <w:tcW w:w="1739" w:type="dxa"/>
            <w:gridSpan w:val="2"/>
            <w:vAlign w:val="center"/>
          </w:tcPr>
          <w:p>
            <w:pPr>
              <w:jc w:val="center"/>
              <w:rPr>
                <w:sz w:val="24"/>
                <w:szCs w:val="24"/>
              </w:rPr>
            </w:pPr>
          </w:p>
        </w:tc>
        <w:tc>
          <w:tcPr>
            <w:tcW w:w="1276" w:type="dxa"/>
            <w:vMerge w:val="continue"/>
            <w:vAlign w:val="center"/>
          </w:tcPr>
          <w:p>
            <w:pPr>
              <w:rPr>
                <w:sz w:val="24"/>
                <w:szCs w:val="24"/>
              </w:rPr>
            </w:pPr>
          </w:p>
        </w:tc>
        <w:tc>
          <w:tcPr>
            <w:tcW w:w="1418" w:type="dxa"/>
            <w:vAlign w:val="center"/>
          </w:tcPr>
          <w:p>
            <w:pPr>
              <w:jc w:val="center"/>
              <w:rPr>
                <w:sz w:val="24"/>
                <w:szCs w:val="24"/>
              </w:rPr>
            </w:pPr>
            <w:r>
              <w:rPr>
                <w:rFonts w:hint="eastAsia"/>
                <w:sz w:val="24"/>
                <w:szCs w:val="24"/>
              </w:rPr>
              <w:t>技工</w:t>
            </w:r>
          </w:p>
        </w:tc>
        <w:tc>
          <w:tcPr>
            <w:tcW w:w="1984" w:type="dxa"/>
            <w:gridSpan w:val="2"/>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2230" w:type="dxa"/>
            <w:vAlign w:val="center"/>
          </w:tcPr>
          <w:p>
            <w:pPr>
              <w:jc w:val="center"/>
              <w:rPr>
                <w:sz w:val="24"/>
                <w:szCs w:val="24"/>
              </w:rPr>
            </w:pPr>
            <w:r>
              <w:rPr>
                <w:rFonts w:hint="eastAsia"/>
                <w:sz w:val="24"/>
                <w:szCs w:val="24"/>
              </w:rPr>
              <w:t>经营范围</w:t>
            </w:r>
          </w:p>
        </w:tc>
        <w:tc>
          <w:tcPr>
            <w:tcW w:w="6417" w:type="dxa"/>
            <w:gridSpan w:val="6"/>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2230" w:type="dxa"/>
            <w:vAlign w:val="center"/>
          </w:tcPr>
          <w:p>
            <w:pPr>
              <w:jc w:val="center"/>
              <w:rPr>
                <w:sz w:val="24"/>
                <w:szCs w:val="24"/>
              </w:rPr>
            </w:pPr>
            <w:r>
              <w:rPr>
                <w:rFonts w:hint="eastAsia"/>
                <w:sz w:val="24"/>
                <w:szCs w:val="24"/>
              </w:rPr>
              <w:t>与投标人的单位负责人为同一人的单位</w:t>
            </w:r>
          </w:p>
        </w:tc>
        <w:tc>
          <w:tcPr>
            <w:tcW w:w="6417" w:type="dxa"/>
            <w:gridSpan w:val="6"/>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2230" w:type="dxa"/>
            <w:vAlign w:val="center"/>
          </w:tcPr>
          <w:p>
            <w:pPr>
              <w:jc w:val="center"/>
              <w:rPr>
                <w:sz w:val="24"/>
                <w:szCs w:val="24"/>
              </w:rPr>
            </w:pPr>
            <w:r>
              <w:rPr>
                <w:rFonts w:hint="eastAsia"/>
                <w:sz w:val="24"/>
                <w:szCs w:val="24"/>
              </w:rPr>
              <w:t>与投标人存在控股关系的单位</w:t>
            </w:r>
          </w:p>
        </w:tc>
        <w:tc>
          <w:tcPr>
            <w:tcW w:w="6417" w:type="dxa"/>
            <w:gridSpan w:val="6"/>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0" w:hRule="atLeast"/>
          <w:jc w:val="center"/>
        </w:trPr>
        <w:tc>
          <w:tcPr>
            <w:tcW w:w="2230" w:type="dxa"/>
            <w:vAlign w:val="center"/>
          </w:tcPr>
          <w:p>
            <w:pPr>
              <w:jc w:val="center"/>
              <w:rPr>
                <w:sz w:val="24"/>
                <w:szCs w:val="24"/>
              </w:rPr>
            </w:pPr>
            <w:r>
              <w:rPr>
                <w:rFonts w:hint="eastAsia"/>
                <w:sz w:val="24"/>
                <w:szCs w:val="24"/>
              </w:rPr>
              <w:t>与投标人存在管理关系的单位</w:t>
            </w:r>
          </w:p>
        </w:tc>
        <w:tc>
          <w:tcPr>
            <w:tcW w:w="6417" w:type="dxa"/>
            <w:gridSpan w:val="6"/>
            <w:vAlign w:val="center"/>
          </w:tcPr>
          <w:p>
            <w:pPr>
              <w:jc w:val="center"/>
              <w:rPr>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2230" w:type="dxa"/>
            <w:vAlign w:val="center"/>
          </w:tcPr>
          <w:p>
            <w:pPr>
              <w:jc w:val="center"/>
              <w:rPr>
                <w:sz w:val="24"/>
                <w:szCs w:val="24"/>
              </w:rPr>
            </w:pPr>
            <w:r>
              <w:rPr>
                <w:rFonts w:hint="eastAsia"/>
                <w:sz w:val="24"/>
                <w:szCs w:val="24"/>
              </w:rPr>
              <w:t>备注</w:t>
            </w:r>
          </w:p>
        </w:tc>
        <w:tc>
          <w:tcPr>
            <w:tcW w:w="6417" w:type="dxa"/>
            <w:gridSpan w:val="6"/>
            <w:vAlign w:val="center"/>
          </w:tcPr>
          <w:p>
            <w:pPr>
              <w:jc w:val="center"/>
              <w:rPr>
                <w:sz w:val="24"/>
                <w:szCs w:val="24"/>
              </w:rPr>
            </w:pPr>
          </w:p>
        </w:tc>
      </w:tr>
    </w:tbl>
    <w:p>
      <w:pPr>
        <w:widowControl/>
        <w:topLinePunct/>
        <w:spacing w:line="360" w:lineRule="auto"/>
        <w:rPr>
          <w:sz w:val="24"/>
          <w:szCs w:val="24"/>
        </w:rPr>
      </w:pPr>
      <w:r>
        <w:rPr>
          <w:rFonts w:hint="eastAsia"/>
          <w:sz w:val="24"/>
          <w:szCs w:val="24"/>
        </w:rPr>
        <w:t>注：投标人应根据投标人须知第</w:t>
      </w:r>
      <w:r>
        <w:rPr>
          <w:sz w:val="24"/>
          <w:szCs w:val="24"/>
        </w:rPr>
        <w:t xml:space="preserve"> 3.5.1 </w:t>
      </w:r>
      <w:r>
        <w:rPr>
          <w:rFonts w:hint="eastAsia"/>
          <w:sz w:val="24"/>
          <w:szCs w:val="24"/>
        </w:rPr>
        <w:t>项的要求在本表后附相关证明材料扫描件。</w:t>
      </w:r>
    </w:p>
    <w:p>
      <w:pPr>
        <w:widowControl/>
        <w:topLinePunct/>
        <w:spacing w:line="360" w:lineRule="auto"/>
        <w:ind w:firstLine="240" w:firstLineChars="100"/>
        <w:rPr>
          <w:sz w:val="24"/>
          <w:szCs w:val="24"/>
        </w:rPr>
      </w:pPr>
      <w:r>
        <w:rPr>
          <w:rFonts w:hint="eastAsia"/>
          <w:sz w:val="24"/>
          <w:szCs w:val="24"/>
        </w:rPr>
        <w:t>非联合体投标时无需填写。</w:t>
      </w:r>
    </w:p>
    <w:p>
      <w:pPr>
        <w:pStyle w:val="4"/>
        <w:spacing w:line="36" w:lineRule="auto"/>
        <w:jc w:val="center"/>
        <w:rPr>
          <w:rFonts w:ascii="宋体" w:eastAsia="宋体" w:cs="宋体"/>
          <w:sz w:val="32"/>
        </w:rPr>
      </w:pPr>
      <w:bookmarkStart w:id="829" w:name="_Toc256000111"/>
      <w:r>
        <w:rPr>
          <w:rFonts w:hint="eastAsia" w:ascii="宋体" w:hAnsi="宋体" w:cs="宋体"/>
          <w:sz w:val="32"/>
        </w:rPr>
        <w:t>（二）近年财务状况表</w:t>
      </w:r>
      <w:bookmarkEnd w:id="829"/>
    </w:p>
    <w:p>
      <w:pPr>
        <w:spacing w:line="360" w:lineRule="auto"/>
        <w:rPr>
          <w:sz w:val="24"/>
        </w:rPr>
      </w:pPr>
      <w:r>
        <w:t xml:space="preserve">    </w:t>
      </w:r>
      <w:r>
        <w:rPr>
          <w:rFonts w:hint="eastAsia"/>
          <w:sz w:val="24"/>
          <w:szCs w:val="24"/>
        </w:rPr>
        <w:t>注：</w:t>
      </w:r>
      <w:r>
        <w:rPr>
          <w:rFonts w:hint="eastAsia"/>
          <w:sz w:val="24"/>
        </w:rPr>
        <w:t>投标人应按照第二章“投标人须知”</w:t>
      </w:r>
      <w:r>
        <w:rPr>
          <w:sz w:val="24"/>
        </w:rPr>
        <w:t>3.5.2</w:t>
      </w:r>
      <w:r>
        <w:rPr>
          <w:rFonts w:hint="eastAsia"/>
          <w:sz w:val="24"/>
        </w:rPr>
        <w:t>提供相应年份的财务状况表扫描件，可以不含财务情况说明书。</w:t>
      </w:r>
    </w:p>
    <w:p>
      <w:pPr>
        <w:spacing w:line="360" w:lineRule="auto"/>
        <w:ind w:firstLine="240" w:firstLineChars="100"/>
        <w:rPr>
          <w:sz w:val="24"/>
        </w:rPr>
        <w:sectPr>
          <w:headerReference r:id="rId30" w:type="default"/>
          <w:footerReference r:id="rId31" w:type="default"/>
          <w:pgSz w:w="11906" w:h="16838"/>
          <w:pgMar w:top="1418" w:right="1418" w:bottom="1418" w:left="1418" w:header="851" w:footer="851" w:gutter="0"/>
          <w:cols w:space="720" w:num="1"/>
          <w:docGrid w:type="lines" w:linePitch="312" w:charSpace="0"/>
        </w:sectPr>
      </w:pPr>
    </w:p>
    <w:p>
      <w:pPr>
        <w:spacing w:line="360" w:lineRule="auto"/>
      </w:pPr>
      <w:r>
        <w:t xml:space="preserve">    </w:t>
      </w:r>
    </w:p>
    <w:p>
      <w:pPr>
        <w:widowControl/>
        <w:jc w:val="center"/>
        <w:rPr>
          <w:b/>
          <w:bCs/>
          <w:sz w:val="32"/>
          <w:szCs w:val="32"/>
        </w:rPr>
      </w:pPr>
      <w:r>
        <w:br w:type="page"/>
      </w:r>
      <w:bookmarkStart w:id="830" w:name="_Toc256000112"/>
      <w:r>
        <w:rPr>
          <w:rFonts w:hint="eastAsia"/>
          <w:b/>
          <w:bCs/>
          <w:sz w:val="32"/>
          <w:szCs w:val="32"/>
        </w:rPr>
        <w:t>（三）近年完成的类似项目情况表</w:t>
      </w:r>
      <w:bookmarkEnd w:id="830"/>
    </w:p>
    <w:p>
      <w:pPr>
        <w:spacing w:line="36" w:lineRule="auto"/>
        <w:rPr>
          <w:b/>
          <w:sz w:val="24"/>
          <w:szCs w:val="24"/>
        </w:rPr>
      </w:pPr>
      <w:r>
        <w:rPr>
          <w:rFonts w:hint="eastAsia"/>
          <w:b/>
          <w:sz w:val="24"/>
          <w:szCs w:val="24"/>
        </w:rPr>
        <w:t>序号：</w:t>
      </w:r>
      <w:r>
        <w:rPr>
          <w:b/>
          <w:sz w:val="24"/>
          <w:szCs w:val="24"/>
        </w:rPr>
        <w:t xml:space="preserve">     </w:t>
      </w:r>
    </w:p>
    <w:tbl>
      <w:tblPr>
        <w:tblStyle w:val="3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66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48" w:type="dxa"/>
            <w:vAlign w:val="center"/>
          </w:tcPr>
          <w:p>
            <w:pPr>
              <w:jc w:val="center"/>
              <w:rPr>
                <w:sz w:val="24"/>
                <w:szCs w:val="24"/>
              </w:rPr>
            </w:pPr>
            <w:r>
              <w:rPr>
                <w:rFonts w:hint="eastAsia"/>
                <w:sz w:val="24"/>
                <w:szCs w:val="24"/>
              </w:rPr>
              <w:t>项目名称</w:t>
            </w:r>
          </w:p>
        </w:tc>
        <w:tc>
          <w:tcPr>
            <w:tcW w:w="6624"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48" w:type="dxa"/>
            <w:vAlign w:val="center"/>
          </w:tcPr>
          <w:p>
            <w:pPr>
              <w:jc w:val="center"/>
              <w:rPr>
                <w:sz w:val="24"/>
                <w:szCs w:val="24"/>
              </w:rPr>
            </w:pPr>
            <w:r>
              <w:rPr>
                <w:rFonts w:hint="eastAsia"/>
                <w:sz w:val="24"/>
                <w:szCs w:val="24"/>
              </w:rPr>
              <w:t>项目所在地</w:t>
            </w:r>
          </w:p>
        </w:tc>
        <w:tc>
          <w:tcPr>
            <w:tcW w:w="6624"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48" w:type="dxa"/>
            <w:vAlign w:val="center"/>
          </w:tcPr>
          <w:p>
            <w:pPr>
              <w:jc w:val="center"/>
              <w:rPr>
                <w:sz w:val="24"/>
                <w:szCs w:val="24"/>
              </w:rPr>
            </w:pPr>
            <w:r>
              <w:rPr>
                <w:rFonts w:hint="eastAsia"/>
                <w:sz w:val="24"/>
                <w:szCs w:val="24"/>
              </w:rPr>
              <w:t>发包人名称</w:t>
            </w:r>
          </w:p>
        </w:tc>
        <w:tc>
          <w:tcPr>
            <w:tcW w:w="6624"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48" w:type="dxa"/>
            <w:vAlign w:val="center"/>
          </w:tcPr>
          <w:p>
            <w:pPr>
              <w:jc w:val="center"/>
              <w:rPr>
                <w:sz w:val="24"/>
                <w:szCs w:val="24"/>
              </w:rPr>
            </w:pPr>
            <w:r>
              <w:rPr>
                <w:rFonts w:hint="eastAsia"/>
                <w:sz w:val="24"/>
                <w:szCs w:val="24"/>
              </w:rPr>
              <w:t>发包人地址</w:t>
            </w:r>
          </w:p>
        </w:tc>
        <w:tc>
          <w:tcPr>
            <w:tcW w:w="6624"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48" w:type="dxa"/>
            <w:vAlign w:val="center"/>
          </w:tcPr>
          <w:p>
            <w:pPr>
              <w:jc w:val="center"/>
              <w:rPr>
                <w:sz w:val="24"/>
                <w:szCs w:val="24"/>
              </w:rPr>
            </w:pPr>
            <w:r>
              <w:rPr>
                <w:rFonts w:hint="eastAsia"/>
                <w:sz w:val="24"/>
                <w:szCs w:val="24"/>
              </w:rPr>
              <w:t>发包人电话</w:t>
            </w:r>
          </w:p>
        </w:tc>
        <w:tc>
          <w:tcPr>
            <w:tcW w:w="6624"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48" w:type="dxa"/>
            <w:vAlign w:val="center"/>
          </w:tcPr>
          <w:p>
            <w:pPr>
              <w:jc w:val="center"/>
              <w:rPr>
                <w:sz w:val="24"/>
                <w:szCs w:val="24"/>
              </w:rPr>
            </w:pPr>
            <w:r>
              <w:rPr>
                <w:rFonts w:hint="eastAsia"/>
                <w:sz w:val="24"/>
                <w:szCs w:val="24"/>
              </w:rPr>
              <w:t>合同价格</w:t>
            </w:r>
          </w:p>
        </w:tc>
        <w:tc>
          <w:tcPr>
            <w:tcW w:w="6624"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48" w:type="dxa"/>
            <w:vAlign w:val="center"/>
          </w:tcPr>
          <w:p>
            <w:pPr>
              <w:jc w:val="center"/>
              <w:rPr>
                <w:sz w:val="24"/>
                <w:szCs w:val="24"/>
              </w:rPr>
            </w:pPr>
            <w:r>
              <w:rPr>
                <w:rFonts w:hint="eastAsia"/>
                <w:sz w:val="24"/>
                <w:szCs w:val="24"/>
              </w:rPr>
              <w:t>开工日期</w:t>
            </w:r>
          </w:p>
        </w:tc>
        <w:tc>
          <w:tcPr>
            <w:tcW w:w="6624"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48" w:type="dxa"/>
            <w:vAlign w:val="center"/>
          </w:tcPr>
          <w:p>
            <w:pPr>
              <w:jc w:val="center"/>
              <w:rPr>
                <w:sz w:val="24"/>
                <w:szCs w:val="24"/>
              </w:rPr>
            </w:pPr>
            <w:r>
              <w:rPr>
                <w:rFonts w:hint="eastAsia"/>
                <w:sz w:val="24"/>
                <w:szCs w:val="24"/>
              </w:rPr>
              <w:t>竣工日期</w:t>
            </w:r>
          </w:p>
        </w:tc>
        <w:tc>
          <w:tcPr>
            <w:tcW w:w="6624"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48" w:type="dxa"/>
            <w:vAlign w:val="center"/>
          </w:tcPr>
          <w:p>
            <w:pPr>
              <w:jc w:val="center"/>
              <w:rPr>
                <w:sz w:val="24"/>
                <w:szCs w:val="24"/>
              </w:rPr>
            </w:pPr>
            <w:r>
              <w:rPr>
                <w:rFonts w:hint="eastAsia"/>
                <w:sz w:val="24"/>
                <w:szCs w:val="24"/>
              </w:rPr>
              <w:t>承担的工作</w:t>
            </w:r>
          </w:p>
        </w:tc>
        <w:tc>
          <w:tcPr>
            <w:tcW w:w="6624"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48" w:type="dxa"/>
            <w:vAlign w:val="center"/>
          </w:tcPr>
          <w:p>
            <w:pPr>
              <w:jc w:val="center"/>
              <w:rPr>
                <w:sz w:val="24"/>
                <w:szCs w:val="24"/>
              </w:rPr>
            </w:pPr>
            <w:r>
              <w:rPr>
                <w:rFonts w:hint="eastAsia"/>
                <w:sz w:val="24"/>
                <w:szCs w:val="24"/>
              </w:rPr>
              <w:t>工程质量</w:t>
            </w:r>
          </w:p>
        </w:tc>
        <w:tc>
          <w:tcPr>
            <w:tcW w:w="6624"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48" w:type="dxa"/>
            <w:vAlign w:val="center"/>
          </w:tcPr>
          <w:p>
            <w:pPr>
              <w:jc w:val="center"/>
              <w:rPr>
                <w:sz w:val="24"/>
                <w:szCs w:val="24"/>
              </w:rPr>
            </w:pPr>
            <w:r>
              <w:rPr>
                <w:rFonts w:hint="eastAsia"/>
                <w:sz w:val="24"/>
                <w:szCs w:val="24"/>
              </w:rPr>
              <w:t>项目经理</w:t>
            </w:r>
          </w:p>
        </w:tc>
        <w:tc>
          <w:tcPr>
            <w:tcW w:w="6624"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48" w:type="dxa"/>
            <w:vAlign w:val="center"/>
          </w:tcPr>
          <w:p>
            <w:pPr>
              <w:jc w:val="center"/>
              <w:rPr>
                <w:sz w:val="24"/>
                <w:szCs w:val="24"/>
              </w:rPr>
            </w:pPr>
            <w:r>
              <w:rPr>
                <w:rFonts w:hint="eastAsia"/>
                <w:sz w:val="24"/>
                <w:szCs w:val="24"/>
              </w:rPr>
              <w:t>技术负责人</w:t>
            </w:r>
          </w:p>
        </w:tc>
        <w:tc>
          <w:tcPr>
            <w:tcW w:w="6624"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48" w:type="dxa"/>
            <w:vAlign w:val="center"/>
          </w:tcPr>
          <w:p>
            <w:pPr>
              <w:jc w:val="center"/>
              <w:rPr>
                <w:sz w:val="24"/>
                <w:szCs w:val="24"/>
              </w:rPr>
            </w:pPr>
            <w:r>
              <w:rPr>
                <w:rFonts w:hint="eastAsia"/>
                <w:sz w:val="24"/>
                <w:szCs w:val="24"/>
              </w:rPr>
              <w:t>总监理工程师及电话</w:t>
            </w:r>
          </w:p>
        </w:tc>
        <w:tc>
          <w:tcPr>
            <w:tcW w:w="6624"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48" w:type="dxa"/>
            <w:vAlign w:val="center"/>
          </w:tcPr>
          <w:p>
            <w:pPr>
              <w:jc w:val="center"/>
              <w:rPr>
                <w:sz w:val="24"/>
                <w:szCs w:val="24"/>
              </w:rPr>
            </w:pPr>
            <w:r>
              <w:rPr>
                <w:rFonts w:hint="eastAsia"/>
                <w:sz w:val="24"/>
                <w:szCs w:val="24"/>
              </w:rPr>
              <w:t>项目描述</w:t>
            </w:r>
          </w:p>
        </w:tc>
        <w:tc>
          <w:tcPr>
            <w:tcW w:w="6624"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448" w:type="dxa"/>
            <w:vAlign w:val="center"/>
          </w:tcPr>
          <w:p>
            <w:pPr>
              <w:jc w:val="center"/>
              <w:rPr>
                <w:sz w:val="24"/>
                <w:szCs w:val="24"/>
              </w:rPr>
            </w:pPr>
            <w:r>
              <w:rPr>
                <w:rFonts w:hint="eastAsia"/>
                <w:sz w:val="24"/>
                <w:szCs w:val="24"/>
              </w:rPr>
              <w:t>备注</w:t>
            </w:r>
          </w:p>
        </w:tc>
        <w:tc>
          <w:tcPr>
            <w:tcW w:w="6624" w:type="dxa"/>
            <w:vAlign w:val="center"/>
          </w:tcPr>
          <w:p>
            <w:pPr>
              <w:jc w:val="center"/>
              <w:rPr>
                <w:sz w:val="27"/>
              </w:rPr>
            </w:pPr>
          </w:p>
        </w:tc>
      </w:tr>
    </w:tbl>
    <w:p>
      <w:pPr>
        <w:spacing w:line="360" w:lineRule="auto"/>
        <w:ind w:right="-156" w:rightChars="-71"/>
        <w:rPr>
          <w:sz w:val="24"/>
          <w:szCs w:val="24"/>
        </w:rPr>
      </w:pPr>
      <w:r>
        <w:rPr>
          <w:rFonts w:hint="eastAsia"/>
          <w:sz w:val="24"/>
          <w:szCs w:val="24"/>
        </w:rPr>
        <w:t>注</w:t>
      </w:r>
      <w:r>
        <w:rPr>
          <w:sz w:val="24"/>
          <w:szCs w:val="24"/>
        </w:rPr>
        <w:t>:</w:t>
      </w:r>
      <w:r>
        <w:rPr>
          <w:rFonts w:hint="eastAsia"/>
          <w:sz w:val="24"/>
          <w:szCs w:val="24"/>
        </w:rPr>
        <w:t>投标人应根据投标人须知第</w:t>
      </w:r>
      <w:r>
        <w:rPr>
          <w:sz w:val="24"/>
          <w:szCs w:val="24"/>
        </w:rPr>
        <w:t>3.5.3</w:t>
      </w:r>
      <w:r>
        <w:rPr>
          <w:rFonts w:hint="eastAsia"/>
          <w:sz w:val="24"/>
          <w:szCs w:val="24"/>
        </w:rPr>
        <w:t>项的要求在本表后附相关证明材料扫描件。</w:t>
      </w:r>
    </w:p>
    <w:p>
      <w:pPr>
        <w:widowControl/>
        <w:spacing w:line="360" w:lineRule="auto"/>
        <w:ind w:firstLine="360" w:firstLineChars="150"/>
        <w:rPr>
          <w:sz w:val="24"/>
          <w:szCs w:val="24"/>
        </w:rPr>
      </w:pPr>
    </w:p>
    <w:p>
      <w:pPr>
        <w:widowControl/>
        <w:spacing w:line="360" w:lineRule="auto"/>
        <w:ind w:firstLine="360" w:firstLineChars="150"/>
        <w:rPr>
          <w:sz w:val="24"/>
          <w:szCs w:val="24"/>
        </w:rPr>
      </w:pPr>
    </w:p>
    <w:p>
      <w:pPr>
        <w:widowControl/>
        <w:spacing w:line="360" w:lineRule="auto"/>
        <w:ind w:firstLine="360" w:firstLineChars="150"/>
        <w:rPr>
          <w:sz w:val="24"/>
          <w:szCs w:val="24"/>
        </w:rPr>
      </w:pPr>
    </w:p>
    <w:p>
      <w:pPr>
        <w:widowControl/>
        <w:spacing w:line="360" w:lineRule="auto"/>
        <w:ind w:firstLine="360" w:firstLineChars="150"/>
        <w:rPr>
          <w:sz w:val="24"/>
          <w:szCs w:val="24"/>
        </w:rPr>
      </w:pPr>
    </w:p>
    <w:p>
      <w:pPr>
        <w:widowControl/>
        <w:spacing w:line="360" w:lineRule="auto"/>
        <w:ind w:firstLine="360" w:firstLineChars="150"/>
        <w:rPr>
          <w:sz w:val="24"/>
          <w:szCs w:val="24"/>
        </w:rPr>
        <w:sectPr>
          <w:type w:val="continuous"/>
          <w:pgSz w:w="11906" w:h="16838"/>
          <w:pgMar w:top="1417" w:right="1417" w:bottom="1417" w:left="1417" w:header="851" w:footer="850" w:gutter="0"/>
          <w:cols w:space="720" w:num="1"/>
          <w:docGrid w:type="lines" w:linePitch="312" w:charSpace="0"/>
        </w:sectPr>
      </w:pPr>
    </w:p>
    <w:p>
      <w:pPr>
        <w:pStyle w:val="4"/>
        <w:spacing w:line="36" w:lineRule="auto"/>
        <w:jc w:val="center"/>
        <w:rPr>
          <w:rFonts w:ascii="宋体" w:eastAsia="宋体" w:cs="宋体"/>
          <w:sz w:val="27"/>
          <w:szCs w:val="24"/>
        </w:rPr>
      </w:pPr>
    </w:p>
    <w:p/>
    <w:p/>
    <w:p/>
    <w:p/>
    <w:p>
      <w:pPr>
        <w:pStyle w:val="4"/>
        <w:spacing w:line="36" w:lineRule="auto"/>
        <w:jc w:val="center"/>
        <w:rPr>
          <w:rFonts w:ascii="宋体" w:eastAsia="宋体" w:cs="宋体"/>
          <w:sz w:val="32"/>
        </w:rPr>
      </w:pPr>
      <w:r>
        <w:rPr>
          <w:rFonts w:hint="eastAsia" w:ascii="宋体" w:hAnsi="宋体" w:cs="宋体"/>
          <w:sz w:val="32"/>
        </w:rPr>
        <w:t>（四）正在施工和新承接的项目情况表</w:t>
      </w:r>
    </w:p>
    <w:p>
      <w:pPr>
        <w:spacing w:line="36" w:lineRule="auto"/>
        <w:rPr>
          <w:b/>
          <w:sz w:val="24"/>
          <w:szCs w:val="24"/>
        </w:rPr>
      </w:pPr>
      <w:r>
        <w:rPr>
          <w:rFonts w:hint="eastAsia"/>
          <w:b/>
          <w:sz w:val="24"/>
          <w:szCs w:val="24"/>
        </w:rPr>
        <w:t>序号：</w:t>
      </w:r>
      <w:r>
        <w:rPr>
          <w:b/>
          <w:sz w:val="24"/>
          <w:szCs w:val="24"/>
        </w:rPr>
        <w:t xml:space="preserve">     </w:t>
      </w:r>
    </w:p>
    <w:tbl>
      <w:tblPr>
        <w:tblStyle w:val="3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448"/>
        <w:gridCol w:w="60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9" w:hRule="atLeast"/>
          <w:jc w:val="center"/>
        </w:trPr>
        <w:tc>
          <w:tcPr>
            <w:tcW w:w="2448" w:type="dxa"/>
            <w:vAlign w:val="center"/>
          </w:tcPr>
          <w:p>
            <w:pPr>
              <w:spacing w:line="360" w:lineRule="auto"/>
              <w:ind w:left="-220" w:leftChars="-100" w:right="-220" w:rightChars="-100"/>
              <w:jc w:val="center"/>
              <w:rPr>
                <w:sz w:val="24"/>
                <w:szCs w:val="24"/>
              </w:rPr>
            </w:pPr>
            <w:r>
              <w:rPr>
                <w:rFonts w:hint="eastAsia"/>
                <w:sz w:val="24"/>
                <w:szCs w:val="24"/>
              </w:rPr>
              <w:t>项目名称</w:t>
            </w:r>
          </w:p>
        </w:tc>
        <w:tc>
          <w:tcPr>
            <w:tcW w:w="6076" w:type="dxa"/>
            <w:vAlign w:val="center"/>
          </w:tcPr>
          <w:p>
            <w:pPr>
              <w:spacing w:line="360" w:lineRule="auto"/>
              <w:ind w:left="-220" w:leftChars="-100" w:right="-220" w:rightChars="-100"/>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vAlign w:val="center"/>
          </w:tcPr>
          <w:p>
            <w:pPr>
              <w:spacing w:line="360" w:lineRule="auto"/>
              <w:ind w:left="-220" w:leftChars="-100" w:right="-220" w:rightChars="-100"/>
              <w:jc w:val="center"/>
              <w:rPr>
                <w:sz w:val="24"/>
                <w:szCs w:val="24"/>
              </w:rPr>
            </w:pPr>
            <w:r>
              <w:rPr>
                <w:rFonts w:hint="eastAsia"/>
                <w:sz w:val="24"/>
                <w:szCs w:val="24"/>
              </w:rPr>
              <w:t>项目所在地</w:t>
            </w:r>
          </w:p>
        </w:tc>
        <w:tc>
          <w:tcPr>
            <w:tcW w:w="6076" w:type="dxa"/>
            <w:vAlign w:val="center"/>
          </w:tcPr>
          <w:p>
            <w:pPr>
              <w:spacing w:line="360" w:lineRule="auto"/>
              <w:ind w:left="-220" w:leftChars="-100" w:right="-220" w:rightChars="-100"/>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vAlign w:val="center"/>
          </w:tcPr>
          <w:p>
            <w:pPr>
              <w:spacing w:line="360" w:lineRule="auto"/>
              <w:ind w:left="-220" w:leftChars="-100" w:right="-220" w:rightChars="-100"/>
              <w:jc w:val="center"/>
              <w:rPr>
                <w:sz w:val="24"/>
                <w:szCs w:val="24"/>
              </w:rPr>
            </w:pPr>
            <w:r>
              <w:rPr>
                <w:rFonts w:hint="eastAsia"/>
                <w:sz w:val="24"/>
                <w:szCs w:val="24"/>
              </w:rPr>
              <w:t>发包人名称</w:t>
            </w:r>
          </w:p>
        </w:tc>
        <w:tc>
          <w:tcPr>
            <w:tcW w:w="6076" w:type="dxa"/>
            <w:vAlign w:val="center"/>
          </w:tcPr>
          <w:p>
            <w:pPr>
              <w:spacing w:line="360" w:lineRule="auto"/>
              <w:ind w:left="-220" w:leftChars="-100" w:right="-220" w:rightChars="-100"/>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vAlign w:val="center"/>
          </w:tcPr>
          <w:p>
            <w:pPr>
              <w:spacing w:line="360" w:lineRule="auto"/>
              <w:ind w:left="-220" w:leftChars="-100" w:right="-220" w:rightChars="-100"/>
              <w:jc w:val="center"/>
              <w:rPr>
                <w:sz w:val="24"/>
                <w:szCs w:val="24"/>
              </w:rPr>
            </w:pPr>
            <w:r>
              <w:rPr>
                <w:rFonts w:hint="eastAsia"/>
                <w:sz w:val="24"/>
                <w:szCs w:val="24"/>
              </w:rPr>
              <w:t>发包人地址</w:t>
            </w:r>
          </w:p>
        </w:tc>
        <w:tc>
          <w:tcPr>
            <w:tcW w:w="6076" w:type="dxa"/>
            <w:vAlign w:val="center"/>
          </w:tcPr>
          <w:p>
            <w:pPr>
              <w:spacing w:line="360" w:lineRule="auto"/>
              <w:ind w:left="-220" w:leftChars="-100" w:right="-220" w:rightChars="-100"/>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vAlign w:val="center"/>
          </w:tcPr>
          <w:p>
            <w:pPr>
              <w:spacing w:line="360" w:lineRule="auto"/>
              <w:ind w:left="-220" w:leftChars="-100" w:right="-220" w:rightChars="-100"/>
              <w:jc w:val="center"/>
              <w:rPr>
                <w:sz w:val="24"/>
                <w:szCs w:val="24"/>
              </w:rPr>
            </w:pPr>
            <w:r>
              <w:rPr>
                <w:rFonts w:hint="eastAsia"/>
                <w:sz w:val="24"/>
                <w:szCs w:val="24"/>
              </w:rPr>
              <w:t>发包人电话</w:t>
            </w:r>
          </w:p>
        </w:tc>
        <w:tc>
          <w:tcPr>
            <w:tcW w:w="6076" w:type="dxa"/>
            <w:vAlign w:val="center"/>
          </w:tcPr>
          <w:p>
            <w:pPr>
              <w:spacing w:line="360" w:lineRule="auto"/>
              <w:ind w:left="-220" w:leftChars="-100" w:right="-220" w:rightChars="-100"/>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vAlign w:val="center"/>
          </w:tcPr>
          <w:p>
            <w:pPr>
              <w:spacing w:line="360" w:lineRule="auto"/>
              <w:ind w:left="-220" w:leftChars="-100" w:right="-220" w:rightChars="-100"/>
              <w:jc w:val="center"/>
              <w:rPr>
                <w:sz w:val="24"/>
                <w:szCs w:val="24"/>
              </w:rPr>
            </w:pPr>
            <w:r>
              <w:rPr>
                <w:rFonts w:hint="eastAsia"/>
                <w:sz w:val="24"/>
                <w:szCs w:val="24"/>
              </w:rPr>
              <w:t>签约合同价</w:t>
            </w:r>
          </w:p>
        </w:tc>
        <w:tc>
          <w:tcPr>
            <w:tcW w:w="6076" w:type="dxa"/>
            <w:vAlign w:val="center"/>
          </w:tcPr>
          <w:p>
            <w:pPr>
              <w:spacing w:line="360" w:lineRule="auto"/>
              <w:ind w:left="-220" w:leftChars="-100" w:right="-220" w:rightChars="-100"/>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vAlign w:val="center"/>
          </w:tcPr>
          <w:p>
            <w:pPr>
              <w:spacing w:line="360" w:lineRule="auto"/>
              <w:ind w:left="-220" w:leftChars="-100" w:right="-220" w:rightChars="-100"/>
              <w:jc w:val="center"/>
              <w:rPr>
                <w:sz w:val="24"/>
                <w:szCs w:val="24"/>
              </w:rPr>
            </w:pPr>
            <w:r>
              <w:rPr>
                <w:rFonts w:hint="eastAsia"/>
                <w:sz w:val="24"/>
                <w:szCs w:val="24"/>
              </w:rPr>
              <w:t>开工日期</w:t>
            </w:r>
          </w:p>
        </w:tc>
        <w:tc>
          <w:tcPr>
            <w:tcW w:w="6076" w:type="dxa"/>
            <w:vAlign w:val="center"/>
          </w:tcPr>
          <w:p>
            <w:pPr>
              <w:spacing w:line="360" w:lineRule="auto"/>
              <w:ind w:left="-220" w:leftChars="-100" w:right="-220" w:rightChars="-100"/>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vAlign w:val="center"/>
          </w:tcPr>
          <w:p>
            <w:pPr>
              <w:spacing w:line="360" w:lineRule="auto"/>
              <w:ind w:left="-220" w:leftChars="-100" w:right="-220" w:rightChars="-100"/>
              <w:jc w:val="center"/>
              <w:rPr>
                <w:sz w:val="24"/>
                <w:szCs w:val="24"/>
              </w:rPr>
            </w:pPr>
            <w:r>
              <w:rPr>
                <w:rFonts w:hint="eastAsia"/>
                <w:sz w:val="24"/>
                <w:szCs w:val="24"/>
              </w:rPr>
              <w:t>计划竣工日期</w:t>
            </w:r>
          </w:p>
        </w:tc>
        <w:tc>
          <w:tcPr>
            <w:tcW w:w="6076" w:type="dxa"/>
            <w:vAlign w:val="center"/>
          </w:tcPr>
          <w:p>
            <w:pPr>
              <w:spacing w:line="360" w:lineRule="auto"/>
              <w:ind w:left="-220" w:leftChars="-100" w:right="-220" w:rightChars="-100"/>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vAlign w:val="center"/>
          </w:tcPr>
          <w:p>
            <w:pPr>
              <w:spacing w:line="360" w:lineRule="auto"/>
              <w:ind w:left="-220" w:leftChars="-100" w:right="-220" w:rightChars="-100"/>
              <w:jc w:val="center"/>
              <w:rPr>
                <w:sz w:val="24"/>
                <w:szCs w:val="24"/>
              </w:rPr>
            </w:pPr>
            <w:r>
              <w:rPr>
                <w:rFonts w:hint="eastAsia"/>
                <w:sz w:val="24"/>
                <w:szCs w:val="24"/>
              </w:rPr>
              <w:t>承担的工作</w:t>
            </w:r>
          </w:p>
        </w:tc>
        <w:tc>
          <w:tcPr>
            <w:tcW w:w="6076" w:type="dxa"/>
            <w:vAlign w:val="center"/>
          </w:tcPr>
          <w:p>
            <w:pPr>
              <w:spacing w:line="360" w:lineRule="auto"/>
              <w:ind w:left="-220" w:leftChars="-100" w:right="-220" w:rightChars="-100"/>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vAlign w:val="center"/>
          </w:tcPr>
          <w:p>
            <w:pPr>
              <w:spacing w:line="360" w:lineRule="auto"/>
              <w:ind w:left="-220" w:leftChars="-100" w:right="-220" w:rightChars="-100"/>
              <w:jc w:val="center"/>
              <w:rPr>
                <w:sz w:val="24"/>
                <w:szCs w:val="24"/>
              </w:rPr>
            </w:pPr>
            <w:r>
              <w:rPr>
                <w:rFonts w:hint="eastAsia"/>
                <w:sz w:val="24"/>
                <w:szCs w:val="24"/>
              </w:rPr>
              <w:t>工程质量</w:t>
            </w:r>
          </w:p>
        </w:tc>
        <w:tc>
          <w:tcPr>
            <w:tcW w:w="6076" w:type="dxa"/>
            <w:vAlign w:val="center"/>
          </w:tcPr>
          <w:p>
            <w:pPr>
              <w:spacing w:line="360" w:lineRule="auto"/>
              <w:ind w:left="-220" w:leftChars="-100" w:right="-220" w:rightChars="-100"/>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vAlign w:val="center"/>
          </w:tcPr>
          <w:p>
            <w:pPr>
              <w:spacing w:line="360" w:lineRule="auto"/>
              <w:ind w:left="-220" w:leftChars="-100" w:right="-220" w:rightChars="-100"/>
              <w:jc w:val="center"/>
              <w:rPr>
                <w:sz w:val="24"/>
                <w:szCs w:val="24"/>
              </w:rPr>
            </w:pPr>
            <w:r>
              <w:rPr>
                <w:rFonts w:hint="eastAsia"/>
                <w:sz w:val="24"/>
                <w:szCs w:val="24"/>
              </w:rPr>
              <w:t>项目经理</w:t>
            </w:r>
          </w:p>
        </w:tc>
        <w:tc>
          <w:tcPr>
            <w:tcW w:w="6076" w:type="dxa"/>
            <w:vAlign w:val="center"/>
          </w:tcPr>
          <w:p>
            <w:pPr>
              <w:spacing w:line="360" w:lineRule="auto"/>
              <w:ind w:left="-220" w:leftChars="-100" w:right="-220" w:rightChars="-100"/>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vAlign w:val="center"/>
          </w:tcPr>
          <w:p>
            <w:pPr>
              <w:spacing w:line="360" w:lineRule="auto"/>
              <w:ind w:left="-220" w:leftChars="-100" w:right="-220" w:rightChars="-100"/>
              <w:jc w:val="center"/>
              <w:rPr>
                <w:sz w:val="24"/>
                <w:szCs w:val="24"/>
              </w:rPr>
            </w:pPr>
            <w:r>
              <w:rPr>
                <w:rFonts w:hint="eastAsia"/>
                <w:sz w:val="24"/>
                <w:szCs w:val="24"/>
              </w:rPr>
              <w:t>技术负责人</w:t>
            </w:r>
          </w:p>
        </w:tc>
        <w:tc>
          <w:tcPr>
            <w:tcW w:w="6076" w:type="dxa"/>
            <w:vAlign w:val="center"/>
          </w:tcPr>
          <w:p>
            <w:pPr>
              <w:spacing w:line="360" w:lineRule="auto"/>
              <w:ind w:left="-220" w:leftChars="-100" w:right="-220" w:rightChars="-100"/>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9" w:hRule="atLeast"/>
          <w:jc w:val="center"/>
        </w:trPr>
        <w:tc>
          <w:tcPr>
            <w:tcW w:w="2448" w:type="dxa"/>
            <w:vAlign w:val="center"/>
          </w:tcPr>
          <w:p>
            <w:pPr>
              <w:spacing w:line="360" w:lineRule="auto"/>
              <w:ind w:left="-220" w:leftChars="-100" w:right="-220" w:rightChars="-100"/>
              <w:jc w:val="center"/>
              <w:rPr>
                <w:sz w:val="24"/>
                <w:szCs w:val="24"/>
              </w:rPr>
            </w:pPr>
            <w:r>
              <w:rPr>
                <w:rFonts w:hint="eastAsia"/>
                <w:sz w:val="24"/>
                <w:szCs w:val="24"/>
              </w:rPr>
              <w:t>总监理工程师及电话</w:t>
            </w:r>
          </w:p>
        </w:tc>
        <w:tc>
          <w:tcPr>
            <w:tcW w:w="6076" w:type="dxa"/>
            <w:vAlign w:val="center"/>
          </w:tcPr>
          <w:p>
            <w:pPr>
              <w:spacing w:line="360" w:lineRule="auto"/>
              <w:ind w:left="-220" w:leftChars="-100" w:right="-220" w:rightChars="-100"/>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448" w:type="dxa"/>
            <w:vAlign w:val="center"/>
          </w:tcPr>
          <w:p>
            <w:pPr>
              <w:spacing w:line="360" w:lineRule="auto"/>
              <w:ind w:left="-220" w:leftChars="-100" w:right="-220" w:rightChars="-100"/>
              <w:jc w:val="center"/>
              <w:rPr>
                <w:sz w:val="24"/>
                <w:szCs w:val="24"/>
              </w:rPr>
            </w:pPr>
            <w:r>
              <w:rPr>
                <w:rFonts w:hint="eastAsia"/>
                <w:sz w:val="24"/>
                <w:szCs w:val="24"/>
              </w:rPr>
              <w:t>项目描述</w:t>
            </w:r>
          </w:p>
        </w:tc>
        <w:tc>
          <w:tcPr>
            <w:tcW w:w="6076" w:type="dxa"/>
            <w:vAlign w:val="center"/>
          </w:tcPr>
          <w:p>
            <w:pPr>
              <w:spacing w:line="360" w:lineRule="auto"/>
              <w:ind w:left="-220" w:leftChars="-100" w:right="-220" w:rightChars="-100"/>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2448" w:type="dxa"/>
            <w:vAlign w:val="center"/>
          </w:tcPr>
          <w:p>
            <w:pPr>
              <w:spacing w:line="360" w:lineRule="auto"/>
              <w:ind w:left="-220" w:leftChars="-100" w:right="-220" w:rightChars="-100"/>
              <w:jc w:val="center"/>
              <w:rPr>
                <w:sz w:val="24"/>
                <w:szCs w:val="24"/>
              </w:rPr>
            </w:pPr>
            <w:r>
              <w:rPr>
                <w:rFonts w:hint="eastAsia"/>
                <w:sz w:val="24"/>
                <w:szCs w:val="24"/>
              </w:rPr>
              <w:t>备注</w:t>
            </w:r>
          </w:p>
        </w:tc>
        <w:tc>
          <w:tcPr>
            <w:tcW w:w="6076" w:type="dxa"/>
            <w:vAlign w:val="center"/>
          </w:tcPr>
          <w:p>
            <w:pPr>
              <w:spacing w:line="360" w:lineRule="auto"/>
              <w:ind w:left="-220" w:leftChars="-100" w:right="-220" w:rightChars="-100"/>
              <w:rPr>
                <w:sz w:val="27"/>
              </w:rPr>
            </w:pPr>
          </w:p>
        </w:tc>
      </w:tr>
    </w:tbl>
    <w:p>
      <w:pPr>
        <w:spacing w:line="360" w:lineRule="auto"/>
        <w:ind w:right="-156" w:rightChars="-71"/>
        <w:rPr>
          <w:sz w:val="24"/>
          <w:szCs w:val="24"/>
        </w:rPr>
      </w:pPr>
      <w:r>
        <w:rPr>
          <w:rFonts w:hint="eastAsia"/>
          <w:sz w:val="24"/>
          <w:szCs w:val="24"/>
        </w:rPr>
        <w:t>注</w:t>
      </w:r>
      <w:r>
        <w:rPr>
          <w:sz w:val="24"/>
          <w:szCs w:val="24"/>
        </w:rPr>
        <w:t>:</w:t>
      </w:r>
      <w:r>
        <w:rPr>
          <w:rFonts w:hint="eastAsia"/>
          <w:sz w:val="24"/>
          <w:szCs w:val="24"/>
        </w:rPr>
        <w:t>投标人应根据投标人须知第</w:t>
      </w:r>
      <w:r>
        <w:rPr>
          <w:sz w:val="24"/>
          <w:szCs w:val="24"/>
        </w:rPr>
        <w:t>3.5.3</w:t>
      </w:r>
      <w:r>
        <w:rPr>
          <w:rFonts w:hint="eastAsia"/>
          <w:sz w:val="24"/>
          <w:szCs w:val="24"/>
        </w:rPr>
        <w:t>项的要求在本表后附相关证明材料扫描件。</w:t>
      </w:r>
    </w:p>
    <w:p>
      <w:pPr>
        <w:pStyle w:val="4"/>
        <w:spacing w:line="36" w:lineRule="auto"/>
        <w:jc w:val="center"/>
        <w:rPr>
          <w:rFonts w:ascii="宋体" w:eastAsia="宋体" w:cs="宋体"/>
          <w:sz w:val="32"/>
        </w:rPr>
      </w:pPr>
      <w:bookmarkStart w:id="831" w:name="_Toc256000113"/>
    </w:p>
    <w:p/>
    <w:p/>
    <w:p/>
    <w:p/>
    <w:p/>
    <w:p/>
    <w:p/>
    <w:p/>
    <w:p/>
    <w:p/>
    <w:p/>
    <w:p/>
    <w:p>
      <w:pPr>
        <w:pStyle w:val="4"/>
        <w:spacing w:line="36" w:lineRule="auto"/>
        <w:jc w:val="center"/>
        <w:rPr>
          <w:rFonts w:ascii="宋体" w:eastAsia="宋体" w:cs="宋体"/>
          <w:sz w:val="32"/>
        </w:rPr>
      </w:pPr>
      <w:r>
        <w:rPr>
          <w:rFonts w:hint="eastAsia" w:ascii="宋体" w:hAnsi="宋体" w:cs="宋体"/>
          <w:sz w:val="32"/>
        </w:rPr>
        <w:t>（五）近年发生的诉讼及仲裁情况</w:t>
      </w:r>
      <w:bookmarkEnd w:id="831"/>
    </w:p>
    <w:tbl>
      <w:tblPr>
        <w:tblStyle w:val="3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712"/>
        <w:gridCol w:w="2976"/>
        <w:gridCol w:w="28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3" w:type="dxa"/>
            <w:vAlign w:val="center"/>
          </w:tcPr>
          <w:p>
            <w:pPr>
              <w:jc w:val="center"/>
              <w:rPr>
                <w:sz w:val="24"/>
                <w:szCs w:val="24"/>
              </w:rPr>
            </w:pPr>
            <w:r>
              <w:rPr>
                <w:rFonts w:hint="eastAsia"/>
                <w:sz w:val="24"/>
                <w:szCs w:val="24"/>
              </w:rPr>
              <w:t>序号</w:t>
            </w:r>
          </w:p>
        </w:tc>
        <w:tc>
          <w:tcPr>
            <w:tcW w:w="1712" w:type="dxa"/>
            <w:vAlign w:val="center"/>
          </w:tcPr>
          <w:p>
            <w:pPr>
              <w:jc w:val="center"/>
              <w:rPr>
                <w:sz w:val="24"/>
                <w:szCs w:val="24"/>
              </w:rPr>
            </w:pPr>
            <w:r>
              <w:rPr>
                <w:rFonts w:hint="eastAsia"/>
                <w:sz w:val="24"/>
                <w:szCs w:val="24"/>
              </w:rPr>
              <w:t>案由</w:t>
            </w:r>
          </w:p>
        </w:tc>
        <w:tc>
          <w:tcPr>
            <w:tcW w:w="2976" w:type="dxa"/>
            <w:vAlign w:val="center"/>
          </w:tcPr>
          <w:p>
            <w:pPr>
              <w:jc w:val="center"/>
              <w:rPr>
                <w:sz w:val="24"/>
                <w:szCs w:val="24"/>
              </w:rPr>
            </w:pPr>
            <w:r>
              <w:rPr>
                <w:rFonts w:hint="eastAsia"/>
                <w:sz w:val="24"/>
                <w:szCs w:val="24"/>
              </w:rPr>
              <w:t>双方当事人名称</w:t>
            </w:r>
          </w:p>
        </w:tc>
        <w:tc>
          <w:tcPr>
            <w:tcW w:w="2842" w:type="dxa"/>
            <w:vAlign w:val="center"/>
          </w:tcPr>
          <w:p>
            <w:pPr>
              <w:jc w:val="center"/>
              <w:rPr>
                <w:sz w:val="24"/>
                <w:szCs w:val="24"/>
              </w:rPr>
            </w:pPr>
            <w:r>
              <w:rPr>
                <w:rFonts w:hint="eastAsia"/>
                <w:sz w:val="24"/>
                <w:szCs w:val="24"/>
              </w:rPr>
              <w:t>判决、裁决时间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3" w:type="dxa"/>
            <w:vAlign w:val="center"/>
          </w:tcPr>
          <w:p>
            <w:pPr>
              <w:jc w:val="center"/>
              <w:rPr>
                <w:sz w:val="27"/>
              </w:rPr>
            </w:pPr>
            <w:r>
              <w:rPr>
                <w:sz w:val="27"/>
              </w:rPr>
              <w:t>1</w:t>
            </w:r>
          </w:p>
        </w:tc>
        <w:tc>
          <w:tcPr>
            <w:tcW w:w="1712" w:type="dxa"/>
            <w:vAlign w:val="center"/>
          </w:tcPr>
          <w:p>
            <w:pPr>
              <w:jc w:val="center"/>
              <w:rPr>
                <w:sz w:val="27"/>
              </w:rPr>
            </w:pPr>
          </w:p>
        </w:tc>
        <w:tc>
          <w:tcPr>
            <w:tcW w:w="2976" w:type="dxa"/>
            <w:vAlign w:val="center"/>
          </w:tcPr>
          <w:p>
            <w:pPr>
              <w:jc w:val="center"/>
              <w:rPr>
                <w:sz w:val="27"/>
              </w:rPr>
            </w:pPr>
          </w:p>
        </w:tc>
        <w:tc>
          <w:tcPr>
            <w:tcW w:w="2842"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3" w:type="dxa"/>
            <w:vAlign w:val="center"/>
          </w:tcPr>
          <w:p>
            <w:pPr>
              <w:jc w:val="center"/>
              <w:rPr>
                <w:sz w:val="27"/>
              </w:rPr>
            </w:pPr>
            <w:r>
              <w:rPr>
                <w:sz w:val="27"/>
              </w:rPr>
              <w:t>2</w:t>
            </w:r>
          </w:p>
        </w:tc>
        <w:tc>
          <w:tcPr>
            <w:tcW w:w="1712" w:type="dxa"/>
            <w:vAlign w:val="center"/>
          </w:tcPr>
          <w:p>
            <w:pPr>
              <w:jc w:val="center"/>
              <w:rPr>
                <w:sz w:val="27"/>
              </w:rPr>
            </w:pPr>
          </w:p>
        </w:tc>
        <w:tc>
          <w:tcPr>
            <w:tcW w:w="2976" w:type="dxa"/>
            <w:vAlign w:val="center"/>
          </w:tcPr>
          <w:p>
            <w:pPr>
              <w:jc w:val="center"/>
              <w:rPr>
                <w:sz w:val="27"/>
              </w:rPr>
            </w:pPr>
          </w:p>
        </w:tc>
        <w:tc>
          <w:tcPr>
            <w:tcW w:w="2842" w:type="dxa"/>
            <w:vAlign w:val="center"/>
          </w:tcPr>
          <w:p>
            <w:pPr>
              <w:jc w:val="center"/>
              <w:rPr>
                <w:sz w:val="27"/>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93" w:type="dxa"/>
            <w:vAlign w:val="center"/>
          </w:tcPr>
          <w:p>
            <w:pPr>
              <w:jc w:val="center"/>
              <w:rPr>
                <w:sz w:val="27"/>
              </w:rPr>
            </w:pPr>
            <w:r>
              <w:rPr>
                <w:sz w:val="27"/>
              </w:rPr>
              <w:t>3</w:t>
            </w:r>
          </w:p>
        </w:tc>
        <w:tc>
          <w:tcPr>
            <w:tcW w:w="1712" w:type="dxa"/>
            <w:vAlign w:val="center"/>
          </w:tcPr>
          <w:p>
            <w:pPr>
              <w:jc w:val="center"/>
              <w:rPr>
                <w:sz w:val="27"/>
              </w:rPr>
            </w:pPr>
          </w:p>
        </w:tc>
        <w:tc>
          <w:tcPr>
            <w:tcW w:w="2976" w:type="dxa"/>
            <w:vAlign w:val="center"/>
          </w:tcPr>
          <w:p>
            <w:pPr>
              <w:jc w:val="center"/>
              <w:rPr>
                <w:sz w:val="27"/>
              </w:rPr>
            </w:pPr>
          </w:p>
        </w:tc>
        <w:tc>
          <w:tcPr>
            <w:tcW w:w="2842" w:type="dxa"/>
            <w:vAlign w:val="center"/>
          </w:tcPr>
          <w:p>
            <w:pPr>
              <w:jc w:val="center"/>
              <w:rPr>
                <w:sz w:val="27"/>
              </w:rPr>
            </w:pPr>
          </w:p>
        </w:tc>
      </w:tr>
    </w:tbl>
    <w:p>
      <w:pPr>
        <w:widowControl/>
        <w:spacing w:line="360" w:lineRule="auto"/>
        <w:ind w:firstLine="360" w:firstLineChars="150"/>
        <w:rPr>
          <w:sz w:val="24"/>
          <w:szCs w:val="24"/>
        </w:rPr>
      </w:pPr>
      <w:r>
        <w:rPr>
          <w:rFonts w:hint="eastAsia"/>
          <w:sz w:val="24"/>
          <w:szCs w:val="24"/>
        </w:rPr>
        <w:t>注：（</w:t>
      </w:r>
      <w:r>
        <w:rPr>
          <w:sz w:val="24"/>
          <w:szCs w:val="24"/>
        </w:rPr>
        <w:t>1</w:t>
      </w:r>
      <w:r>
        <w:rPr>
          <w:rFonts w:hint="eastAsia"/>
          <w:sz w:val="24"/>
          <w:szCs w:val="24"/>
        </w:rPr>
        <w:t>）本表为调查表，填写投标人认为可能影响其履约能力的诉讼、仲裁情况，并按投标人须知第</w:t>
      </w:r>
      <w:r>
        <w:rPr>
          <w:sz w:val="24"/>
          <w:szCs w:val="24"/>
        </w:rPr>
        <w:t>3.5.5</w:t>
      </w:r>
      <w:r>
        <w:rPr>
          <w:rFonts w:hint="eastAsia"/>
          <w:sz w:val="24"/>
          <w:szCs w:val="24"/>
        </w:rPr>
        <w:t>项的要求在本表后附相关证明材料扫描件。</w:t>
      </w:r>
    </w:p>
    <w:p>
      <w:pPr>
        <w:widowControl/>
        <w:spacing w:line="360" w:lineRule="auto"/>
        <w:ind w:firstLine="840" w:firstLineChars="350"/>
        <w:rPr>
          <w:sz w:val="24"/>
          <w:szCs w:val="24"/>
        </w:rPr>
      </w:pPr>
      <w:r>
        <w:rPr>
          <w:rFonts w:hint="eastAsia"/>
          <w:sz w:val="24"/>
          <w:szCs w:val="24"/>
        </w:rPr>
        <w:t>（</w:t>
      </w:r>
      <w:r>
        <w:rPr>
          <w:sz w:val="24"/>
          <w:szCs w:val="24"/>
        </w:rPr>
        <w:t>2</w:t>
      </w:r>
      <w:r>
        <w:rPr>
          <w:rFonts w:hint="eastAsia"/>
          <w:sz w:val="24"/>
          <w:szCs w:val="24"/>
        </w:rPr>
        <w:t>）诉讼、仲裁的起算时间为法院或仲裁机构作出的判决、裁决文书的时间。</w:t>
      </w:r>
    </w:p>
    <w:p>
      <w:pPr>
        <w:widowControl/>
        <w:spacing w:line="360" w:lineRule="auto"/>
        <w:ind w:firstLine="840" w:firstLineChars="350"/>
        <w:rPr>
          <w:sz w:val="24"/>
          <w:szCs w:val="24"/>
        </w:rPr>
      </w:pPr>
      <w:r>
        <w:rPr>
          <w:rFonts w:hint="eastAsia"/>
          <w:sz w:val="24"/>
          <w:szCs w:val="24"/>
        </w:rPr>
        <w:t>（</w:t>
      </w:r>
      <w:r>
        <w:rPr>
          <w:sz w:val="24"/>
          <w:szCs w:val="24"/>
        </w:rPr>
        <w:t>3</w:t>
      </w:r>
      <w:r>
        <w:rPr>
          <w:rFonts w:hint="eastAsia"/>
          <w:sz w:val="24"/>
          <w:szCs w:val="24"/>
        </w:rPr>
        <w:t>）若为联合体投标，所有成员单位均须提供。</w:t>
      </w:r>
    </w:p>
    <w:p>
      <w:pPr>
        <w:widowControl/>
        <w:spacing w:line="360" w:lineRule="auto"/>
        <w:ind w:firstLine="840" w:firstLineChars="350"/>
        <w:rPr>
          <w:sz w:val="24"/>
          <w:szCs w:val="24"/>
        </w:rPr>
      </w:pPr>
      <w:r>
        <w:rPr>
          <w:rFonts w:hint="eastAsia"/>
          <w:sz w:val="24"/>
          <w:szCs w:val="24"/>
        </w:rPr>
        <w:t>（</w:t>
      </w:r>
      <w:r>
        <w:rPr>
          <w:sz w:val="24"/>
          <w:szCs w:val="24"/>
        </w:rPr>
        <w:t>4</w:t>
      </w:r>
      <w:r>
        <w:rPr>
          <w:rFonts w:hint="eastAsia"/>
          <w:sz w:val="24"/>
          <w:szCs w:val="24"/>
        </w:rPr>
        <w:t>）若未发生诉讼及仲裁，无需填写此表。</w:t>
      </w:r>
    </w:p>
    <w:p>
      <w:pPr>
        <w:spacing w:line="36" w:lineRule="auto"/>
        <w:rPr>
          <w:sz w:val="24"/>
        </w:rPr>
      </w:pPr>
    </w:p>
    <w:p>
      <w:pPr>
        <w:widowControl/>
        <w:jc w:val="center"/>
        <w:rPr>
          <w:b/>
          <w:bCs/>
          <w:color w:val="FF0000"/>
          <w:sz w:val="32"/>
          <w:szCs w:val="32"/>
        </w:rPr>
      </w:pPr>
      <w:r>
        <w:rPr>
          <w:sz w:val="24"/>
        </w:rPr>
        <w:br w:type="page"/>
      </w:r>
      <w:bookmarkStart w:id="832" w:name="_Toc256000114"/>
      <w:r>
        <w:rPr>
          <w:rFonts w:hint="eastAsia"/>
          <w:b/>
          <w:bCs/>
          <w:color w:val="FF0000"/>
          <w:sz w:val="32"/>
          <w:szCs w:val="32"/>
        </w:rPr>
        <w:t>十、其他材料</w:t>
      </w:r>
      <w:bookmarkEnd w:id="832"/>
      <w:r>
        <w:rPr>
          <w:rFonts w:hint="eastAsia"/>
          <w:b/>
          <w:bCs/>
          <w:color w:val="FF0000"/>
          <w:sz w:val="32"/>
          <w:szCs w:val="32"/>
        </w:rPr>
        <w:t>（增加监管意见中相关承诺函）</w:t>
      </w:r>
    </w:p>
    <w:p>
      <w:pPr>
        <w:spacing w:line="36" w:lineRule="auto"/>
        <w:rPr>
          <w:sz w:val="27"/>
        </w:rPr>
      </w:pPr>
    </w:p>
    <w:p>
      <w:pPr>
        <w:spacing w:line="360" w:lineRule="auto"/>
        <w:ind w:firstLine="450"/>
        <w:rPr>
          <w:rFonts w:hint="eastAsia"/>
          <w:sz w:val="24"/>
          <w:szCs w:val="24"/>
        </w:rPr>
      </w:pPr>
      <w:r>
        <w:rPr>
          <w:rFonts w:hint="eastAsia"/>
          <w:sz w:val="24"/>
          <w:szCs w:val="24"/>
        </w:rPr>
        <w:t>注：招标人要求投标人提供的其他资料应在第二章“投标人须知前附表”</w:t>
      </w:r>
      <w:r>
        <w:rPr>
          <w:sz w:val="24"/>
          <w:szCs w:val="24"/>
        </w:rPr>
        <w:t>3.1.1</w:t>
      </w:r>
      <w:r>
        <w:rPr>
          <w:rFonts w:hint="eastAsia"/>
          <w:sz w:val="24"/>
          <w:szCs w:val="24"/>
        </w:rPr>
        <w:t>“构成投标文件的其他资料”中列出。</w:t>
      </w: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ind w:firstLine="450"/>
        <w:rPr>
          <w:rFonts w:hint="eastAsia"/>
          <w:sz w:val="24"/>
          <w:szCs w:val="24"/>
        </w:rPr>
      </w:pPr>
    </w:p>
    <w:p>
      <w:pPr>
        <w:spacing w:line="360" w:lineRule="auto"/>
        <w:rPr>
          <w:sz w:val="24"/>
          <w:szCs w:val="24"/>
        </w:rPr>
      </w:pPr>
      <w:r>
        <w:rPr>
          <w:rFonts w:hint="eastAsia"/>
          <w:sz w:val="24"/>
          <w:szCs w:val="24"/>
        </w:rPr>
        <w:t>附件1：</w:t>
      </w:r>
    </w:p>
    <w:p>
      <w:pPr>
        <w:spacing w:line="360" w:lineRule="auto"/>
        <w:ind w:firstLine="465"/>
        <w:jc w:val="center"/>
        <w:rPr>
          <w:b/>
          <w:color w:val="FF0000"/>
          <w:sz w:val="32"/>
          <w:szCs w:val="32"/>
        </w:rPr>
      </w:pPr>
      <w:r>
        <w:rPr>
          <w:rFonts w:hint="eastAsia"/>
          <w:b/>
          <w:color w:val="FF0000"/>
          <w:sz w:val="32"/>
          <w:szCs w:val="32"/>
        </w:rPr>
        <w:t>评标专家诚信承诺函</w:t>
      </w:r>
    </w:p>
    <w:p>
      <w:pPr>
        <w:spacing w:line="360" w:lineRule="auto"/>
        <w:ind w:firstLine="465"/>
        <w:rPr>
          <w:sz w:val="24"/>
          <w:szCs w:val="24"/>
        </w:rPr>
      </w:pPr>
      <w:r>
        <w:rPr>
          <w:rFonts w:hint="eastAsia"/>
          <w:sz w:val="24"/>
          <w:szCs w:val="24"/>
        </w:rPr>
        <w:t>作为</w:t>
      </w:r>
      <w:r>
        <w:rPr>
          <w:rFonts w:hint="eastAsia" w:ascii="MS Mincho" w:hAnsi="MS Mincho" w:eastAsia="MS Mincho" w:cs="MS Mincho"/>
          <w:sz w:val="24"/>
          <w:szCs w:val="24"/>
          <w:u w:val="single"/>
        </w:rPr>
        <w:t>   </w:t>
      </w:r>
      <w:r>
        <w:rPr>
          <w:rFonts w:hint="eastAsia"/>
          <w:sz w:val="24"/>
          <w:szCs w:val="24"/>
          <w:u w:val="single"/>
        </w:rPr>
        <w:t>（招标项目名称）</w:t>
      </w:r>
      <w:r>
        <w:rPr>
          <w:rFonts w:hint="eastAsia" w:ascii="MS Mincho" w:hAnsi="MS Mincho" w:eastAsia="MS Mincho" w:cs="MS Mincho"/>
          <w:sz w:val="24"/>
          <w:szCs w:val="24"/>
          <w:u w:val="single"/>
        </w:rPr>
        <w:t>  </w:t>
      </w:r>
      <w:r>
        <w:rPr>
          <w:sz w:val="24"/>
          <w:szCs w:val="24"/>
          <w:u w:val="single"/>
        </w:rPr>
        <w:t> </w:t>
      </w:r>
      <w:r>
        <w:rPr>
          <w:rFonts w:hint="eastAsia"/>
          <w:sz w:val="24"/>
          <w:szCs w:val="24"/>
        </w:rPr>
        <w:t>的评标专家，本人已详细阅读承诺函的内容，并在此郑重承诺</w:t>
      </w:r>
      <w:r>
        <w:rPr>
          <w:sz w:val="24"/>
          <w:szCs w:val="24"/>
        </w:rPr>
        <w:t>:</w:t>
      </w:r>
    </w:p>
    <w:p>
      <w:pPr>
        <w:spacing w:line="360" w:lineRule="auto"/>
        <w:ind w:firstLine="465"/>
        <w:rPr>
          <w:sz w:val="24"/>
          <w:szCs w:val="24"/>
        </w:rPr>
      </w:pPr>
      <w:r>
        <w:rPr>
          <w:rFonts w:hint="eastAsia"/>
          <w:sz w:val="24"/>
          <w:szCs w:val="24"/>
        </w:rPr>
        <w:t>一、</w:t>
      </w:r>
      <w:r>
        <w:rPr>
          <w:sz w:val="24"/>
          <w:szCs w:val="24"/>
        </w:rPr>
        <w:t> 廉洁自律承诺</w:t>
      </w:r>
    </w:p>
    <w:p>
      <w:pPr>
        <w:spacing w:line="360" w:lineRule="auto"/>
        <w:ind w:firstLine="465"/>
        <w:rPr>
          <w:sz w:val="24"/>
          <w:szCs w:val="24"/>
        </w:rPr>
      </w:pPr>
      <w:r>
        <w:rPr>
          <w:rFonts w:hint="eastAsia"/>
          <w:sz w:val="24"/>
          <w:szCs w:val="24"/>
        </w:rPr>
        <w:t>（一）严格遵守《中华人民共和国招标投标法》《中华人民共和国保密法》《中华人民共和国招标投标法实施条例》，自觉维护国家利益、社会公共利益。</w:t>
      </w:r>
    </w:p>
    <w:p>
      <w:pPr>
        <w:spacing w:line="360" w:lineRule="auto"/>
        <w:ind w:firstLine="465"/>
        <w:rPr>
          <w:sz w:val="24"/>
          <w:szCs w:val="24"/>
        </w:rPr>
      </w:pPr>
      <w:r>
        <w:rPr>
          <w:rFonts w:hint="eastAsia"/>
          <w:sz w:val="24"/>
          <w:szCs w:val="24"/>
        </w:rPr>
        <w:t>（二）禁止在公共社交网站、媒体、平台，如微信群、</w:t>
      </w:r>
      <w:r>
        <w:rPr>
          <w:sz w:val="24"/>
          <w:szCs w:val="24"/>
        </w:rPr>
        <w:t>QQ</w:t>
      </w:r>
      <w:r>
        <w:rPr>
          <w:rFonts w:hint="eastAsia"/>
          <w:sz w:val="24"/>
          <w:szCs w:val="24"/>
        </w:rPr>
        <w:t>群、朋友圈、个人微博等，通过图片、暗语等方式泄露本次评标任务。</w:t>
      </w:r>
    </w:p>
    <w:p>
      <w:pPr>
        <w:spacing w:line="360" w:lineRule="auto"/>
        <w:ind w:firstLine="465"/>
        <w:rPr>
          <w:sz w:val="24"/>
          <w:szCs w:val="24"/>
        </w:rPr>
      </w:pPr>
      <w:r>
        <w:rPr>
          <w:rFonts w:hint="eastAsia"/>
          <w:sz w:val="24"/>
          <w:szCs w:val="24"/>
        </w:rPr>
        <w:t>（三）严格遵守评标纪律，评标过程中不发表任何涉及实质性内容的倾向性言论。评标结束后，不透露评标内容、结论以及其他有关情况</w:t>
      </w:r>
    </w:p>
    <w:p>
      <w:pPr>
        <w:spacing w:line="360" w:lineRule="auto"/>
        <w:ind w:firstLine="465"/>
        <w:rPr>
          <w:sz w:val="24"/>
          <w:szCs w:val="24"/>
        </w:rPr>
      </w:pPr>
      <w:r>
        <w:rPr>
          <w:rFonts w:hint="eastAsia"/>
          <w:sz w:val="24"/>
          <w:szCs w:val="24"/>
        </w:rPr>
        <w:t>（四）客观、公正地履行评标职责，遵守职业道德，严格按照法律法规规定、评标办法和标准开展评标工作，并对做出的评审意见承担相关法律责任。</w:t>
      </w:r>
    </w:p>
    <w:p>
      <w:pPr>
        <w:spacing w:line="360" w:lineRule="auto"/>
        <w:ind w:firstLine="465"/>
        <w:rPr>
          <w:sz w:val="24"/>
          <w:szCs w:val="24"/>
        </w:rPr>
      </w:pPr>
      <w:r>
        <w:rPr>
          <w:rFonts w:hint="eastAsia"/>
          <w:sz w:val="24"/>
          <w:szCs w:val="24"/>
        </w:rPr>
        <w:t>（五）严格履行廉政自律责任，遵守评标廉政纪律，不私下接触招标人、招标代理机构、投标人、投标掮客，不收受利益相关人、企业的财物或好处。</w:t>
      </w:r>
    </w:p>
    <w:p>
      <w:pPr>
        <w:spacing w:line="360" w:lineRule="auto"/>
        <w:ind w:firstLine="465"/>
        <w:rPr>
          <w:sz w:val="24"/>
          <w:szCs w:val="24"/>
        </w:rPr>
      </w:pPr>
      <w:r>
        <w:rPr>
          <w:rFonts w:hint="eastAsia"/>
          <w:sz w:val="24"/>
          <w:szCs w:val="24"/>
        </w:rPr>
        <w:t>（六）自觉抵制招标投标活动中的违法违规行为，积极配合协助住房和城乡建设部门、纪检监察部门、公安部门、检察机关等依法进行的监督。</w:t>
      </w:r>
    </w:p>
    <w:p>
      <w:pPr>
        <w:spacing w:line="360" w:lineRule="auto"/>
        <w:ind w:firstLine="465"/>
        <w:rPr>
          <w:sz w:val="24"/>
          <w:szCs w:val="24"/>
        </w:rPr>
      </w:pPr>
      <w:r>
        <w:rPr>
          <w:rFonts w:hint="eastAsia"/>
          <w:sz w:val="24"/>
          <w:szCs w:val="24"/>
        </w:rPr>
        <w:t>二、回避承诺</w:t>
      </w:r>
    </w:p>
    <w:p>
      <w:pPr>
        <w:spacing w:line="360" w:lineRule="auto"/>
        <w:ind w:firstLine="465"/>
        <w:rPr>
          <w:sz w:val="24"/>
          <w:szCs w:val="24"/>
        </w:rPr>
      </w:pPr>
      <w:r>
        <w:rPr>
          <w:rFonts w:hint="eastAsia"/>
          <w:sz w:val="24"/>
          <w:szCs w:val="24"/>
        </w:rPr>
        <w:t>本人不存在下列情形之一，如有违反，愿意承担相应的法律责任</w:t>
      </w:r>
      <w:r>
        <w:rPr>
          <w:sz w:val="24"/>
          <w:szCs w:val="24"/>
        </w:rPr>
        <w:t>:</w:t>
      </w:r>
    </w:p>
    <w:p>
      <w:pPr>
        <w:spacing w:line="360" w:lineRule="auto"/>
        <w:ind w:firstLine="465"/>
        <w:rPr>
          <w:sz w:val="24"/>
          <w:szCs w:val="24"/>
        </w:rPr>
      </w:pPr>
      <w:r>
        <w:rPr>
          <w:rFonts w:hint="eastAsia"/>
          <w:sz w:val="24"/>
          <w:szCs w:val="24"/>
        </w:rPr>
        <w:t>（一）招标人或投标人的主要负责人的近亲属；</w:t>
      </w:r>
    </w:p>
    <w:p>
      <w:pPr>
        <w:spacing w:line="360" w:lineRule="auto"/>
        <w:ind w:firstLine="465"/>
        <w:rPr>
          <w:sz w:val="24"/>
          <w:szCs w:val="24"/>
        </w:rPr>
      </w:pPr>
      <w:r>
        <w:rPr>
          <w:rFonts w:hint="eastAsia"/>
          <w:sz w:val="24"/>
          <w:szCs w:val="24"/>
        </w:rPr>
        <w:t>（二）项目主管部门或者住房和城乡建设部门的人员；</w:t>
      </w:r>
    </w:p>
    <w:p>
      <w:pPr>
        <w:spacing w:line="360" w:lineRule="auto"/>
        <w:ind w:firstLine="465"/>
        <w:rPr>
          <w:sz w:val="24"/>
          <w:szCs w:val="24"/>
        </w:rPr>
      </w:pPr>
      <w:r>
        <w:rPr>
          <w:rFonts w:hint="eastAsia"/>
          <w:sz w:val="24"/>
          <w:szCs w:val="24"/>
        </w:rPr>
        <w:t>（三）与投标人有利害关系的；</w:t>
      </w:r>
    </w:p>
    <w:p>
      <w:pPr>
        <w:spacing w:line="360" w:lineRule="auto"/>
        <w:ind w:firstLine="465"/>
        <w:rPr>
          <w:sz w:val="24"/>
          <w:szCs w:val="24"/>
        </w:rPr>
      </w:pPr>
      <w:r>
        <w:rPr>
          <w:rFonts w:hint="eastAsia"/>
          <w:sz w:val="24"/>
          <w:szCs w:val="24"/>
        </w:rPr>
        <w:t>（四）与投标人有经济利益关系，可能影响对投标公正评审的；</w:t>
      </w:r>
    </w:p>
    <w:p>
      <w:pPr>
        <w:spacing w:line="360" w:lineRule="auto"/>
        <w:ind w:firstLine="465"/>
        <w:rPr>
          <w:sz w:val="24"/>
          <w:szCs w:val="24"/>
        </w:rPr>
      </w:pPr>
      <w:r>
        <w:rPr>
          <w:rFonts w:hint="eastAsia"/>
          <w:sz w:val="24"/>
          <w:szCs w:val="24"/>
        </w:rPr>
        <w:t>（五）曾因在招标、评标以及其他与招标投标有关活动中从事违法行为而受过行政处罚或刑事处罚的。</w:t>
      </w:r>
    </w:p>
    <w:p>
      <w:pPr>
        <w:spacing w:line="360" w:lineRule="auto"/>
        <w:ind w:firstLine="465"/>
        <w:rPr>
          <w:sz w:val="24"/>
          <w:szCs w:val="24"/>
        </w:rPr>
      </w:pPr>
      <w:r>
        <w:rPr>
          <w:rFonts w:hint="eastAsia"/>
          <w:sz w:val="24"/>
          <w:szCs w:val="24"/>
        </w:rPr>
        <w:t>三、不参与串通投标承诺</w:t>
      </w:r>
    </w:p>
    <w:p>
      <w:pPr>
        <w:spacing w:line="360" w:lineRule="auto"/>
        <w:ind w:firstLine="465"/>
        <w:rPr>
          <w:sz w:val="24"/>
          <w:szCs w:val="24"/>
        </w:rPr>
      </w:pPr>
      <w:r>
        <w:rPr>
          <w:rFonts w:hint="eastAsia"/>
          <w:sz w:val="24"/>
          <w:szCs w:val="24"/>
        </w:rPr>
        <w:t>本人依法依规参加本招标项目的评标工作，不参与串通投标。</w:t>
      </w:r>
    </w:p>
    <w:p>
      <w:pPr>
        <w:spacing w:line="360" w:lineRule="auto"/>
        <w:ind w:firstLine="465"/>
        <w:rPr>
          <w:sz w:val="24"/>
          <w:szCs w:val="24"/>
        </w:rPr>
      </w:pPr>
      <w:r>
        <w:rPr>
          <w:rFonts w:hint="eastAsia"/>
          <w:sz w:val="24"/>
          <w:szCs w:val="24"/>
        </w:rPr>
        <w:t>本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360" w:lineRule="auto"/>
        <w:ind w:firstLine="465"/>
        <w:rPr>
          <w:sz w:val="24"/>
          <w:szCs w:val="24"/>
        </w:rPr>
      </w:pPr>
      <w:r>
        <w:rPr>
          <w:rFonts w:hint="eastAsia"/>
          <w:sz w:val="24"/>
          <w:szCs w:val="24"/>
        </w:rPr>
        <w:t>本人如被查实在本招标项目评标工作中参与串通投标的，自愿承担相应法律责任，接受相应刑事、纪律和行政处罚以及失信惩戒。</w:t>
      </w:r>
    </w:p>
    <w:p>
      <w:pPr>
        <w:spacing w:line="360" w:lineRule="auto"/>
        <w:ind w:firstLine="465"/>
        <w:rPr>
          <w:sz w:val="24"/>
          <w:szCs w:val="24"/>
        </w:rPr>
      </w:pPr>
      <w:r>
        <w:rPr>
          <w:rFonts w:hint="eastAsia" w:ascii="MS Mincho" w:hAnsi="MS Mincho" w:eastAsia="MS Mincho" w:cs="MS Mincho"/>
          <w:sz w:val="24"/>
          <w:szCs w:val="24"/>
        </w:rPr>
        <w:t> </w:t>
      </w:r>
    </w:p>
    <w:p>
      <w:pPr>
        <w:spacing w:line="360" w:lineRule="auto"/>
        <w:ind w:firstLine="465"/>
        <w:rPr>
          <w:sz w:val="24"/>
          <w:szCs w:val="24"/>
        </w:rPr>
      </w:pPr>
      <w:r>
        <w:rPr>
          <w:rFonts w:hint="eastAsia"/>
          <w:sz w:val="24"/>
          <w:szCs w:val="24"/>
        </w:rPr>
        <w:t>本人是</w:t>
      </w:r>
      <w:r>
        <w:rPr>
          <w:sz w:val="24"/>
          <w:szCs w:val="24"/>
        </w:rPr>
        <w:t>□ </w:t>
      </w:r>
      <w:r>
        <w:rPr>
          <w:rFonts w:hint="eastAsia"/>
          <w:sz w:val="24"/>
          <w:szCs w:val="24"/>
        </w:rPr>
        <w:t>否</w:t>
      </w:r>
      <w:r>
        <w:rPr>
          <w:sz w:val="24"/>
          <w:szCs w:val="24"/>
        </w:rPr>
        <w:t>□ </w:t>
      </w:r>
      <w:r>
        <w:rPr>
          <w:rFonts w:hint="eastAsia"/>
          <w:sz w:val="24"/>
          <w:szCs w:val="24"/>
        </w:rPr>
        <w:t>为中共党员</w:t>
      </w:r>
    </w:p>
    <w:p>
      <w:pPr>
        <w:spacing w:line="360" w:lineRule="auto"/>
        <w:ind w:firstLine="2260" w:firstLineChars="942"/>
        <w:rPr>
          <w:sz w:val="24"/>
          <w:szCs w:val="24"/>
        </w:rPr>
      </w:pPr>
      <w:r>
        <w:rPr>
          <w:rFonts w:hint="eastAsia"/>
          <w:sz w:val="24"/>
          <w:szCs w:val="24"/>
        </w:rPr>
        <w:t>（应单选，</w:t>
      </w:r>
      <w:r>
        <w:rPr>
          <w:rFonts w:hint="eastAsia"/>
          <w:b/>
          <w:bCs/>
          <w:sz w:val="24"/>
          <w:szCs w:val="24"/>
        </w:rPr>
        <w:t>并在方框内打</w:t>
      </w:r>
      <w:r>
        <w:rPr>
          <w:b/>
          <w:bCs/>
          <w:sz w:val="24"/>
          <w:szCs w:val="24"/>
        </w:rPr>
        <w:t>“√”</w:t>
      </w:r>
      <w:r>
        <w:rPr>
          <w:rFonts w:hint="eastAsia"/>
          <w:sz w:val="24"/>
          <w:szCs w:val="24"/>
        </w:rPr>
        <w:t>）</w:t>
      </w:r>
    </w:p>
    <w:p>
      <w:pPr>
        <w:spacing w:line="360" w:lineRule="auto"/>
        <w:ind w:firstLine="465"/>
        <w:rPr>
          <w:sz w:val="24"/>
          <w:szCs w:val="24"/>
        </w:rPr>
      </w:pPr>
      <w:r>
        <w:rPr>
          <w:rFonts w:hint="eastAsia"/>
          <w:sz w:val="24"/>
          <w:szCs w:val="24"/>
        </w:rPr>
        <w:t>承</w:t>
      </w:r>
      <w:r>
        <w:rPr>
          <w:rFonts w:hint="eastAsia" w:ascii="MS Mincho" w:hAnsi="MS Mincho" w:eastAsia="MS Mincho" w:cs="MS Mincho"/>
          <w:sz w:val="24"/>
          <w:szCs w:val="24"/>
        </w:rPr>
        <w:t> </w:t>
      </w:r>
      <w:r>
        <w:rPr>
          <w:sz w:val="24"/>
          <w:szCs w:val="24"/>
        </w:rPr>
        <w:t>诺 人：</w:t>
      </w:r>
      <w:r>
        <w:rPr>
          <w:rFonts w:hint="eastAsia"/>
          <w:sz w:val="24"/>
          <w:szCs w:val="24"/>
        </w:rPr>
        <w:t xml:space="preserve">     </w:t>
      </w:r>
      <w:r>
        <w:rPr>
          <w:sz w:val="24"/>
          <w:szCs w:val="24"/>
        </w:rPr>
        <w:t xml:space="preserve">（签字） </w:t>
      </w:r>
    </w:p>
    <w:p>
      <w:pPr>
        <w:spacing w:line="360" w:lineRule="auto"/>
        <w:ind w:firstLine="465"/>
        <w:rPr>
          <w:rFonts w:hint="eastAsia"/>
          <w:sz w:val="24"/>
          <w:szCs w:val="24"/>
        </w:rPr>
      </w:pPr>
      <w:r>
        <w:rPr>
          <w:rFonts w:hint="eastAsia"/>
          <w:sz w:val="24"/>
          <w:szCs w:val="24"/>
        </w:rPr>
        <w:t xml:space="preserve">承诺时间：   年   </w:t>
      </w:r>
      <w:r>
        <w:rPr>
          <w:sz w:val="24"/>
          <w:szCs w:val="24"/>
        </w:rPr>
        <w:t>日</w:t>
      </w:r>
      <w:r>
        <w:rPr>
          <w:rFonts w:hint="eastAsia" w:ascii="MS Mincho" w:hAnsi="MS Mincho" w:eastAsia="MS Mincho" w:cs="MS Mincho"/>
          <w:sz w:val="24"/>
          <w:szCs w:val="24"/>
        </w:rPr>
        <w:t> </w:t>
      </w:r>
      <w:r>
        <w:rPr>
          <w:rFonts w:hint="eastAsia" w:ascii="MS Mincho" w:hAnsi="MS Mincho" w:cs="MS Mincho"/>
          <w:sz w:val="24"/>
          <w:szCs w:val="24"/>
        </w:rPr>
        <w:t xml:space="preserve">  </w:t>
      </w:r>
      <w:r>
        <w:rPr>
          <w:sz w:val="24"/>
          <w:szCs w:val="24"/>
        </w:rPr>
        <w:t xml:space="preserve">月 </w:t>
      </w: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rPr>
          <w:rFonts w:hint="eastAsia"/>
          <w:sz w:val="24"/>
          <w:szCs w:val="24"/>
        </w:rPr>
      </w:pPr>
      <w:r>
        <w:rPr>
          <w:rFonts w:hint="eastAsia"/>
          <w:sz w:val="24"/>
          <w:szCs w:val="24"/>
        </w:rPr>
        <w:t>附件2：</w:t>
      </w:r>
    </w:p>
    <w:p>
      <w:pPr>
        <w:spacing w:line="360" w:lineRule="auto"/>
        <w:ind w:firstLine="465"/>
        <w:jc w:val="center"/>
        <w:rPr>
          <w:b/>
          <w:color w:val="FF0000"/>
          <w:sz w:val="32"/>
          <w:szCs w:val="32"/>
        </w:rPr>
      </w:pPr>
      <w:r>
        <w:rPr>
          <w:rFonts w:hint="eastAsia"/>
          <w:b/>
          <w:color w:val="FF0000"/>
          <w:sz w:val="32"/>
          <w:szCs w:val="32"/>
        </w:rPr>
        <w:t>投标人诚信承诺函</w:t>
      </w:r>
    </w:p>
    <w:p>
      <w:pPr>
        <w:spacing w:line="360" w:lineRule="auto"/>
        <w:ind w:firstLine="465"/>
        <w:rPr>
          <w:sz w:val="24"/>
          <w:szCs w:val="24"/>
        </w:rPr>
      </w:pPr>
      <w:r>
        <w:rPr>
          <w:rFonts w:hint="eastAsia" w:ascii="MS Mincho" w:hAnsi="MS Mincho" w:eastAsia="MS Mincho" w:cs="MS Mincho"/>
          <w:sz w:val="24"/>
          <w:szCs w:val="24"/>
          <w:u w:val="single"/>
        </w:rPr>
        <w:t>              </w:t>
      </w:r>
      <w:r>
        <w:rPr>
          <w:rFonts w:hint="eastAsia"/>
          <w:sz w:val="24"/>
          <w:szCs w:val="24"/>
          <w:u w:val="single"/>
        </w:rPr>
        <w:t>（招标人名称）</w:t>
      </w:r>
      <w:r>
        <w:rPr>
          <w:rFonts w:hint="eastAsia"/>
          <w:sz w:val="24"/>
          <w:szCs w:val="24"/>
        </w:rPr>
        <w:t>：</w:t>
      </w:r>
    </w:p>
    <w:p>
      <w:pPr>
        <w:spacing w:line="360" w:lineRule="auto"/>
        <w:ind w:firstLine="465"/>
        <w:rPr>
          <w:sz w:val="24"/>
          <w:szCs w:val="24"/>
        </w:rPr>
      </w:pPr>
      <w:r>
        <w:rPr>
          <w:rFonts w:hint="eastAsia"/>
          <w:sz w:val="24"/>
          <w:szCs w:val="24"/>
        </w:rPr>
        <w:t>我单位参与</w:t>
      </w:r>
      <w:r>
        <w:rPr>
          <w:rFonts w:hint="eastAsia" w:ascii="MS Mincho" w:hAnsi="MS Mincho" w:eastAsia="MS Mincho" w:cs="MS Mincho"/>
          <w:sz w:val="24"/>
          <w:szCs w:val="24"/>
          <w:u w:val="single"/>
        </w:rPr>
        <w:t>   </w:t>
      </w:r>
      <w:r>
        <w:rPr>
          <w:rFonts w:hint="eastAsia"/>
          <w:sz w:val="24"/>
          <w:szCs w:val="24"/>
          <w:u w:val="single"/>
        </w:rPr>
        <w:t>（招标项目名称）</w:t>
      </w:r>
      <w:r>
        <w:rPr>
          <w:rFonts w:hint="eastAsia" w:ascii="MS Mincho" w:hAnsi="MS Mincho" w:eastAsia="MS Mincho" w:cs="MS Mincho"/>
          <w:sz w:val="24"/>
          <w:szCs w:val="24"/>
          <w:u w:val="single"/>
        </w:rPr>
        <w:t>  </w:t>
      </w:r>
      <w:r>
        <w:rPr>
          <w:sz w:val="24"/>
          <w:szCs w:val="24"/>
          <w:u w:val="single"/>
        </w:rPr>
        <w:t> </w:t>
      </w:r>
      <w:r>
        <w:rPr>
          <w:rFonts w:hint="eastAsia"/>
          <w:sz w:val="24"/>
          <w:szCs w:val="24"/>
        </w:rPr>
        <w:t>的投标。作为法定代表人，本人清楚知晓我单位在本项目投标活动的情况。本人已详细阅读承诺函的内容，并在此郑重承诺：</w:t>
      </w:r>
    </w:p>
    <w:p>
      <w:pPr>
        <w:spacing w:line="360" w:lineRule="auto"/>
        <w:ind w:firstLine="465"/>
        <w:rPr>
          <w:sz w:val="24"/>
          <w:szCs w:val="24"/>
        </w:rPr>
      </w:pPr>
      <w:r>
        <w:rPr>
          <w:rFonts w:hint="eastAsia"/>
          <w:sz w:val="24"/>
          <w:szCs w:val="24"/>
        </w:rPr>
        <w:t>一、我单位和我本人遵循公开、公平、公正、诚实守信的原则，依法依规参与本项目投标，没有串通投标、弄虚作假，没有借用资质给他人投标。</w:t>
      </w:r>
    </w:p>
    <w:p>
      <w:pPr>
        <w:spacing w:line="360" w:lineRule="auto"/>
        <w:ind w:firstLine="465"/>
        <w:rPr>
          <w:sz w:val="24"/>
          <w:szCs w:val="24"/>
        </w:rPr>
      </w:pPr>
      <w:r>
        <w:rPr>
          <w:rFonts w:hint="eastAsia"/>
          <w:sz w:val="24"/>
          <w:szCs w:val="24"/>
        </w:rPr>
        <w:t>二、经确认，我单位在本项目提交的已标价工程量清单情况</w:t>
      </w:r>
      <w:r>
        <w:rPr>
          <w:rFonts w:hint="eastAsia"/>
          <w:b/>
          <w:bCs/>
          <w:sz w:val="24"/>
          <w:szCs w:val="24"/>
        </w:rPr>
        <w:t>（应单选，并在圆圈内打</w:t>
      </w:r>
      <w:r>
        <w:rPr>
          <w:b/>
          <w:bCs/>
          <w:sz w:val="24"/>
          <w:szCs w:val="24"/>
        </w:rPr>
        <w:t>“√”</w:t>
      </w:r>
      <w:r>
        <w:rPr>
          <w:rFonts w:hint="eastAsia"/>
          <w:b/>
          <w:bCs/>
          <w:sz w:val="24"/>
          <w:szCs w:val="24"/>
        </w:rPr>
        <w:t>。未勾选的，视为默认选择第</w:t>
      </w:r>
      <w:r>
        <w:rPr>
          <w:b/>
          <w:bCs/>
          <w:sz w:val="24"/>
          <w:szCs w:val="24"/>
        </w:rPr>
        <w:t>1</w:t>
      </w:r>
      <w:r>
        <w:rPr>
          <w:rFonts w:hint="eastAsia"/>
          <w:b/>
          <w:bCs/>
          <w:sz w:val="24"/>
          <w:szCs w:val="24"/>
        </w:rPr>
        <w:t>项。）</w:t>
      </w:r>
      <w:r>
        <w:rPr>
          <w:rFonts w:hint="eastAsia"/>
          <w:sz w:val="24"/>
          <w:szCs w:val="24"/>
        </w:rPr>
        <w:t>：</w:t>
      </w:r>
    </w:p>
    <w:p>
      <w:pPr>
        <w:spacing w:line="360" w:lineRule="auto"/>
        <w:ind w:firstLine="465"/>
        <w:rPr>
          <w:sz w:val="24"/>
          <w:szCs w:val="24"/>
        </w:rPr>
      </w:pPr>
      <w:r>
        <w:rPr>
          <w:rFonts w:hint="eastAsia"/>
          <w:sz w:val="24"/>
          <w:szCs w:val="24"/>
        </w:rPr>
        <w:t>□</w:t>
      </w:r>
      <w:r>
        <w:rPr>
          <w:sz w:val="24"/>
          <w:szCs w:val="24"/>
        </w:rPr>
        <w:t>1.</w:t>
      </w:r>
      <w:r>
        <w:rPr>
          <w:rFonts w:hint="eastAsia"/>
          <w:sz w:val="24"/>
          <w:szCs w:val="24"/>
        </w:rPr>
        <w:t>由本单位在岗造价人员使用本单位实名的计价软件编制已标价工程量清单。</w:t>
      </w:r>
    </w:p>
    <w:p>
      <w:pPr>
        <w:spacing w:line="360" w:lineRule="auto"/>
        <w:ind w:firstLine="465"/>
        <w:rPr>
          <w:sz w:val="24"/>
          <w:szCs w:val="24"/>
        </w:rPr>
      </w:pPr>
      <w:r>
        <w:rPr>
          <w:rFonts w:hint="eastAsia"/>
          <w:sz w:val="24"/>
          <w:szCs w:val="24"/>
        </w:rPr>
        <w:t>□</w:t>
      </w:r>
      <w:r>
        <w:rPr>
          <w:sz w:val="24"/>
          <w:szCs w:val="24"/>
        </w:rPr>
        <w:t>2.</w:t>
      </w:r>
      <w:r>
        <w:rPr>
          <w:rFonts w:hint="eastAsia" w:ascii="MS Mincho" w:hAnsi="MS Mincho" w:eastAsia="MS Mincho" w:cs="MS Mincho"/>
          <w:sz w:val="24"/>
          <w:szCs w:val="24"/>
        </w:rPr>
        <w:t> </w:t>
      </w:r>
      <w:r>
        <w:rPr>
          <w:rFonts w:hint="eastAsia"/>
          <w:sz w:val="24"/>
          <w:szCs w:val="24"/>
        </w:rPr>
        <w:t>委托工程造价咨询企业编制已标价工程量清单。投标文件提供加盖双方单位公章的委托书，并在已标价工程量清单加盖负责编制的工程造价咨询企业公章以及负责审定的一级注册造价师姓名章。同时，清楚知晓《中华人民共和国招标投标法实施条例》第四十条第（一）（二）项情形及委托编制带来的风险，并自愿承担相应的违法后果。</w:t>
      </w:r>
    </w:p>
    <w:p>
      <w:pPr>
        <w:spacing w:line="360" w:lineRule="auto"/>
        <w:ind w:firstLine="465"/>
        <w:rPr>
          <w:sz w:val="24"/>
          <w:szCs w:val="24"/>
        </w:rPr>
      </w:pPr>
      <w:r>
        <w:rPr>
          <w:rFonts w:hint="eastAsia"/>
          <w:sz w:val="24"/>
          <w:szCs w:val="24"/>
        </w:rPr>
        <w:t>□</w:t>
      </w:r>
      <w:r>
        <w:rPr>
          <w:sz w:val="24"/>
          <w:szCs w:val="24"/>
        </w:rPr>
        <w:t>3.</w:t>
      </w:r>
      <w:r>
        <w:rPr>
          <w:rFonts w:hint="eastAsia" w:ascii="MS Mincho" w:hAnsi="MS Mincho" w:eastAsia="MS Mincho" w:cs="MS Mincho"/>
          <w:sz w:val="24"/>
          <w:szCs w:val="24"/>
        </w:rPr>
        <w:t> </w:t>
      </w:r>
      <w:r>
        <w:rPr>
          <w:rFonts w:hint="eastAsia"/>
          <w:sz w:val="24"/>
          <w:szCs w:val="24"/>
        </w:rPr>
        <w:t>按招标文件规定，无需提交已标价工程量清单。</w:t>
      </w:r>
    </w:p>
    <w:p>
      <w:pPr>
        <w:spacing w:line="360" w:lineRule="auto"/>
        <w:ind w:firstLine="465"/>
        <w:rPr>
          <w:sz w:val="24"/>
          <w:szCs w:val="24"/>
        </w:rPr>
      </w:pPr>
      <w:r>
        <w:rPr>
          <w:rFonts w:hint="eastAsia"/>
          <w:sz w:val="24"/>
          <w:szCs w:val="24"/>
        </w:rPr>
        <w:t>三、经确认，我单位在本项目投标过程中：</w:t>
      </w:r>
    </w:p>
    <w:p>
      <w:pPr>
        <w:spacing w:line="360" w:lineRule="auto"/>
        <w:ind w:firstLine="465"/>
        <w:rPr>
          <w:sz w:val="24"/>
          <w:szCs w:val="24"/>
        </w:rPr>
      </w:pPr>
      <w:r>
        <w:rPr>
          <w:rFonts w:hint="eastAsia"/>
          <w:sz w:val="24"/>
          <w:szCs w:val="24"/>
        </w:rPr>
        <w:t>（一）从招标公告</w:t>
      </w:r>
      <w:r>
        <w:rPr>
          <w:sz w:val="24"/>
          <w:szCs w:val="24"/>
        </w:rPr>
        <w:t>/</w:t>
      </w:r>
      <w:r>
        <w:rPr>
          <w:rFonts w:hint="eastAsia"/>
          <w:sz w:val="24"/>
          <w:szCs w:val="24"/>
        </w:rPr>
        <w:t>投标邀请书规定的渠道获取招标文件以及招标控制价电子文件，没有通过其他不正当渠道获取招标文件。</w:t>
      </w:r>
    </w:p>
    <w:p>
      <w:pPr>
        <w:spacing w:line="360" w:lineRule="auto"/>
        <w:ind w:firstLine="465"/>
        <w:rPr>
          <w:sz w:val="24"/>
          <w:szCs w:val="24"/>
        </w:rPr>
      </w:pPr>
      <w:r>
        <w:rPr>
          <w:rFonts w:hint="eastAsia"/>
          <w:sz w:val="24"/>
          <w:szCs w:val="24"/>
        </w:rPr>
        <w:t>（二）使用本单位自有办公设备编制、递交、解密投标文件。</w:t>
      </w:r>
    </w:p>
    <w:p>
      <w:pPr>
        <w:spacing w:line="360" w:lineRule="auto"/>
        <w:ind w:firstLine="465"/>
        <w:rPr>
          <w:sz w:val="24"/>
          <w:szCs w:val="24"/>
        </w:rPr>
      </w:pPr>
      <w:r>
        <w:rPr>
          <w:rFonts w:hint="eastAsia"/>
          <w:sz w:val="24"/>
          <w:szCs w:val="24"/>
        </w:rPr>
        <w:t>（三）没有向其他投标人提供本单位的投标文件信息，也没有获取他人的投标文件信息。</w:t>
      </w:r>
    </w:p>
    <w:p>
      <w:pPr>
        <w:spacing w:line="360" w:lineRule="auto"/>
        <w:ind w:firstLine="465"/>
        <w:rPr>
          <w:sz w:val="24"/>
          <w:szCs w:val="24"/>
        </w:rPr>
      </w:pPr>
      <w:r>
        <w:rPr>
          <w:rFonts w:hint="eastAsia"/>
          <w:sz w:val="24"/>
          <w:szCs w:val="24"/>
        </w:rPr>
        <w:t>（四）由本单位在岗人员办理投标保证金事宜。</w:t>
      </w:r>
    </w:p>
    <w:p>
      <w:pPr>
        <w:spacing w:line="360" w:lineRule="auto"/>
        <w:ind w:firstLine="465"/>
        <w:rPr>
          <w:sz w:val="24"/>
          <w:szCs w:val="24"/>
        </w:rPr>
      </w:pPr>
      <w:r>
        <w:rPr>
          <w:rFonts w:hint="eastAsia"/>
          <w:sz w:val="24"/>
          <w:szCs w:val="24"/>
        </w:rPr>
        <w:t>（五）授权委托的投标代理人为本单位在岗人员。</w:t>
      </w:r>
    </w:p>
    <w:p>
      <w:pPr>
        <w:spacing w:line="360" w:lineRule="auto"/>
        <w:ind w:firstLine="465"/>
        <w:rPr>
          <w:sz w:val="24"/>
          <w:szCs w:val="24"/>
        </w:rPr>
      </w:pPr>
      <w:r>
        <w:rPr>
          <w:rFonts w:hint="eastAsia"/>
          <w:sz w:val="24"/>
          <w:szCs w:val="24"/>
        </w:rPr>
        <w:t>（六）递交的投标文件及其有关资料（包括第三方提供的资料）没有弄虚作假。</w:t>
      </w:r>
    </w:p>
    <w:p>
      <w:pPr>
        <w:spacing w:line="360" w:lineRule="auto"/>
        <w:ind w:firstLine="465"/>
        <w:rPr>
          <w:sz w:val="24"/>
          <w:szCs w:val="24"/>
        </w:rPr>
      </w:pPr>
      <w:r>
        <w:rPr>
          <w:rFonts w:hint="eastAsia"/>
          <w:sz w:val="24"/>
          <w:szCs w:val="24"/>
        </w:rPr>
        <w:t>四、我单位和我本人清楚知晓《中华人民共和国招标投标法》《中华人民共和国招标投标法实施条例》串通投标、弄虚作假的规定。清楚知晓下列行为将被视为串通投标的情形，招投标监管部门将结合相关事实证据，依法予以查处。</w:t>
      </w:r>
    </w:p>
    <w:p>
      <w:pPr>
        <w:spacing w:line="360" w:lineRule="auto"/>
        <w:ind w:firstLine="465"/>
        <w:rPr>
          <w:sz w:val="24"/>
          <w:szCs w:val="24"/>
        </w:rPr>
      </w:pPr>
      <w:r>
        <w:rPr>
          <w:rFonts w:hint="eastAsia"/>
          <w:sz w:val="24"/>
          <w:szCs w:val="24"/>
        </w:rPr>
        <w:t>（一）不同投标人的电子投标文件使用同一台计算机上传、解密（开标现场上传、解密除外）。</w:t>
      </w:r>
    </w:p>
    <w:p>
      <w:pPr>
        <w:spacing w:line="360" w:lineRule="auto"/>
        <w:ind w:firstLine="465"/>
        <w:rPr>
          <w:sz w:val="24"/>
          <w:szCs w:val="24"/>
        </w:rPr>
      </w:pPr>
      <w:r>
        <w:rPr>
          <w:rFonts w:hint="eastAsia"/>
          <w:sz w:val="24"/>
          <w:szCs w:val="24"/>
        </w:rPr>
        <w:t>（二）不同投标人的电子投标文件使用同一台计算机编制。</w:t>
      </w:r>
    </w:p>
    <w:p>
      <w:pPr>
        <w:spacing w:line="360" w:lineRule="auto"/>
        <w:ind w:firstLine="465"/>
        <w:rPr>
          <w:sz w:val="24"/>
          <w:szCs w:val="24"/>
        </w:rPr>
      </w:pPr>
      <w:r>
        <w:rPr>
          <w:rFonts w:hint="eastAsia"/>
          <w:sz w:val="24"/>
          <w:szCs w:val="24"/>
        </w:rPr>
        <w:t>（三）不同投标人的投标报价文件使用同一台计算机或同一计价软件加密锁编制。</w:t>
      </w:r>
    </w:p>
    <w:p>
      <w:pPr>
        <w:spacing w:line="360" w:lineRule="auto"/>
        <w:ind w:firstLine="465"/>
        <w:rPr>
          <w:sz w:val="24"/>
          <w:szCs w:val="24"/>
        </w:rPr>
      </w:pPr>
      <w:r>
        <w:rPr>
          <w:rFonts w:hint="eastAsia"/>
          <w:sz w:val="24"/>
          <w:szCs w:val="24"/>
        </w:rPr>
        <w:t>（四）符合《中华人民共和国招标投标法》《中华人民共和国招标投标法实施条例》串通投标认定的其他行为。</w:t>
      </w:r>
    </w:p>
    <w:p>
      <w:pPr>
        <w:spacing w:line="360" w:lineRule="auto"/>
        <w:ind w:firstLine="465"/>
        <w:rPr>
          <w:sz w:val="24"/>
          <w:szCs w:val="24"/>
        </w:rPr>
      </w:pPr>
      <w:r>
        <w:rPr>
          <w:rFonts w:hint="eastAsia"/>
          <w:sz w:val="24"/>
          <w:szCs w:val="24"/>
        </w:rPr>
        <w:t>五、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360" w:lineRule="auto"/>
        <w:ind w:firstLine="465"/>
        <w:rPr>
          <w:sz w:val="24"/>
          <w:szCs w:val="24"/>
        </w:rPr>
      </w:pPr>
      <w:r>
        <w:rPr>
          <w:rFonts w:hint="eastAsia"/>
          <w:sz w:val="24"/>
          <w:szCs w:val="24"/>
        </w:rPr>
        <w:t>六、我单位如在本项目招标投标活动评标工作中存在串通投标、弄虚作假以及出借他人资质的，本人自愿承担法律责任，接受相应刑事、纪律和行政处罚以及失信惩戒。</w:t>
      </w:r>
    </w:p>
    <w:p>
      <w:pPr>
        <w:spacing w:line="360" w:lineRule="auto"/>
        <w:ind w:firstLine="465"/>
        <w:rPr>
          <w:sz w:val="24"/>
          <w:szCs w:val="24"/>
        </w:rPr>
      </w:pPr>
      <w:r>
        <w:rPr>
          <w:rFonts w:hint="eastAsia"/>
          <w:sz w:val="24"/>
          <w:szCs w:val="24"/>
        </w:rPr>
        <w:t>七、本承诺函我单位盖章及由法定代表人本人亲自签字确认。</w:t>
      </w:r>
    </w:p>
    <w:p>
      <w:pPr>
        <w:spacing w:line="360" w:lineRule="auto"/>
        <w:ind w:firstLine="465"/>
        <w:rPr>
          <w:sz w:val="24"/>
          <w:szCs w:val="24"/>
        </w:rPr>
      </w:pPr>
      <w:r>
        <w:rPr>
          <w:rFonts w:hint="eastAsia" w:ascii="MS Mincho" w:hAnsi="MS Mincho" w:eastAsia="MS Mincho" w:cs="MS Mincho"/>
          <w:sz w:val="24"/>
          <w:szCs w:val="24"/>
        </w:rPr>
        <w:t> </w:t>
      </w:r>
    </w:p>
    <w:p>
      <w:pPr>
        <w:spacing w:line="360" w:lineRule="auto"/>
        <w:ind w:firstLine="465"/>
        <w:rPr>
          <w:sz w:val="24"/>
          <w:szCs w:val="24"/>
        </w:rPr>
      </w:pPr>
      <w:r>
        <w:rPr>
          <w:rFonts w:hint="eastAsia"/>
          <w:sz w:val="24"/>
          <w:szCs w:val="24"/>
        </w:rPr>
        <w:t xml:space="preserve">投标人：          </w:t>
      </w:r>
      <w:r>
        <w:rPr>
          <w:sz w:val="24"/>
          <w:szCs w:val="24"/>
        </w:rPr>
        <w:t>（盖单位公章）</w:t>
      </w:r>
      <w:r>
        <w:rPr>
          <w:rFonts w:hint="eastAsia" w:ascii="MS Mincho" w:hAnsi="MS Mincho" w:eastAsia="MS Mincho" w:cs="MS Mincho"/>
          <w:sz w:val="24"/>
          <w:szCs w:val="24"/>
        </w:rPr>
        <w:t> </w:t>
      </w:r>
      <w:r>
        <w:rPr>
          <w:sz w:val="24"/>
          <w:szCs w:val="24"/>
        </w:rPr>
        <w:t> </w:t>
      </w:r>
    </w:p>
    <w:p>
      <w:pPr>
        <w:spacing w:line="360" w:lineRule="auto"/>
        <w:ind w:firstLine="465"/>
        <w:rPr>
          <w:sz w:val="24"/>
          <w:szCs w:val="24"/>
        </w:rPr>
      </w:pPr>
      <w:r>
        <w:rPr>
          <w:rFonts w:hint="eastAsia"/>
          <w:sz w:val="24"/>
          <w:szCs w:val="24"/>
        </w:rPr>
        <w:t xml:space="preserve">法定代表人：      </w:t>
      </w:r>
      <w:r>
        <w:rPr>
          <w:sz w:val="24"/>
          <w:szCs w:val="24"/>
        </w:rPr>
        <w:t>（签字）</w:t>
      </w:r>
      <w:r>
        <w:rPr>
          <w:rFonts w:hint="eastAsia" w:ascii="MS Mincho" w:hAnsi="MS Mincho" w:eastAsia="MS Mincho" w:cs="MS Mincho"/>
          <w:sz w:val="24"/>
          <w:szCs w:val="24"/>
        </w:rPr>
        <w:t>      </w:t>
      </w:r>
      <w:r>
        <w:rPr>
          <w:sz w:val="24"/>
          <w:szCs w:val="24"/>
        </w:rPr>
        <w:t> </w:t>
      </w:r>
    </w:p>
    <w:p>
      <w:pPr>
        <w:spacing w:line="360" w:lineRule="auto"/>
        <w:ind w:firstLine="465"/>
        <w:rPr>
          <w:sz w:val="24"/>
          <w:szCs w:val="24"/>
        </w:rPr>
      </w:pPr>
      <w:r>
        <w:rPr>
          <w:rFonts w:hint="eastAsia"/>
          <w:sz w:val="24"/>
          <w:szCs w:val="24"/>
        </w:rPr>
        <w:t xml:space="preserve">承诺时间：   </w:t>
      </w: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r>
        <w:rPr>
          <w:rFonts w:hint="eastAsia" w:ascii="MS Mincho" w:hAnsi="MS Mincho" w:eastAsia="MS Mincho" w:cs="MS Mincho"/>
          <w:sz w:val="24"/>
          <w:szCs w:val="24"/>
        </w:rPr>
        <w:t> </w:t>
      </w:r>
      <w:r>
        <w:rPr>
          <w:sz w:val="24"/>
          <w:szCs w:val="24"/>
        </w:rPr>
        <w:t xml:space="preserve"> </w:t>
      </w:r>
      <w:r>
        <w:rPr>
          <w:rFonts w:hint="eastAsia" w:ascii="MS Mincho" w:hAnsi="MS Mincho" w:eastAsia="MS Mincho" w:cs="MS Mincho"/>
          <w:sz w:val="24"/>
          <w:szCs w:val="24"/>
        </w:rPr>
        <w:t> </w:t>
      </w:r>
      <w:r>
        <w:rPr>
          <w:sz w:val="24"/>
          <w:szCs w:val="24"/>
        </w:rPr>
        <w:t xml:space="preserve"> </w:t>
      </w:r>
      <w:r>
        <w:rPr>
          <w:rFonts w:hint="eastAsia" w:ascii="MS Mincho" w:hAnsi="MS Mincho" w:eastAsia="MS Mincho" w:cs="MS Mincho"/>
          <w:sz w:val="24"/>
          <w:szCs w:val="24"/>
        </w:rPr>
        <w:t>  </w:t>
      </w:r>
      <w:r>
        <w:rPr>
          <w:sz w:val="24"/>
          <w:szCs w:val="24"/>
        </w:rPr>
        <w:t> </w:t>
      </w:r>
    </w:p>
    <w:p>
      <w:pPr>
        <w:spacing w:line="360" w:lineRule="auto"/>
        <w:ind w:firstLine="465"/>
        <w:rPr>
          <w:sz w:val="24"/>
          <w:szCs w:val="24"/>
        </w:rPr>
      </w:pPr>
      <w:r>
        <w:rPr>
          <w:rFonts w:hint="eastAsia" w:ascii="MS Mincho" w:hAnsi="MS Mincho" w:eastAsia="MS Mincho" w:cs="MS Mincho"/>
          <w:sz w:val="24"/>
          <w:szCs w:val="24"/>
        </w:rPr>
        <w:t> </w:t>
      </w:r>
    </w:p>
    <w:p>
      <w:pPr>
        <w:spacing w:line="360" w:lineRule="auto"/>
        <w:ind w:firstLine="465"/>
        <w:rPr>
          <w:sz w:val="24"/>
          <w:szCs w:val="24"/>
        </w:rPr>
      </w:pPr>
      <w:r>
        <w:rPr>
          <w:rFonts w:hint="eastAsia" w:ascii="MS Mincho" w:hAnsi="MS Mincho" w:eastAsia="MS Mincho" w:cs="MS Mincho"/>
          <w:sz w:val="24"/>
          <w:szCs w:val="24"/>
        </w:rPr>
        <w:t> </w:t>
      </w:r>
    </w:p>
    <w:p>
      <w:pPr>
        <w:spacing w:line="360" w:lineRule="auto"/>
        <w:ind w:firstLine="465"/>
        <w:rPr>
          <w:sz w:val="24"/>
          <w:szCs w:val="24"/>
        </w:rPr>
      </w:pPr>
      <w:r>
        <w:rPr>
          <w:rFonts w:hint="eastAsia"/>
          <w:b/>
          <w:bCs/>
          <w:sz w:val="24"/>
          <w:szCs w:val="24"/>
        </w:rPr>
        <w:t>注：</w:t>
      </w:r>
    </w:p>
    <w:p>
      <w:pPr>
        <w:spacing w:line="360" w:lineRule="auto"/>
        <w:ind w:firstLine="465"/>
        <w:rPr>
          <w:sz w:val="24"/>
          <w:szCs w:val="24"/>
        </w:rPr>
      </w:pPr>
      <w:r>
        <w:rPr>
          <w:b/>
          <w:bCs/>
          <w:sz w:val="24"/>
          <w:szCs w:val="24"/>
        </w:rPr>
        <w:t>1</w:t>
      </w:r>
      <w:r>
        <w:rPr>
          <w:rFonts w:hint="eastAsia"/>
          <w:b/>
          <w:bCs/>
          <w:sz w:val="24"/>
          <w:szCs w:val="24"/>
        </w:rPr>
        <w:t>、本承诺函由加盖单位公章、法定代表人签字并扫描上传。</w:t>
      </w:r>
    </w:p>
    <w:p>
      <w:pPr>
        <w:spacing w:line="360" w:lineRule="auto"/>
        <w:ind w:firstLine="465"/>
        <w:rPr>
          <w:rFonts w:hint="eastAsia"/>
          <w:b/>
          <w:bCs/>
          <w:sz w:val="24"/>
          <w:szCs w:val="24"/>
        </w:rPr>
      </w:pPr>
      <w:r>
        <w:rPr>
          <w:b/>
          <w:bCs/>
          <w:sz w:val="24"/>
          <w:szCs w:val="24"/>
        </w:rPr>
        <w:t>2</w:t>
      </w:r>
      <w:r>
        <w:rPr>
          <w:rFonts w:hint="eastAsia"/>
          <w:b/>
          <w:bCs/>
          <w:sz w:val="24"/>
          <w:szCs w:val="24"/>
        </w:rPr>
        <w:t>、第一中标候选人应在中标候选人公示后，在招标文件规定时限内将本承诺函原件提交招标人。</w:t>
      </w:r>
    </w:p>
    <w:p>
      <w:pPr>
        <w:spacing w:line="360" w:lineRule="auto"/>
        <w:ind w:firstLine="465"/>
        <w:rPr>
          <w:rFonts w:hint="eastAsia"/>
          <w:b/>
          <w:bCs/>
          <w:sz w:val="24"/>
          <w:szCs w:val="24"/>
        </w:rPr>
      </w:pPr>
    </w:p>
    <w:p>
      <w:pPr>
        <w:spacing w:line="360" w:lineRule="auto"/>
        <w:rPr>
          <w:rFonts w:hint="eastAsia"/>
          <w:sz w:val="24"/>
          <w:szCs w:val="24"/>
        </w:rPr>
      </w:pPr>
      <w:r>
        <w:rPr>
          <w:rFonts w:hint="eastAsia"/>
          <w:sz w:val="24"/>
          <w:szCs w:val="24"/>
        </w:rPr>
        <w:t>附件3：</w:t>
      </w:r>
    </w:p>
    <w:p>
      <w:pPr>
        <w:spacing w:line="360" w:lineRule="auto"/>
        <w:ind w:firstLine="465"/>
        <w:jc w:val="center"/>
        <w:rPr>
          <w:b/>
          <w:color w:val="FF0000"/>
          <w:sz w:val="32"/>
          <w:szCs w:val="32"/>
        </w:rPr>
      </w:pPr>
      <w:r>
        <w:rPr>
          <w:rFonts w:hint="eastAsia"/>
          <w:b/>
          <w:color w:val="FF0000"/>
          <w:sz w:val="32"/>
          <w:szCs w:val="32"/>
        </w:rPr>
        <w:t>拟派出项目负责人承诺函</w:t>
      </w:r>
    </w:p>
    <w:p>
      <w:pPr>
        <w:spacing w:line="360" w:lineRule="auto"/>
        <w:ind w:firstLine="465"/>
        <w:rPr>
          <w:sz w:val="24"/>
          <w:szCs w:val="24"/>
        </w:rPr>
      </w:pPr>
      <w:r>
        <w:rPr>
          <w:rFonts w:hint="eastAsia" w:ascii="MS Mincho" w:hAnsi="MS Mincho" w:eastAsia="MS Mincho" w:cs="MS Mincho"/>
          <w:sz w:val="24"/>
          <w:szCs w:val="24"/>
          <w:u w:val="single"/>
        </w:rPr>
        <w:t>              </w:t>
      </w:r>
      <w:r>
        <w:rPr>
          <w:rFonts w:hint="eastAsia"/>
          <w:sz w:val="24"/>
          <w:szCs w:val="24"/>
          <w:u w:val="single"/>
        </w:rPr>
        <w:t>（招标人名称）</w:t>
      </w:r>
      <w:r>
        <w:rPr>
          <w:rFonts w:hint="eastAsia"/>
          <w:sz w:val="24"/>
          <w:szCs w:val="24"/>
        </w:rPr>
        <w:t>：</w:t>
      </w:r>
    </w:p>
    <w:p>
      <w:pPr>
        <w:spacing w:line="360" w:lineRule="auto"/>
        <w:ind w:firstLine="465"/>
        <w:rPr>
          <w:sz w:val="24"/>
          <w:szCs w:val="24"/>
        </w:rPr>
      </w:pPr>
      <w:r>
        <w:rPr>
          <w:rFonts w:hint="eastAsia"/>
          <w:sz w:val="24"/>
          <w:szCs w:val="24"/>
        </w:rPr>
        <w:t>本人</w:t>
      </w:r>
      <w:r>
        <w:rPr>
          <w:sz w:val="24"/>
          <w:szCs w:val="24"/>
          <w:u w:val="single"/>
        </w:rPr>
        <w:t> </w:t>
      </w:r>
      <w:r>
        <w:rPr>
          <w:rFonts w:hint="eastAsia" w:ascii="MS Mincho" w:hAnsi="MS Mincho" w:eastAsia="MS Mincho" w:cs="MS Mincho"/>
          <w:sz w:val="24"/>
          <w:szCs w:val="24"/>
          <w:u w:val="single"/>
        </w:rPr>
        <w:t>     </w:t>
      </w:r>
      <w:r>
        <w:rPr>
          <w:rFonts w:hint="eastAsia"/>
          <w:sz w:val="24"/>
          <w:szCs w:val="24"/>
          <w:u w:val="single"/>
        </w:rPr>
        <w:t>（姓名、身份证号码）</w:t>
      </w:r>
      <w:r>
        <w:rPr>
          <w:rFonts w:hint="eastAsia"/>
          <w:sz w:val="24"/>
          <w:szCs w:val="24"/>
        </w:rPr>
        <w:t>系</w:t>
      </w:r>
      <w:r>
        <w:rPr>
          <w:rFonts w:hint="eastAsia" w:ascii="MS Mincho" w:hAnsi="MS Mincho" w:eastAsia="MS Mincho" w:cs="MS Mincho"/>
          <w:sz w:val="24"/>
          <w:szCs w:val="24"/>
          <w:u w:val="single"/>
        </w:rPr>
        <w:t>  </w:t>
      </w:r>
      <w:r>
        <w:rPr>
          <w:rFonts w:hint="eastAsia"/>
          <w:sz w:val="24"/>
          <w:szCs w:val="24"/>
          <w:u w:val="single"/>
        </w:rPr>
        <w:t>（投标人名称</w:t>
      </w:r>
      <w:r>
        <w:rPr>
          <w:sz w:val="24"/>
          <w:szCs w:val="24"/>
          <w:u w:val="single"/>
        </w:rPr>
        <w:t> ）</w:t>
      </w:r>
      <w:r>
        <w:rPr>
          <w:rFonts w:hint="eastAsia"/>
          <w:sz w:val="24"/>
          <w:szCs w:val="24"/>
        </w:rPr>
        <w:t>的在岗人员。本人已清楚知晓，本单位已确定本人作为</w:t>
      </w:r>
      <w:r>
        <w:rPr>
          <w:rFonts w:hint="eastAsia" w:ascii="MS Mincho" w:hAnsi="MS Mincho" w:eastAsia="MS Mincho" w:cs="MS Mincho"/>
          <w:sz w:val="24"/>
          <w:szCs w:val="24"/>
          <w:u w:val="single"/>
        </w:rPr>
        <w:t>         </w:t>
      </w:r>
      <w:r>
        <w:rPr>
          <w:rFonts w:hint="eastAsia"/>
          <w:sz w:val="24"/>
          <w:szCs w:val="24"/>
          <w:u w:val="single"/>
        </w:rPr>
        <w:t>（项目名称及标段）</w:t>
      </w:r>
      <w:r>
        <w:rPr>
          <w:rFonts w:hint="eastAsia"/>
          <w:sz w:val="24"/>
          <w:szCs w:val="24"/>
        </w:rPr>
        <w:t>的拟派出项目负责人，参与本招标项目的投标。</w:t>
      </w:r>
    </w:p>
    <w:p>
      <w:pPr>
        <w:spacing w:line="360" w:lineRule="auto"/>
        <w:ind w:firstLine="465"/>
        <w:rPr>
          <w:sz w:val="24"/>
          <w:szCs w:val="24"/>
        </w:rPr>
      </w:pPr>
      <w:r>
        <w:rPr>
          <w:rFonts w:hint="eastAsia"/>
          <w:sz w:val="24"/>
          <w:szCs w:val="24"/>
        </w:rPr>
        <w:t>本人承诺：</w:t>
      </w:r>
    </w:p>
    <w:p>
      <w:pPr>
        <w:spacing w:line="360" w:lineRule="auto"/>
        <w:ind w:firstLine="465"/>
        <w:rPr>
          <w:sz w:val="24"/>
          <w:szCs w:val="24"/>
        </w:rPr>
      </w:pPr>
      <w:r>
        <w:rPr>
          <w:rFonts w:hint="eastAsia"/>
          <w:sz w:val="24"/>
          <w:szCs w:val="24"/>
        </w:rPr>
        <w:t>一、中标后履行项目负责人职责，按照合同约定实际到岗履职。</w:t>
      </w:r>
    </w:p>
    <w:p>
      <w:pPr>
        <w:spacing w:line="360" w:lineRule="auto"/>
        <w:ind w:firstLine="465"/>
        <w:rPr>
          <w:sz w:val="24"/>
          <w:szCs w:val="24"/>
        </w:rPr>
      </w:pPr>
      <w:r>
        <w:rPr>
          <w:rFonts w:hint="eastAsia"/>
          <w:sz w:val="24"/>
          <w:szCs w:val="24"/>
        </w:rPr>
        <w:t>二、本承诺函由我单位盖章及拟派出项目负责人本人亲自签字确认。</w:t>
      </w:r>
    </w:p>
    <w:p>
      <w:pPr>
        <w:spacing w:line="360" w:lineRule="auto"/>
        <w:ind w:firstLine="465"/>
        <w:rPr>
          <w:sz w:val="24"/>
          <w:szCs w:val="24"/>
        </w:rPr>
      </w:pPr>
      <w:r>
        <w:rPr>
          <w:rFonts w:hint="eastAsia" w:ascii="MS Mincho" w:hAnsi="MS Mincho" w:eastAsia="MS Mincho" w:cs="MS Mincho"/>
          <w:sz w:val="24"/>
          <w:szCs w:val="24"/>
        </w:rPr>
        <w:t> </w:t>
      </w:r>
    </w:p>
    <w:p>
      <w:pPr>
        <w:spacing w:line="360" w:lineRule="auto"/>
        <w:ind w:firstLine="465"/>
        <w:rPr>
          <w:sz w:val="24"/>
          <w:szCs w:val="24"/>
        </w:rPr>
      </w:pPr>
      <w:r>
        <w:rPr>
          <w:rFonts w:hint="eastAsia" w:ascii="MS Mincho" w:hAnsi="MS Mincho" w:eastAsia="MS Mincho" w:cs="MS Mincho"/>
          <w:sz w:val="24"/>
          <w:szCs w:val="24"/>
        </w:rPr>
        <w:t> </w:t>
      </w:r>
    </w:p>
    <w:p>
      <w:pPr>
        <w:spacing w:line="360" w:lineRule="auto"/>
        <w:ind w:firstLine="465"/>
        <w:rPr>
          <w:sz w:val="24"/>
          <w:szCs w:val="24"/>
        </w:rPr>
      </w:pPr>
      <w:r>
        <w:rPr>
          <w:rFonts w:hint="eastAsia"/>
          <w:sz w:val="24"/>
          <w:szCs w:val="24"/>
        </w:rPr>
        <w:t xml:space="preserve">投标人：               </w:t>
      </w:r>
      <w:r>
        <w:rPr>
          <w:sz w:val="24"/>
          <w:szCs w:val="24"/>
        </w:rPr>
        <w:t>（盖单位公章）</w:t>
      </w:r>
      <w:r>
        <w:rPr>
          <w:rFonts w:hint="eastAsia" w:ascii="MS Mincho" w:hAnsi="MS Mincho" w:eastAsia="MS Mincho" w:cs="MS Mincho"/>
          <w:sz w:val="24"/>
          <w:szCs w:val="24"/>
        </w:rPr>
        <w:t>         </w:t>
      </w:r>
      <w:r>
        <w:rPr>
          <w:sz w:val="24"/>
          <w:szCs w:val="24"/>
        </w:rPr>
        <w:t> </w:t>
      </w:r>
    </w:p>
    <w:p>
      <w:pPr>
        <w:spacing w:line="360" w:lineRule="auto"/>
        <w:ind w:firstLine="465"/>
        <w:rPr>
          <w:sz w:val="24"/>
          <w:szCs w:val="24"/>
        </w:rPr>
      </w:pPr>
      <w:r>
        <w:rPr>
          <w:rFonts w:hint="eastAsia"/>
          <w:sz w:val="24"/>
          <w:szCs w:val="24"/>
        </w:rPr>
        <w:t xml:space="preserve">拟派出项目负责人：     </w:t>
      </w:r>
      <w:r>
        <w:rPr>
          <w:sz w:val="24"/>
          <w:szCs w:val="24"/>
        </w:rPr>
        <w:t>（签字）</w:t>
      </w:r>
      <w:r>
        <w:rPr>
          <w:rFonts w:hint="eastAsia" w:ascii="MS Mincho" w:hAnsi="MS Mincho" w:eastAsia="MS Mincho" w:cs="MS Mincho"/>
          <w:sz w:val="24"/>
          <w:szCs w:val="24"/>
        </w:rPr>
        <w:t>    </w:t>
      </w:r>
      <w:r>
        <w:rPr>
          <w:sz w:val="24"/>
          <w:szCs w:val="24"/>
        </w:rPr>
        <w:t> </w:t>
      </w:r>
    </w:p>
    <w:p>
      <w:pPr>
        <w:spacing w:line="360" w:lineRule="auto"/>
        <w:ind w:firstLine="465"/>
        <w:rPr>
          <w:sz w:val="24"/>
          <w:szCs w:val="24"/>
        </w:rPr>
      </w:pPr>
      <w:r>
        <w:rPr>
          <w:rFonts w:hint="eastAsia"/>
          <w:sz w:val="24"/>
          <w:szCs w:val="24"/>
        </w:rPr>
        <w:t xml:space="preserve">承诺时间：   </w:t>
      </w:r>
      <w:r>
        <w:rPr>
          <w:sz w:val="24"/>
          <w:szCs w:val="24"/>
        </w:rPr>
        <w:t>年</w:t>
      </w:r>
      <w:r>
        <w:rPr>
          <w:rFonts w:hint="eastAsia"/>
          <w:sz w:val="24"/>
          <w:szCs w:val="24"/>
        </w:rPr>
        <w:t xml:space="preserve">   </w:t>
      </w:r>
      <w:r>
        <w:rPr>
          <w:sz w:val="24"/>
          <w:szCs w:val="24"/>
        </w:rPr>
        <w:t>月</w:t>
      </w:r>
      <w:r>
        <w:rPr>
          <w:rFonts w:hint="eastAsia"/>
          <w:sz w:val="24"/>
          <w:szCs w:val="24"/>
        </w:rPr>
        <w:t xml:space="preserve">   </w:t>
      </w:r>
      <w:r>
        <w:rPr>
          <w:sz w:val="24"/>
          <w:szCs w:val="24"/>
        </w:rPr>
        <w:t>日</w:t>
      </w:r>
      <w:r>
        <w:rPr>
          <w:rFonts w:hint="eastAsia" w:ascii="MS Mincho" w:hAnsi="MS Mincho" w:eastAsia="MS Mincho" w:cs="MS Mincho"/>
          <w:sz w:val="24"/>
          <w:szCs w:val="24"/>
        </w:rPr>
        <w:t> </w:t>
      </w:r>
      <w:r>
        <w:rPr>
          <w:sz w:val="24"/>
          <w:szCs w:val="24"/>
        </w:rPr>
        <w:t xml:space="preserve"> </w:t>
      </w:r>
      <w:r>
        <w:rPr>
          <w:rFonts w:hint="eastAsia" w:ascii="MS Mincho" w:hAnsi="MS Mincho" w:eastAsia="MS Mincho" w:cs="MS Mincho"/>
          <w:sz w:val="24"/>
          <w:szCs w:val="24"/>
        </w:rPr>
        <w:t> </w:t>
      </w:r>
      <w:r>
        <w:rPr>
          <w:sz w:val="24"/>
          <w:szCs w:val="24"/>
        </w:rPr>
        <w:t xml:space="preserve"> </w:t>
      </w:r>
      <w:r>
        <w:rPr>
          <w:rFonts w:hint="eastAsia" w:ascii="MS Mincho" w:hAnsi="MS Mincho" w:eastAsia="MS Mincho" w:cs="MS Mincho"/>
          <w:sz w:val="24"/>
          <w:szCs w:val="24"/>
        </w:rPr>
        <w:t>     </w:t>
      </w:r>
      <w:r>
        <w:rPr>
          <w:sz w:val="24"/>
          <w:szCs w:val="24"/>
        </w:rPr>
        <w:t> </w:t>
      </w:r>
    </w:p>
    <w:p>
      <w:pPr>
        <w:spacing w:line="360" w:lineRule="auto"/>
        <w:ind w:firstLine="465"/>
        <w:rPr>
          <w:sz w:val="24"/>
          <w:szCs w:val="24"/>
        </w:rPr>
      </w:pPr>
      <w:r>
        <w:rPr>
          <w:rFonts w:hint="eastAsia" w:ascii="MS Mincho" w:hAnsi="MS Mincho" w:eastAsia="MS Mincho" w:cs="MS Mincho"/>
          <w:sz w:val="24"/>
          <w:szCs w:val="24"/>
        </w:rPr>
        <w:t> </w:t>
      </w:r>
    </w:p>
    <w:p>
      <w:pPr>
        <w:spacing w:line="360" w:lineRule="auto"/>
        <w:ind w:firstLine="465"/>
        <w:rPr>
          <w:sz w:val="24"/>
          <w:szCs w:val="24"/>
        </w:rPr>
      </w:pPr>
      <w:r>
        <w:rPr>
          <w:rFonts w:hint="eastAsia"/>
          <w:b/>
          <w:bCs/>
          <w:sz w:val="24"/>
          <w:szCs w:val="24"/>
        </w:rPr>
        <w:t>注：</w:t>
      </w:r>
    </w:p>
    <w:p>
      <w:pPr>
        <w:spacing w:line="360" w:lineRule="auto"/>
        <w:ind w:firstLine="465"/>
        <w:rPr>
          <w:sz w:val="24"/>
          <w:szCs w:val="24"/>
        </w:rPr>
      </w:pPr>
      <w:r>
        <w:rPr>
          <w:b/>
          <w:bCs/>
          <w:sz w:val="24"/>
          <w:szCs w:val="24"/>
        </w:rPr>
        <w:t>1</w:t>
      </w:r>
      <w:r>
        <w:rPr>
          <w:rFonts w:hint="eastAsia"/>
          <w:b/>
          <w:bCs/>
          <w:sz w:val="24"/>
          <w:szCs w:val="24"/>
        </w:rPr>
        <w:t>、本承诺函由加盖单位公章、拟派出项目负责人签字并扫描上传。</w:t>
      </w:r>
    </w:p>
    <w:p>
      <w:pPr>
        <w:spacing w:line="360" w:lineRule="auto"/>
        <w:ind w:firstLine="465"/>
        <w:rPr>
          <w:sz w:val="24"/>
          <w:szCs w:val="24"/>
        </w:rPr>
      </w:pPr>
      <w:r>
        <w:rPr>
          <w:b/>
          <w:bCs/>
          <w:sz w:val="24"/>
          <w:szCs w:val="24"/>
        </w:rPr>
        <w:t>2</w:t>
      </w:r>
      <w:r>
        <w:rPr>
          <w:rFonts w:hint="eastAsia"/>
          <w:b/>
          <w:bCs/>
          <w:sz w:val="24"/>
          <w:szCs w:val="24"/>
        </w:rPr>
        <w:t>、第一中标候选人应在中标候选人公示后，在招标文件规定时限内将本承诺函原件提交招标人。</w:t>
      </w:r>
    </w:p>
    <w:p>
      <w:pPr>
        <w:spacing w:line="360" w:lineRule="auto"/>
        <w:ind w:firstLine="465"/>
        <w:rPr>
          <w:sz w:val="24"/>
          <w:szCs w:val="24"/>
        </w:rPr>
      </w:pP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ind w:firstLine="465"/>
        <w:rPr>
          <w:rFonts w:hint="eastAsia"/>
          <w:sz w:val="24"/>
          <w:szCs w:val="24"/>
        </w:rPr>
      </w:pPr>
    </w:p>
    <w:p>
      <w:pPr>
        <w:spacing w:line="360" w:lineRule="auto"/>
        <w:ind w:firstLine="465"/>
        <w:rPr>
          <w:sz w:val="24"/>
          <w:szCs w:val="24"/>
        </w:rPr>
      </w:pPr>
      <w:r>
        <w:rPr>
          <w:rFonts w:hint="eastAsia" w:ascii="MS Mincho" w:hAnsi="MS Mincho" w:eastAsia="MS Mincho" w:cs="MS Mincho"/>
          <w:sz w:val="24"/>
          <w:szCs w:val="24"/>
        </w:rPr>
        <w:t> </w:t>
      </w:r>
      <w:r>
        <w:rPr>
          <w:sz w:val="24"/>
          <w:szCs w:val="24"/>
        </w:rPr>
        <w:t> </w:t>
      </w:r>
    </w:p>
    <w:p>
      <w:pPr>
        <w:spacing w:line="360" w:lineRule="auto"/>
        <w:ind w:firstLine="465"/>
        <w:rPr>
          <w:rFonts w:hint="eastAsia"/>
          <w:sz w:val="24"/>
          <w:szCs w:val="24"/>
        </w:rPr>
      </w:pPr>
    </w:p>
    <w:p>
      <w:pPr>
        <w:spacing w:line="360" w:lineRule="auto"/>
        <w:ind w:firstLine="450"/>
        <w:rPr>
          <w:rFonts w:hint="eastAsia"/>
          <w:sz w:val="24"/>
          <w:szCs w:val="24"/>
        </w:rPr>
      </w:pPr>
    </w:p>
    <w:p>
      <w:pPr>
        <w:spacing w:line="360" w:lineRule="auto"/>
        <w:ind w:firstLine="450"/>
        <w:rPr>
          <w:sz w:val="24"/>
          <w:szCs w:val="24"/>
        </w:rPr>
      </w:pPr>
    </w:p>
    <w:p>
      <w:pPr>
        <w:spacing w:line="360" w:lineRule="auto"/>
        <w:ind w:left="2874" w:right="4197"/>
        <w:jc w:val="cente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方正书宋简体">
    <w:altName w:val="黑体"/>
    <w:panose1 w:val="00000000000000000000"/>
    <w:charset w:val="86"/>
    <w:family w:val="script"/>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0"/>
      </w:rPr>
    </w:pPr>
    <w:r>
      <w:rPr>
        <w:rStyle w:val="40"/>
      </w:rPr>
      <w:fldChar w:fldCharType="begin"/>
    </w:r>
    <w:r>
      <w:rPr>
        <w:rStyle w:val="40"/>
      </w:rPr>
      <w:instrText xml:space="preserve">PAGE  </w:instrText>
    </w:r>
    <w:r>
      <w:rPr>
        <w:rStyle w:val="40"/>
      </w:rPr>
      <w:fldChar w:fldCharType="separate"/>
    </w:r>
    <w:r>
      <w:rPr>
        <w:rStyle w:val="40"/>
      </w:rPr>
      <w:t>1</w:t>
    </w:r>
    <w:r>
      <w:rPr>
        <w:rStyle w:val="40"/>
      </w:rPr>
      <w:fldChar w:fldCharType="end"/>
    </w:r>
  </w:p>
  <w:p>
    <w:pPr>
      <w:pStyle w:val="2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rPr>
      <w:pict>
        <v:shape id="文本框 12" o:spid="_x0000_s2050" o:spt="202" type="#_x0000_t202" style="position:absolute;left:0pt;margin-left:291.2pt;margin-top:769.65pt;height:13.2pt;width:13.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rPr>
      <w:pict>
        <v:shape id="文本框 13" o:spid="_x0000_s2051" o:spt="202" type="#_x0000_t202" style="position:absolute;left:0pt;margin-left:302.75pt;margin-top:760.4pt;height:14pt;width:10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rPr>
      <w:pict>
        <v:shape id="文本框 15" o:spid="_x0000_s2052" o:spt="202" type="#_x0000_t202" style="position:absolute;left:0pt;margin-left:292.6pt;margin-top:753.65pt;height:16.35pt;width:13.0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rPr>
      <w:pict>
        <v:shape id="文本框 19" o:spid="_x0000_s2053" o:spt="202" type="#_x0000_t202" style="position:absolute;left:0pt;margin-left:289.6pt;margin-top:753.65pt;height:16.35pt;width:16.0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rPr>
      <w:pict>
        <v:shape id="文本框 20" o:spid="_x0000_s2054" o:spt="202" type="#_x0000_t202" style="position:absolute;left:0pt;margin-left:414pt;margin-top:534.4pt;height:14pt;width:14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rPr>
      <w:pict>
        <v:shape id="文本框 21" o:spid="_x0000_s2055" o:spt="202" type="#_x0000_t202" style="position:absolute;left:0pt;margin-left:414pt;margin-top:528.3pt;height:16.35pt;width:15.0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rPr>
      <w:pict>
        <v:shape id="文本框 22" o:spid="_x0000_s2056" o:spt="202" type="#_x0000_t202" style="position:absolute;left:0pt;margin-left:289.6pt;margin-top:759.8pt;height:14pt;width:16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eastAsia="zh-CN"/>
      </w:rPr>
      <w:pict>
        <v:shape id="文本框 1" o:spid="_x0000_s2064" o:spt="202" type="#_x0000_t202" style="position:absolute;left:0pt;margin-left:300.5pt;margin-top:781.2pt;height:12pt;width:8.5pt;mso-position-horizontal-relative:page;mso-position-vertical-relative:page;z-index:-251641856;mso-width-relative:page;mso-height-relative:page;" filled="f" stroked="f" coordsize="21600,21600" o:gfxdata="UEsDBAoAAAAAAIdO4kAAAAAAAAAAAAAAAAAEAAAAZHJzL1BLAwQUAAAACACHTuJAJysmUNkAAAAN&#10;AQAADwAAAGRycy9kb3ducmV2LnhtbE2PzU7DMBCE70i8g7WVuFE7VbFCGqdCCE5IiDQcODqxm1iN&#10;1yF2f3h7tic47sxo9ptye/EjO9k5uoAKsqUAZrELxmGv4LN5vc+BxaTR6DGgVfBjI2yr25tSFyac&#10;sbanXeoZlWAstIIhpangPHaD9Touw2SRvH2YvU50zj03sz5TuR/5SgjJvXZIHwY92efBdofd0St4&#10;+sL6xX2/tx/1vnZN8yjwTR6UultkYgMs2Uv6C8MVn9ChIqY2HNFENiqQIqMtiYwHuVoDo4jMcpLa&#10;q5TLNfCq5P9XVL9QSwMEFAAAAAgAh07iQD0g9UC6AQAAcgMAAA4AAABkcnMvZTJvRG9jLnhtbK1T&#10;wY7TMBC9I/EPlu/UacUCGzVdCVWLkBAg7fIBruM0lmyPNXab9AfgDzhx4c539TsYu00XlsseuDjj&#10;mfHze2+c5c3oLNtrjAZ8w+ezijPtFbTGbxv+5f72xRvOYpK+lRa8bvhBR36zev5sOYRaL6AH22pk&#10;BOJjPYSG9ymFWoioeu1knEHQnoodoJOJtrgVLcqB0J0Vi6p6JQbANiAoHSNl16ciPyPiUwCh64zS&#10;a1A7p306oaK2MpGk2JsQ+aqw7Tqt0qeuizox23BSmspKl1C8yatYLWW9RRl6o84U5FMoPNLkpPF0&#10;6QVqLZNkOzT/QDmjECJ0aabAiZOQ4gipmFePvLnrZdBFC1kdw8X0+P9g1cf9Z2SmbfjimjMvHU38&#10;+P3b8cev48+vbJ79GUKsqe0uUGMa38JIr2bKR0pm2WOHLn9JEKM6uXu4uKvHxFQ+VL2+vqKKotL8&#10;avGyKu6Lh8MBY3qnwbEcNBxpeMVTuf8QExGh1qkl3+Xh1lhbBmj9XwlqzBmRmZ8Y5iiNm/EsZwPt&#10;gdTY956szM9iCnAKNlOwC2i2PdEpmgskjaKQOT+bPOs/9+Xih19l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nKyZQ2QAAAA0BAAAPAAAAAAAAAAEAIAAAACIAAABkcnMvZG93bnJldi54bWxQSwEC&#10;FAAUAAAACACHTuJAPSD1QLoBAAByAwAADgAAAAAAAAABACAAAAAoAQAAZHJzL2Uyb0RvYy54bWxQ&#10;SwUGAAAAAAYABgBZAQAAVAUAAAAA&#10;">
          <v:path/>
          <v:fill on="f" focussize="0,0"/>
          <v:stroke on="f"/>
          <v:imagedata o:title=""/>
          <o:lock v:ext="edit" aspectratio="f"/>
          <v:textbox inset="0mm,0mm,0mm,0mm">
            <w:txbxContent>
              <w:p>
                <w:pPr>
                  <w:spacing w:before="12"/>
                  <w:ind w:left="40"/>
                  <w:rPr>
                    <w:rFonts w:ascii="Times New Roman"/>
                    <w:sz w:val="18"/>
                  </w:rPr>
                </w:pPr>
                <w:r>
                  <w:rPr>
                    <w:rFonts w:ascii="Times New Roman"/>
                    <w:sz w:val="18"/>
                  </w:rPr>
                  <w:fldChar w:fldCharType="begin"/>
                </w:r>
                <w:r>
                  <w:rPr>
                    <w:rFonts w:ascii="Times New Roman"/>
                    <w:sz w:val="18"/>
                  </w:rPr>
                  <w:instrText xml:space="preserve"> PAGE </w:instrText>
                </w:r>
                <w:r>
                  <w:rPr>
                    <w:rFonts w:ascii="Times New Roman"/>
                    <w:sz w:val="18"/>
                  </w:rPr>
                  <w:fldChar w:fldCharType="separate"/>
                </w:r>
                <w:r>
                  <w:rPr>
                    <w:rFonts w:ascii="Times New Roman"/>
                    <w:sz w:val="18"/>
                  </w:rPr>
                  <w:t>7</w:t>
                </w:r>
                <w:r>
                  <w:rPr>
                    <w:rFonts w:ascii="Times New Roman"/>
                    <w:sz w:val="18"/>
                  </w:rP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rPr>
      <w:pict>
        <v:shape id="文本框 25" o:spid="_x0000_s2057" o:spt="202" type="#_x0000_t202" style="position:absolute;left:0pt;margin-left:289.6pt;margin-top:774.9pt;height:16.35pt;width:16.0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rPr>
      <w:pict>
        <v:shape id="文本框 36" o:spid="_x0000_s2058" o:spt="202" type="#_x0000_t202" style="position:absolute;left:0pt;margin-left:289.6pt;margin-top:785pt;height:16.35pt;width:16.0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txbxContent>
          </v:textbox>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rPr>
      <w:pict>
        <v:shape id="文本框 37" o:spid="_x0000_s2059" o:spt="202" type="#_x0000_t202" style="position:absolute;left:0pt;margin-left:289.6pt;margin-top:785pt;height:16.35pt;width:16.0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txbxContent>
          </v:textbox>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rPr>
      <w:pict>
        <v:shape id="文本框 41" o:spid="_x0000_s2060" o:spt="202" type="#_x0000_t202" style="position:absolute;left:0pt;margin-left:287.6pt;margin-top:785pt;height:16.35pt;width:21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txbxContent>
          </v:textbox>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rPr>
      <w:pict>
        <v:shape id="文本框 42" o:spid="_x0000_s2061" o:spt="202" type="#_x0000_t202" style="position:absolute;left:0pt;margin-left:287.6pt;margin-top:785pt;height:16.35pt;width:20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txbxContent>
          </v:textbox>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r>
      <w:rPr>
        <w:lang w:val="en-US"/>
      </w:rPr>
      <w:pict>
        <v:shape id="文本框 43" o:spid="_x0000_s2062" o:spt="202" type="#_x0000_t202" style="position:absolute;left:0pt;margin-left:287.6pt;margin-top:785pt;height:16.35pt;width:21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txbxContent>
          </v:textbox>
        </v:shape>
      </w:pic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Times New Roman" w:hAnsi="Times New Roman" w:eastAsia="仿宋_GB2312"/>
        <w:sz w:val="24"/>
      </w:rPr>
    </w:pPr>
    <w:r>
      <w:rPr>
        <w:lang w:val="en-US"/>
      </w:rPr>
      <w:pict>
        <v:shape id="_x0000_s2063" o:spid="_x0000_s2063"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joinstyle="miter"/>
          <v:imagedata o:title=""/>
          <o:lock v:ext="edit"/>
          <v:textbox inset="0mm,0mm,0mm,0mm" style="mso-fit-shape-to-text:t;">
            <w:txbxContent>
              <w:p>
                <w:pPr>
                  <w:pStyle w:val="25"/>
                </w:pPr>
                <w:r>
                  <w:fldChar w:fldCharType="begin"/>
                </w:r>
                <w:r>
                  <w:instrText xml:space="preserve"> PAGE  \* MERGEFORMAT </w:instrText>
                </w:r>
                <w:r>
                  <w:fldChar w:fldCharType="separate"/>
                </w:r>
                <w:r>
                  <w:t>34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0"/>
        <w:rFonts w:ascii="仿宋_GB2312" w:eastAsia="仿宋_GB2312"/>
      </w:rPr>
    </w:pPr>
    <w:r>
      <w:rPr>
        <w:rStyle w:val="40"/>
        <w:rFonts w:hint="eastAsia" w:ascii="仿宋_GB2312" w:eastAsia="仿宋_GB2312"/>
      </w:rPr>
      <w:fldChar w:fldCharType="begin"/>
    </w:r>
    <w:r>
      <w:rPr>
        <w:rStyle w:val="40"/>
        <w:rFonts w:hint="eastAsia" w:ascii="仿宋_GB2312" w:eastAsia="仿宋_GB2312"/>
      </w:rPr>
      <w:instrText xml:space="preserve">PAGE  </w:instrText>
    </w:r>
    <w:r>
      <w:rPr>
        <w:rStyle w:val="40"/>
        <w:rFonts w:hint="eastAsia" w:ascii="仿宋_GB2312" w:eastAsia="仿宋_GB2312"/>
      </w:rPr>
      <w:fldChar w:fldCharType="separate"/>
    </w:r>
    <w:r>
      <w:rPr>
        <w:rStyle w:val="40"/>
        <w:rFonts w:ascii="仿宋_GB2312" w:eastAsia="仿宋_GB2312"/>
      </w:rPr>
      <w:t>58</w:t>
    </w:r>
    <w:r>
      <w:rPr>
        <w:rStyle w:val="40"/>
        <w:rFonts w:hint="eastAsia" w:ascii="仿宋_GB2312" w:eastAsia="仿宋_GB2312"/>
      </w:rPr>
      <w:fldChar w:fldCharType="end"/>
    </w:r>
  </w:p>
  <w:p>
    <w:pPr>
      <w:pStyle w:val="2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40"/>
        <w:rFonts w:ascii="仿宋_GB2312" w:eastAsia="仿宋_GB2312"/>
        <w:sz w:val="21"/>
        <w:szCs w:val="21"/>
      </w:rPr>
    </w:pPr>
    <w:r>
      <w:rPr>
        <w:rStyle w:val="40"/>
        <w:rFonts w:hint="eastAsia" w:ascii="仿宋_GB2312" w:eastAsia="仿宋_GB2312"/>
        <w:sz w:val="21"/>
        <w:szCs w:val="21"/>
      </w:rPr>
      <w:fldChar w:fldCharType="begin"/>
    </w:r>
    <w:r>
      <w:rPr>
        <w:rStyle w:val="40"/>
        <w:rFonts w:hint="eastAsia" w:ascii="仿宋_GB2312" w:eastAsia="仿宋_GB2312"/>
        <w:sz w:val="21"/>
        <w:szCs w:val="21"/>
      </w:rPr>
      <w:instrText xml:space="preserve">PAGE  </w:instrText>
    </w:r>
    <w:r>
      <w:rPr>
        <w:rStyle w:val="40"/>
        <w:rFonts w:hint="eastAsia" w:ascii="仿宋_GB2312" w:eastAsia="仿宋_GB2312"/>
        <w:sz w:val="21"/>
        <w:szCs w:val="21"/>
      </w:rPr>
      <w:fldChar w:fldCharType="separate"/>
    </w:r>
    <w:r>
      <w:rPr>
        <w:rStyle w:val="40"/>
        <w:rFonts w:ascii="仿宋_GB2312" w:eastAsia="仿宋_GB2312"/>
        <w:sz w:val="21"/>
        <w:szCs w:val="21"/>
      </w:rPr>
      <w:t>65</w:t>
    </w:r>
    <w:r>
      <w:rPr>
        <w:rStyle w:val="40"/>
        <w:rFonts w:hint="eastAsia" w:ascii="仿宋_GB2312" w:eastAsia="仿宋_GB2312"/>
        <w:sz w:val="21"/>
        <w:szCs w:val="21"/>
      </w:rPr>
      <w:fldChar w:fldCharType="end"/>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75F0A"/>
    <w:multiLevelType w:val="multilevel"/>
    <w:tmpl w:val="87B75F0A"/>
    <w:lvl w:ilvl="0" w:tentative="0">
      <w:start w:val="1"/>
      <w:numFmt w:val="decimal"/>
      <w:lvlText w:val="%1."/>
      <w:lvlJc w:val="left"/>
      <w:pPr>
        <w:ind w:left="537" w:hanging="213"/>
      </w:pPr>
      <w:rPr>
        <w:rFonts w:hint="default" w:ascii="Times New Roman" w:hAnsi="Times New Roman" w:eastAsia="Times New Roman" w:cs="Times New Roman"/>
        <w:b/>
        <w:bCs/>
        <w:spacing w:val="-3"/>
        <w:w w:val="100"/>
        <w:sz w:val="26"/>
        <w:szCs w:val="26"/>
      </w:rPr>
    </w:lvl>
    <w:lvl w:ilvl="1" w:tentative="0">
      <w:start w:val="0"/>
      <w:numFmt w:val="bullet"/>
      <w:lvlText w:val="•"/>
      <w:lvlJc w:val="left"/>
      <w:pPr>
        <w:ind w:left="1544" w:hanging="213"/>
      </w:pPr>
      <w:rPr>
        <w:rFonts w:hint="default"/>
      </w:rPr>
    </w:lvl>
    <w:lvl w:ilvl="2" w:tentative="0">
      <w:start w:val="0"/>
      <w:numFmt w:val="bullet"/>
      <w:lvlText w:val="•"/>
      <w:lvlJc w:val="left"/>
      <w:pPr>
        <w:ind w:left="2549" w:hanging="213"/>
      </w:pPr>
      <w:rPr>
        <w:rFonts w:hint="default"/>
      </w:rPr>
    </w:lvl>
    <w:lvl w:ilvl="3" w:tentative="0">
      <w:start w:val="0"/>
      <w:numFmt w:val="bullet"/>
      <w:lvlText w:val="•"/>
      <w:lvlJc w:val="left"/>
      <w:pPr>
        <w:ind w:left="3553" w:hanging="213"/>
      </w:pPr>
      <w:rPr>
        <w:rFonts w:hint="default"/>
      </w:rPr>
    </w:lvl>
    <w:lvl w:ilvl="4" w:tentative="0">
      <w:start w:val="0"/>
      <w:numFmt w:val="bullet"/>
      <w:lvlText w:val="•"/>
      <w:lvlJc w:val="left"/>
      <w:pPr>
        <w:ind w:left="4558" w:hanging="213"/>
      </w:pPr>
      <w:rPr>
        <w:rFonts w:hint="default"/>
      </w:rPr>
    </w:lvl>
    <w:lvl w:ilvl="5" w:tentative="0">
      <w:start w:val="0"/>
      <w:numFmt w:val="bullet"/>
      <w:lvlText w:val="•"/>
      <w:lvlJc w:val="left"/>
      <w:pPr>
        <w:ind w:left="5563" w:hanging="213"/>
      </w:pPr>
      <w:rPr>
        <w:rFonts w:hint="default"/>
      </w:rPr>
    </w:lvl>
    <w:lvl w:ilvl="6" w:tentative="0">
      <w:start w:val="0"/>
      <w:numFmt w:val="bullet"/>
      <w:lvlText w:val="•"/>
      <w:lvlJc w:val="left"/>
      <w:pPr>
        <w:ind w:left="6567" w:hanging="213"/>
      </w:pPr>
      <w:rPr>
        <w:rFonts w:hint="default"/>
      </w:rPr>
    </w:lvl>
    <w:lvl w:ilvl="7" w:tentative="0">
      <w:start w:val="0"/>
      <w:numFmt w:val="bullet"/>
      <w:lvlText w:val="•"/>
      <w:lvlJc w:val="left"/>
      <w:pPr>
        <w:ind w:left="7572" w:hanging="213"/>
      </w:pPr>
      <w:rPr>
        <w:rFonts w:hint="default"/>
      </w:rPr>
    </w:lvl>
    <w:lvl w:ilvl="8" w:tentative="0">
      <w:start w:val="0"/>
      <w:numFmt w:val="bullet"/>
      <w:lvlText w:val="•"/>
      <w:lvlJc w:val="left"/>
      <w:pPr>
        <w:ind w:left="8577" w:hanging="213"/>
      </w:pPr>
      <w:rPr>
        <w:rFonts w:hint="default"/>
      </w:rPr>
    </w:lvl>
  </w:abstractNum>
  <w:abstractNum w:abstractNumId="1">
    <w:nsid w:val="A5435042"/>
    <w:multiLevelType w:val="multilevel"/>
    <w:tmpl w:val="A5435042"/>
    <w:lvl w:ilvl="0" w:tentative="0">
      <w:start w:val="2"/>
      <w:numFmt w:val="decimal"/>
      <w:lvlText w:val="%1."/>
      <w:lvlJc w:val="left"/>
      <w:pPr>
        <w:ind w:left="567" w:hanging="244"/>
      </w:pPr>
      <w:rPr>
        <w:rFonts w:hint="default" w:ascii="微软雅黑" w:hAnsi="微软雅黑" w:eastAsia="微软雅黑" w:cs="微软雅黑"/>
        <w:b/>
        <w:bCs/>
        <w:spacing w:val="0"/>
        <w:w w:val="81"/>
        <w:sz w:val="22"/>
        <w:szCs w:val="22"/>
      </w:rPr>
    </w:lvl>
    <w:lvl w:ilvl="1" w:tentative="0">
      <w:start w:val="1"/>
      <w:numFmt w:val="decimal"/>
      <w:lvlText w:val="%2."/>
      <w:lvlJc w:val="left"/>
      <w:pPr>
        <w:ind w:left="324" w:hanging="303"/>
      </w:pPr>
      <w:rPr>
        <w:rFonts w:hint="default" w:ascii="Times New Roman" w:hAnsi="Times New Roman" w:eastAsia="Times New Roman" w:cs="Times New Roman"/>
        <w:spacing w:val="-16"/>
        <w:w w:val="99"/>
        <w:sz w:val="24"/>
        <w:szCs w:val="24"/>
      </w:rPr>
    </w:lvl>
    <w:lvl w:ilvl="2" w:tentative="0">
      <w:start w:val="0"/>
      <w:numFmt w:val="bullet"/>
      <w:lvlText w:val="•"/>
      <w:lvlJc w:val="left"/>
      <w:pPr>
        <w:ind w:left="1674" w:hanging="303"/>
      </w:pPr>
      <w:rPr>
        <w:rFonts w:hint="default"/>
      </w:rPr>
    </w:lvl>
    <w:lvl w:ilvl="3" w:tentative="0">
      <w:start w:val="0"/>
      <w:numFmt w:val="bullet"/>
      <w:lvlText w:val="•"/>
      <w:lvlJc w:val="left"/>
      <w:pPr>
        <w:ind w:left="2788" w:hanging="303"/>
      </w:pPr>
      <w:rPr>
        <w:rFonts w:hint="default"/>
      </w:rPr>
    </w:lvl>
    <w:lvl w:ilvl="4" w:tentative="0">
      <w:start w:val="0"/>
      <w:numFmt w:val="bullet"/>
      <w:lvlText w:val="•"/>
      <w:lvlJc w:val="left"/>
      <w:pPr>
        <w:ind w:left="3902" w:hanging="303"/>
      </w:pPr>
      <w:rPr>
        <w:rFonts w:hint="default"/>
      </w:rPr>
    </w:lvl>
    <w:lvl w:ilvl="5" w:tentative="0">
      <w:start w:val="0"/>
      <w:numFmt w:val="bullet"/>
      <w:lvlText w:val="•"/>
      <w:lvlJc w:val="left"/>
      <w:pPr>
        <w:ind w:left="5016" w:hanging="303"/>
      </w:pPr>
      <w:rPr>
        <w:rFonts w:hint="default"/>
      </w:rPr>
    </w:lvl>
    <w:lvl w:ilvl="6" w:tentative="0">
      <w:start w:val="0"/>
      <w:numFmt w:val="bullet"/>
      <w:lvlText w:val="•"/>
      <w:lvlJc w:val="left"/>
      <w:pPr>
        <w:ind w:left="6130" w:hanging="303"/>
      </w:pPr>
      <w:rPr>
        <w:rFonts w:hint="default"/>
      </w:rPr>
    </w:lvl>
    <w:lvl w:ilvl="7" w:tentative="0">
      <w:start w:val="0"/>
      <w:numFmt w:val="bullet"/>
      <w:lvlText w:val="•"/>
      <w:lvlJc w:val="left"/>
      <w:pPr>
        <w:ind w:left="7244" w:hanging="303"/>
      </w:pPr>
      <w:rPr>
        <w:rFonts w:hint="default"/>
      </w:rPr>
    </w:lvl>
    <w:lvl w:ilvl="8" w:tentative="0">
      <w:start w:val="0"/>
      <w:numFmt w:val="bullet"/>
      <w:lvlText w:val="•"/>
      <w:lvlJc w:val="left"/>
      <w:pPr>
        <w:ind w:left="8358" w:hanging="303"/>
      </w:pPr>
      <w:rPr>
        <w:rFonts w:hint="default"/>
      </w:rPr>
    </w:lvl>
  </w:abstractNum>
  <w:abstractNum w:abstractNumId="2">
    <w:nsid w:val="B08374AC"/>
    <w:multiLevelType w:val="multilevel"/>
    <w:tmpl w:val="B08374AC"/>
    <w:lvl w:ilvl="0" w:tentative="0">
      <w:start w:val="1"/>
      <w:numFmt w:val="decimal"/>
      <w:lvlText w:val="%1."/>
      <w:lvlJc w:val="left"/>
      <w:pPr>
        <w:ind w:left="684" w:hanging="244"/>
      </w:pPr>
      <w:rPr>
        <w:rFonts w:hint="default" w:ascii="微软雅黑" w:hAnsi="微软雅黑" w:eastAsia="微软雅黑" w:cs="微软雅黑"/>
        <w:b/>
        <w:bCs/>
        <w:spacing w:val="0"/>
        <w:w w:val="81"/>
        <w:sz w:val="22"/>
        <w:szCs w:val="22"/>
      </w:rPr>
    </w:lvl>
    <w:lvl w:ilvl="1" w:tentative="0">
      <w:start w:val="1"/>
      <w:numFmt w:val="decimal"/>
      <w:lvlText w:val="%1.%2"/>
      <w:lvlJc w:val="left"/>
      <w:pPr>
        <w:ind w:left="486" w:hanging="486"/>
      </w:pPr>
      <w:rPr>
        <w:rFonts w:hint="default" w:cs="Times New Roman"/>
        <w:b/>
        <w:bCs/>
        <w:spacing w:val="0"/>
        <w:w w:val="81"/>
      </w:rPr>
    </w:lvl>
    <w:lvl w:ilvl="2" w:tentative="0">
      <w:start w:val="1"/>
      <w:numFmt w:val="decimal"/>
      <w:lvlText w:val="%1.%2.%3"/>
      <w:lvlJc w:val="left"/>
      <w:pPr>
        <w:ind w:left="1174" w:hanging="486"/>
      </w:pPr>
      <w:rPr>
        <w:rFonts w:hint="default" w:cs="Times New Roman"/>
        <w:w w:val="100"/>
      </w:rPr>
    </w:lvl>
    <w:lvl w:ilvl="3" w:tentative="0">
      <w:start w:val="1"/>
      <w:numFmt w:val="decimal"/>
      <w:lvlText w:val="%1.%2.%3.%4"/>
      <w:lvlJc w:val="left"/>
      <w:pPr>
        <w:ind w:left="1224" w:hanging="486"/>
      </w:pPr>
      <w:rPr>
        <w:rFonts w:hint="default" w:ascii="宋体" w:hAnsi="宋体" w:eastAsia="宋体" w:cs="宋体"/>
        <w:w w:val="100"/>
        <w:sz w:val="24"/>
        <w:szCs w:val="24"/>
      </w:rPr>
    </w:lvl>
    <w:lvl w:ilvl="4" w:tentative="0">
      <w:start w:val="1"/>
      <w:numFmt w:val="decimal"/>
      <w:lvlText w:val="（%5）"/>
      <w:lvlJc w:val="left"/>
      <w:pPr>
        <w:ind w:left="1483" w:hanging="486"/>
      </w:pPr>
      <w:rPr>
        <w:rFonts w:hint="default" w:ascii="宋体" w:hAnsi="宋体" w:eastAsia="宋体" w:cs="宋体"/>
        <w:spacing w:val="2"/>
        <w:w w:val="100"/>
        <w:sz w:val="22"/>
        <w:szCs w:val="22"/>
      </w:rPr>
    </w:lvl>
    <w:lvl w:ilvl="5" w:tentative="0">
      <w:start w:val="0"/>
      <w:numFmt w:val="bullet"/>
      <w:lvlText w:val="•"/>
      <w:lvlJc w:val="left"/>
      <w:pPr>
        <w:ind w:left="980" w:hanging="486"/>
      </w:pPr>
      <w:rPr>
        <w:rFonts w:hint="default"/>
      </w:rPr>
    </w:lvl>
    <w:lvl w:ilvl="6" w:tentative="0">
      <w:start w:val="0"/>
      <w:numFmt w:val="bullet"/>
      <w:lvlText w:val="•"/>
      <w:lvlJc w:val="left"/>
      <w:pPr>
        <w:ind w:left="1040" w:hanging="486"/>
      </w:pPr>
      <w:rPr>
        <w:rFonts w:hint="default"/>
      </w:rPr>
    </w:lvl>
    <w:lvl w:ilvl="7" w:tentative="0">
      <w:start w:val="0"/>
      <w:numFmt w:val="bullet"/>
      <w:lvlText w:val="•"/>
      <w:lvlJc w:val="left"/>
      <w:pPr>
        <w:ind w:left="1140" w:hanging="486"/>
      </w:pPr>
      <w:rPr>
        <w:rFonts w:hint="default"/>
      </w:rPr>
    </w:lvl>
    <w:lvl w:ilvl="8" w:tentative="0">
      <w:start w:val="0"/>
      <w:numFmt w:val="bullet"/>
      <w:lvlText w:val="•"/>
      <w:lvlJc w:val="left"/>
      <w:pPr>
        <w:ind w:left="1180" w:hanging="486"/>
      </w:pPr>
      <w:rPr>
        <w:rFonts w:hint="default"/>
      </w:rPr>
    </w:lvl>
  </w:abstractNum>
  <w:abstractNum w:abstractNumId="3">
    <w:nsid w:val="B1CC6FF1"/>
    <w:multiLevelType w:val="multilevel"/>
    <w:tmpl w:val="B1CC6FF1"/>
    <w:lvl w:ilvl="0" w:tentative="0">
      <w:start w:val="6"/>
      <w:numFmt w:val="decimal"/>
      <w:lvlText w:val="%1"/>
      <w:lvlJc w:val="left"/>
      <w:pPr>
        <w:ind w:left="324" w:hanging="601"/>
      </w:pPr>
      <w:rPr>
        <w:rFonts w:hint="default" w:cs="Times New Roman"/>
      </w:rPr>
    </w:lvl>
    <w:lvl w:ilvl="1" w:tentative="0">
      <w:start w:val="5"/>
      <w:numFmt w:val="decimal"/>
      <w:lvlText w:val="%1.%2"/>
      <w:lvlJc w:val="left"/>
      <w:pPr>
        <w:ind w:left="324" w:hanging="601"/>
      </w:pPr>
      <w:rPr>
        <w:rFonts w:hint="default" w:cs="Times New Roman"/>
      </w:rPr>
    </w:lvl>
    <w:lvl w:ilvl="2" w:tentative="0">
      <w:start w:val="1"/>
      <w:numFmt w:val="decimal"/>
      <w:lvlText w:val="%1.%2.%3"/>
      <w:lvlJc w:val="left"/>
      <w:pPr>
        <w:ind w:left="324" w:hanging="601"/>
      </w:pPr>
      <w:rPr>
        <w:rFonts w:hint="default" w:ascii="宋体" w:hAnsi="宋体" w:eastAsia="宋体" w:cs="宋体"/>
        <w:w w:val="100"/>
        <w:sz w:val="22"/>
        <w:szCs w:val="22"/>
      </w:rPr>
    </w:lvl>
    <w:lvl w:ilvl="3" w:tentative="0">
      <w:start w:val="0"/>
      <w:numFmt w:val="bullet"/>
      <w:lvlText w:val="•"/>
      <w:lvlJc w:val="left"/>
      <w:pPr>
        <w:ind w:left="3399" w:hanging="601"/>
      </w:pPr>
      <w:rPr>
        <w:rFonts w:hint="default"/>
      </w:rPr>
    </w:lvl>
    <w:lvl w:ilvl="4" w:tentative="0">
      <w:start w:val="0"/>
      <w:numFmt w:val="bullet"/>
      <w:lvlText w:val="•"/>
      <w:lvlJc w:val="left"/>
      <w:pPr>
        <w:ind w:left="4426" w:hanging="601"/>
      </w:pPr>
      <w:rPr>
        <w:rFonts w:hint="default"/>
      </w:rPr>
    </w:lvl>
    <w:lvl w:ilvl="5" w:tentative="0">
      <w:start w:val="0"/>
      <w:numFmt w:val="bullet"/>
      <w:lvlText w:val="•"/>
      <w:lvlJc w:val="left"/>
      <w:pPr>
        <w:ind w:left="5453" w:hanging="601"/>
      </w:pPr>
      <w:rPr>
        <w:rFonts w:hint="default"/>
      </w:rPr>
    </w:lvl>
    <w:lvl w:ilvl="6" w:tentative="0">
      <w:start w:val="0"/>
      <w:numFmt w:val="bullet"/>
      <w:lvlText w:val="•"/>
      <w:lvlJc w:val="left"/>
      <w:pPr>
        <w:ind w:left="6479" w:hanging="601"/>
      </w:pPr>
      <w:rPr>
        <w:rFonts w:hint="default"/>
      </w:rPr>
    </w:lvl>
    <w:lvl w:ilvl="7" w:tentative="0">
      <w:start w:val="0"/>
      <w:numFmt w:val="bullet"/>
      <w:lvlText w:val="•"/>
      <w:lvlJc w:val="left"/>
      <w:pPr>
        <w:ind w:left="7506" w:hanging="601"/>
      </w:pPr>
      <w:rPr>
        <w:rFonts w:hint="default"/>
      </w:rPr>
    </w:lvl>
    <w:lvl w:ilvl="8" w:tentative="0">
      <w:start w:val="0"/>
      <w:numFmt w:val="bullet"/>
      <w:lvlText w:val="•"/>
      <w:lvlJc w:val="left"/>
      <w:pPr>
        <w:ind w:left="8533" w:hanging="601"/>
      </w:pPr>
      <w:rPr>
        <w:rFonts w:hint="default"/>
      </w:rPr>
    </w:lvl>
  </w:abstractNum>
  <w:abstractNum w:abstractNumId="4">
    <w:nsid w:val="B4E02BC3"/>
    <w:multiLevelType w:val="multilevel"/>
    <w:tmpl w:val="B4E02BC3"/>
    <w:lvl w:ilvl="0" w:tentative="0">
      <w:start w:val="1"/>
      <w:numFmt w:val="decimal"/>
      <w:lvlText w:val="（%1）"/>
      <w:lvlJc w:val="left"/>
      <w:pPr>
        <w:ind w:left="1405" w:hanging="601"/>
      </w:pPr>
      <w:rPr>
        <w:rFonts w:hint="default" w:ascii="宋体" w:hAnsi="宋体" w:eastAsia="宋体" w:cs="宋体"/>
        <w:w w:val="100"/>
        <w:sz w:val="22"/>
        <w:szCs w:val="22"/>
      </w:rPr>
    </w:lvl>
    <w:lvl w:ilvl="1" w:tentative="0">
      <w:start w:val="0"/>
      <w:numFmt w:val="bullet"/>
      <w:lvlText w:val="•"/>
      <w:lvlJc w:val="left"/>
      <w:pPr>
        <w:ind w:left="2318" w:hanging="601"/>
      </w:pPr>
      <w:rPr>
        <w:rFonts w:hint="default"/>
      </w:rPr>
    </w:lvl>
    <w:lvl w:ilvl="2" w:tentative="0">
      <w:start w:val="0"/>
      <w:numFmt w:val="bullet"/>
      <w:lvlText w:val="•"/>
      <w:lvlJc w:val="left"/>
      <w:pPr>
        <w:ind w:left="3237" w:hanging="601"/>
      </w:pPr>
      <w:rPr>
        <w:rFonts w:hint="default"/>
      </w:rPr>
    </w:lvl>
    <w:lvl w:ilvl="3" w:tentative="0">
      <w:start w:val="0"/>
      <w:numFmt w:val="bullet"/>
      <w:lvlText w:val="•"/>
      <w:lvlJc w:val="left"/>
      <w:pPr>
        <w:ind w:left="4155" w:hanging="601"/>
      </w:pPr>
      <w:rPr>
        <w:rFonts w:hint="default"/>
      </w:rPr>
    </w:lvl>
    <w:lvl w:ilvl="4" w:tentative="0">
      <w:start w:val="0"/>
      <w:numFmt w:val="bullet"/>
      <w:lvlText w:val="•"/>
      <w:lvlJc w:val="left"/>
      <w:pPr>
        <w:ind w:left="5074" w:hanging="601"/>
      </w:pPr>
      <w:rPr>
        <w:rFonts w:hint="default"/>
      </w:rPr>
    </w:lvl>
    <w:lvl w:ilvl="5" w:tentative="0">
      <w:start w:val="0"/>
      <w:numFmt w:val="bullet"/>
      <w:lvlText w:val="•"/>
      <w:lvlJc w:val="left"/>
      <w:pPr>
        <w:ind w:left="5993" w:hanging="601"/>
      </w:pPr>
      <w:rPr>
        <w:rFonts w:hint="default"/>
      </w:rPr>
    </w:lvl>
    <w:lvl w:ilvl="6" w:tentative="0">
      <w:start w:val="0"/>
      <w:numFmt w:val="bullet"/>
      <w:lvlText w:val="•"/>
      <w:lvlJc w:val="left"/>
      <w:pPr>
        <w:ind w:left="6911" w:hanging="601"/>
      </w:pPr>
      <w:rPr>
        <w:rFonts w:hint="default"/>
      </w:rPr>
    </w:lvl>
    <w:lvl w:ilvl="7" w:tentative="0">
      <w:start w:val="0"/>
      <w:numFmt w:val="bullet"/>
      <w:lvlText w:val="•"/>
      <w:lvlJc w:val="left"/>
      <w:pPr>
        <w:ind w:left="7830" w:hanging="601"/>
      </w:pPr>
      <w:rPr>
        <w:rFonts w:hint="default"/>
      </w:rPr>
    </w:lvl>
    <w:lvl w:ilvl="8" w:tentative="0">
      <w:start w:val="0"/>
      <w:numFmt w:val="bullet"/>
      <w:lvlText w:val="•"/>
      <w:lvlJc w:val="left"/>
      <w:pPr>
        <w:ind w:left="8749" w:hanging="601"/>
      </w:pPr>
      <w:rPr>
        <w:rFonts w:hint="default"/>
      </w:rPr>
    </w:lvl>
  </w:abstractNum>
  <w:abstractNum w:abstractNumId="5">
    <w:nsid w:val="C0283A65"/>
    <w:multiLevelType w:val="multilevel"/>
    <w:tmpl w:val="C0283A65"/>
    <w:lvl w:ilvl="0" w:tentative="0">
      <w:start w:val="10"/>
      <w:numFmt w:val="decimal"/>
      <w:lvlText w:val="%1"/>
      <w:lvlJc w:val="left"/>
      <w:pPr>
        <w:ind w:left="1044" w:hanging="720"/>
      </w:pPr>
      <w:rPr>
        <w:rFonts w:hint="default" w:cs="Times New Roman"/>
      </w:rPr>
    </w:lvl>
    <w:lvl w:ilvl="1" w:tentative="0">
      <w:start w:val="1"/>
      <w:numFmt w:val="decimal"/>
      <w:lvlText w:val="%1.%2"/>
      <w:lvlJc w:val="left"/>
      <w:pPr>
        <w:ind w:left="1044" w:hanging="720"/>
      </w:pPr>
      <w:rPr>
        <w:rFonts w:hint="default" w:cs="Times New Roman"/>
      </w:rPr>
    </w:lvl>
    <w:lvl w:ilvl="2" w:tentative="0">
      <w:start w:val="1"/>
      <w:numFmt w:val="decimal"/>
      <w:lvlText w:val="%1.%2.%3"/>
      <w:lvlJc w:val="left"/>
      <w:pPr>
        <w:ind w:left="1044" w:hanging="720"/>
      </w:pPr>
      <w:rPr>
        <w:rFonts w:hint="default" w:ascii="Times New Roman" w:hAnsi="Times New Roman" w:eastAsia="Times New Roman" w:cs="Times New Roman"/>
        <w:spacing w:val="-1"/>
        <w:w w:val="100"/>
        <w:sz w:val="24"/>
        <w:szCs w:val="24"/>
      </w:rPr>
    </w:lvl>
    <w:lvl w:ilvl="3" w:tentative="0">
      <w:start w:val="0"/>
      <w:numFmt w:val="bullet"/>
      <w:lvlText w:val="•"/>
      <w:lvlJc w:val="left"/>
      <w:pPr>
        <w:ind w:left="3903" w:hanging="720"/>
      </w:pPr>
      <w:rPr>
        <w:rFonts w:hint="default"/>
      </w:rPr>
    </w:lvl>
    <w:lvl w:ilvl="4" w:tentative="0">
      <w:start w:val="0"/>
      <w:numFmt w:val="bullet"/>
      <w:lvlText w:val="•"/>
      <w:lvlJc w:val="left"/>
      <w:pPr>
        <w:ind w:left="4858" w:hanging="720"/>
      </w:pPr>
      <w:rPr>
        <w:rFonts w:hint="default"/>
      </w:rPr>
    </w:lvl>
    <w:lvl w:ilvl="5" w:tentative="0">
      <w:start w:val="0"/>
      <w:numFmt w:val="bullet"/>
      <w:lvlText w:val="•"/>
      <w:lvlJc w:val="left"/>
      <w:pPr>
        <w:ind w:left="5813" w:hanging="720"/>
      </w:pPr>
      <w:rPr>
        <w:rFonts w:hint="default"/>
      </w:rPr>
    </w:lvl>
    <w:lvl w:ilvl="6" w:tentative="0">
      <w:start w:val="0"/>
      <w:numFmt w:val="bullet"/>
      <w:lvlText w:val="•"/>
      <w:lvlJc w:val="left"/>
      <w:pPr>
        <w:ind w:left="6767" w:hanging="720"/>
      </w:pPr>
      <w:rPr>
        <w:rFonts w:hint="default"/>
      </w:rPr>
    </w:lvl>
    <w:lvl w:ilvl="7" w:tentative="0">
      <w:start w:val="0"/>
      <w:numFmt w:val="bullet"/>
      <w:lvlText w:val="•"/>
      <w:lvlJc w:val="left"/>
      <w:pPr>
        <w:ind w:left="7722" w:hanging="720"/>
      </w:pPr>
      <w:rPr>
        <w:rFonts w:hint="default"/>
      </w:rPr>
    </w:lvl>
    <w:lvl w:ilvl="8" w:tentative="0">
      <w:start w:val="0"/>
      <w:numFmt w:val="bullet"/>
      <w:lvlText w:val="•"/>
      <w:lvlJc w:val="left"/>
      <w:pPr>
        <w:ind w:left="8677" w:hanging="720"/>
      </w:pPr>
      <w:rPr>
        <w:rFonts w:hint="default"/>
      </w:rPr>
    </w:lvl>
  </w:abstractNum>
  <w:abstractNum w:abstractNumId="6">
    <w:nsid w:val="E420EC57"/>
    <w:multiLevelType w:val="singleLevel"/>
    <w:tmpl w:val="E420EC57"/>
    <w:lvl w:ilvl="0" w:tentative="0">
      <w:start w:val="1"/>
      <w:numFmt w:val="chineseCounting"/>
      <w:suff w:val="nothing"/>
      <w:lvlText w:val="%1、"/>
      <w:lvlJc w:val="left"/>
      <w:rPr>
        <w:rFonts w:hint="eastAsia" w:cs="Times New Roman"/>
      </w:rPr>
    </w:lvl>
  </w:abstractNum>
  <w:abstractNum w:abstractNumId="7">
    <w:nsid w:val="F066642F"/>
    <w:multiLevelType w:val="multilevel"/>
    <w:tmpl w:val="F066642F"/>
    <w:lvl w:ilvl="0" w:tentative="0">
      <w:start w:val="1"/>
      <w:numFmt w:val="decimal"/>
      <w:lvlText w:val="(%1)"/>
      <w:lvlJc w:val="left"/>
      <w:pPr>
        <w:ind w:left="326" w:hanging="420"/>
      </w:pPr>
      <w:rPr>
        <w:rFonts w:hint="default" w:ascii="宋体" w:hAnsi="宋体" w:eastAsia="宋体" w:cs="宋体"/>
        <w:w w:val="100"/>
        <w:sz w:val="24"/>
        <w:szCs w:val="24"/>
      </w:rPr>
    </w:lvl>
    <w:lvl w:ilvl="1" w:tentative="0">
      <w:start w:val="0"/>
      <w:numFmt w:val="bullet"/>
      <w:lvlText w:val="•"/>
      <w:lvlJc w:val="left"/>
      <w:pPr>
        <w:ind w:left="640" w:hanging="420"/>
      </w:pPr>
      <w:rPr>
        <w:rFonts w:hint="default"/>
      </w:rPr>
    </w:lvl>
    <w:lvl w:ilvl="2" w:tentative="0">
      <w:start w:val="0"/>
      <w:numFmt w:val="bullet"/>
      <w:lvlText w:val="•"/>
      <w:lvlJc w:val="left"/>
      <w:pPr>
        <w:ind w:left="1745" w:hanging="420"/>
      </w:pPr>
      <w:rPr>
        <w:rFonts w:hint="default"/>
      </w:rPr>
    </w:lvl>
    <w:lvl w:ilvl="3" w:tentative="0">
      <w:start w:val="0"/>
      <w:numFmt w:val="bullet"/>
      <w:lvlText w:val="•"/>
      <w:lvlJc w:val="left"/>
      <w:pPr>
        <w:ind w:left="2850" w:hanging="420"/>
      </w:pPr>
      <w:rPr>
        <w:rFonts w:hint="default"/>
      </w:rPr>
    </w:lvl>
    <w:lvl w:ilvl="4" w:tentative="0">
      <w:start w:val="0"/>
      <w:numFmt w:val="bullet"/>
      <w:lvlText w:val="•"/>
      <w:lvlJc w:val="left"/>
      <w:pPr>
        <w:ind w:left="3955" w:hanging="420"/>
      </w:pPr>
      <w:rPr>
        <w:rFonts w:hint="default"/>
      </w:rPr>
    </w:lvl>
    <w:lvl w:ilvl="5" w:tentative="0">
      <w:start w:val="0"/>
      <w:numFmt w:val="bullet"/>
      <w:lvlText w:val="•"/>
      <w:lvlJc w:val="left"/>
      <w:pPr>
        <w:ind w:left="5060" w:hanging="420"/>
      </w:pPr>
      <w:rPr>
        <w:rFonts w:hint="default"/>
      </w:rPr>
    </w:lvl>
    <w:lvl w:ilvl="6" w:tentative="0">
      <w:start w:val="0"/>
      <w:numFmt w:val="bullet"/>
      <w:lvlText w:val="•"/>
      <w:lvlJc w:val="left"/>
      <w:pPr>
        <w:ind w:left="6165" w:hanging="420"/>
      </w:pPr>
      <w:rPr>
        <w:rFonts w:hint="default"/>
      </w:rPr>
    </w:lvl>
    <w:lvl w:ilvl="7" w:tentative="0">
      <w:start w:val="0"/>
      <w:numFmt w:val="bullet"/>
      <w:lvlText w:val="•"/>
      <w:lvlJc w:val="left"/>
      <w:pPr>
        <w:ind w:left="7270" w:hanging="420"/>
      </w:pPr>
      <w:rPr>
        <w:rFonts w:hint="default"/>
      </w:rPr>
    </w:lvl>
    <w:lvl w:ilvl="8" w:tentative="0">
      <w:start w:val="0"/>
      <w:numFmt w:val="bullet"/>
      <w:lvlText w:val="•"/>
      <w:lvlJc w:val="left"/>
      <w:pPr>
        <w:ind w:left="8376" w:hanging="420"/>
      </w:pPr>
      <w:rPr>
        <w:rFonts w:hint="default"/>
      </w:rPr>
    </w:lvl>
  </w:abstractNum>
  <w:abstractNum w:abstractNumId="8">
    <w:nsid w:val="F2A81E1A"/>
    <w:multiLevelType w:val="multilevel"/>
    <w:tmpl w:val="F2A81E1A"/>
    <w:lvl w:ilvl="0" w:tentative="0">
      <w:start w:val="1"/>
      <w:numFmt w:val="decimal"/>
      <w:lvlText w:val="（%1）"/>
      <w:lvlJc w:val="left"/>
      <w:pPr>
        <w:ind w:left="1044" w:hanging="601"/>
      </w:pPr>
      <w:rPr>
        <w:rFonts w:hint="default" w:ascii="宋体" w:hAnsi="宋体" w:eastAsia="宋体" w:cs="宋体"/>
        <w:spacing w:val="-15"/>
        <w:w w:val="100"/>
        <w:sz w:val="22"/>
        <w:szCs w:val="22"/>
      </w:rPr>
    </w:lvl>
    <w:lvl w:ilvl="1" w:tentative="0">
      <w:start w:val="0"/>
      <w:numFmt w:val="bullet"/>
      <w:lvlText w:val="•"/>
      <w:lvlJc w:val="left"/>
      <w:pPr>
        <w:ind w:left="1994" w:hanging="601"/>
      </w:pPr>
      <w:rPr>
        <w:rFonts w:hint="default"/>
      </w:rPr>
    </w:lvl>
    <w:lvl w:ilvl="2" w:tentative="0">
      <w:start w:val="0"/>
      <w:numFmt w:val="bullet"/>
      <w:lvlText w:val="•"/>
      <w:lvlJc w:val="left"/>
      <w:pPr>
        <w:ind w:left="2949" w:hanging="601"/>
      </w:pPr>
      <w:rPr>
        <w:rFonts w:hint="default"/>
      </w:rPr>
    </w:lvl>
    <w:lvl w:ilvl="3" w:tentative="0">
      <w:start w:val="0"/>
      <w:numFmt w:val="bullet"/>
      <w:lvlText w:val="•"/>
      <w:lvlJc w:val="left"/>
      <w:pPr>
        <w:ind w:left="3903" w:hanging="601"/>
      </w:pPr>
      <w:rPr>
        <w:rFonts w:hint="default"/>
      </w:rPr>
    </w:lvl>
    <w:lvl w:ilvl="4" w:tentative="0">
      <w:start w:val="0"/>
      <w:numFmt w:val="bullet"/>
      <w:lvlText w:val="•"/>
      <w:lvlJc w:val="left"/>
      <w:pPr>
        <w:ind w:left="4858" w:hanging="601"/>
      </w:pPr>
      <w:rPr>
        <w:rFonts w:hint="default"/>
      </w:rPr>
    </w:lvl>
    <w:lvl w:ilvl="5" w:tentative="0">
      <w:start w:val="0"/>
      <w:numFmt w:val="bullet"/>
      <w:lvlText w:val="•"/>
      <w:lvlJc w:val="left"/>
      <w:pPr>
        <w:ind w:left="5813" w:hanging="601"/>
      </w:pPr>
      <w:rPr>
        <w:rFonts w:hint="default"/>
      </w:rPr>
    </w:lvl>
    <w:lvl w:ilvl="6" w:tentative="0">
      <w:start w:val="0"/>
      <w:numFmt w:val="bullet"/>
      <w:lvlText w:val="•"/>
      <w:lvlJc w:val="left"/>
      <w:pPr>
        <w:ind w:left="6767" w:hanging="601"/>
      </w:pPr>
      <w:rPr>
        <w:rFonts w:hint="default"/>
      </w:rPr>
    </w:lvl>
    <w:lvl w:ilvl="7" w:tentative="0">
      <w:start w:val="0"/>
      <w:numFmt w:val="bullet"/>
      <w:lvlText w:val="•"/>
      <w:lvlJc w:val="left"/>
      <w:pPr>
        <w:ind w:left="7722" w:hanging="601"/>
      </w:pPr>
      <w:rPr>
        <w:rFonts w:hint="default"/>
      </w:rPr>
    </w:lvl>
    <w:lvl w:ilvl="8" w:tentative="0">
      <w:start w:val="0"/>
      <w:numFmt w:val="bullet"/>
      <w:lvlText w:val="•"/>
      <w:lvlJc w:val="left"/>
      <w:pPr>
        <w:ind w:left="8677" w:hanging="601"/>
      </w:pPr>
      <w:rPr>
        <w:rFonts w:hint="default"/>
      </w:rPr>
    </w:lvl>
  </w:abstractNum>
  <w:abstractNum w:abstractNumId="9">
    <w:nsid w:val="F9718D3C"/>
    <w:multiLevelType w:val="multilevel"/>
    <w:tmpl w:val="F9718D3C"/>
    <w:lvl w:ilvl="0" w:tentative="0">
      <w:start w:val="6"/>
      <w:numFmt w:val="decimal"/>
      <w:lvlText w:val="%1"/>
      <w:lvlJc w:val="left"/>
      <w:pPr>
        <w:ind w:left="1170" w:hanging="364"/>
      </w:pPr>
      <w:rPr>
        <w:rFonts w:hint="default" w:cs="Times New Roman"/>
      </w:rPr>
    </w:lvl>
    <w:lvl w:ilvl="1" w:tentative="0">
      <w:start w:val="9"/>
      <w:numFmt w:val="decimal"/>
      <w:lvlText w:val="%1.%2"/>
      <w:lvlJc w:val="left"/>
      <w:pPr>
        <w:ind w:left="1170" w:hanging="364"/>
      </w:pPr>
      <w:rPr>
        <w:rFonts w:hint="default" w:ascii="微软雅黑" w:hAnsi="微软雅黑" w:eastAsia="微软雅黑" w:cs="微软雅黑"/>
        <w:b/>
        <w:bCs/>
        <w:spacing w:val="0"/>
        <w:w w:val="81"/>
        <w:sz w:val="22"/>
        <w:szCs w:val="22"/>
      </w:rPr>
    </w:lvl>
    <w:lvl w:ilvl="2" w:tentative="0">
      <w:start w:val="1"/>
      <w:numFmt w:val="decimal"/>
      <w:lvlText w:val="%1.%2.%3"/>
      <w:lvlJc w:val="left"/>
      <w:pPr>
        <w:ind w:left="324" w:hanging="601"/>
      </w:pPr>
      <w:rPr>
        <w:rFonts w:hint="default" w:ascii="宋体" w:hAnsi="宋体" w:eastAsia="宋体" w:cs="宋体"/>
        <w:w w:val="100"/>
        <w:sz w:val="22"/>
        <w:szCs w:val="22"/>
      </w:rPr>
    </w:lvl>
    <w:lvl w:ilvl="3" w:tentative="0">
      <w:start w:val="1"/>
      <w:numFmt w:val="decimal"/>
      <w:lvlText w:val="%1.%2.%3.%4"/>
      <w:lvlJc w:val="left"/>
      <w:pPr>
        <w:ind w:left="1944" w:hanging="1140"/>
      </w:pPr>
      <w:rPr>
        <w:rFonts w:hint="default" w:ascii="宋体" w:hAnsi="宋体" w:eastAsia="宋体" w:cs="宋体"/>
        <w:w w:val="100"/>
        <w:sz w:val="24"/>
        <w:szCs w:val="24"/>
      </w:rPr>
    </w:lvl>
    <w:lvl w:ilvl="4" w:tentative="0">
      <w:start w:val="0"/>
      <w:numFmt w:val="bullet"/>
      <w:lvlText w:val="•"/>
      <w:lvlJc w:val="left"/>
      <w:pPr>
        <w:ind w:left="4101" w:hanging="1140"/>
      </w:pPr>
      <w:rPr>
        <w:rFonts w:hint="default"/>
      </w:rPr>
    </w:lvl>
    <w:lvl w:ilvl="5" w:tentative="0">
      <w:start w:val="0"/>
      <w:numFmt w:val="bullet"/>
      <w:lvlText w:val="•"/>
      <w:lvlJc w:val="left"/>
      <w:pPr>
        <w:ind w:left="5182" w:hanging="1140"/>
      </w:pPr>
      <w:rPr>
        <w:rFonts w:hint="default"/>
      </w:rPr>
    </w:lvl>
    <w:lvl w:ilvl="6" w:tentative="0">
      <w:start w:val="0"/>
      <w:numFmt w:val="bullet"/>
      <w:lvlText w:val="•"/>
      <w:lvlJc w:val="left"/>
      <w:pPr>
        <w:ind w:left="6263" w:hanging="1140"/>
      </w:pPr>
      <w:rPr>
        <w:rFonts w:hint="default"/>
      </w:rPr>
    </w:lvl>
    <w:lvl w:ilvl="7" w:tentative="0">
      <w:start w:val="0"/>
      <w:numFmt w:val="bullet"/>
      <w:lvlText w:val="•"/>
      <w:lvlJc w:val="left"/>
      <w:pPr>
        <w:ind w:left="7344" w:hanging="1140"/>
      </w:pPr>
      <w:rPr>
        <w:rFonts w:hint="default"/>
      </w:rPr>
    </w:lvl>
    <w:lvl w:ilvl="8" w:tentative="0">
      <w:start w:val="0"/>
      <w:numFmt w:val="bullet"/>
      <w:lvlText w:val="•"/>
      <w:lvlJc w:val="left"/>
      <w:pPr>
        <w:ind w:left="8424" w:hanging="1140"/>
      </w:pPr>
      <w:rPr>
        <w:rFonts w:hint="default"/>
      </w:rPr>
    </w:lvl>
  </w:abstractNum>
  <w:abstractNum w:abstractNumId="10">
    <w:nsid w:val="07F5BCC3"/>
    <w:multiLevelType w:val="multilevel"/>
    <w:tmpl w:val="07F5BCC3"/>
    <w:lvl w:ilvl="0" w:tentative="0">
      <w:start w:val="1"/>
      <w:numFmt w:val="decimal"/>
      <w:lvlText w:val="%1"/>
      <w:lvlJc w:val="left"/>
      <w:pPr>
        <w:ind w:left="925" w:hanging="601"/>
      </w:pPr>
      <w:rPr>
        <w:rFonts w:hint="default" w:cs="Times New Roman"/>
      </w:rPr>
    </w:lvl>
    <w:lvl w:ilvl="1" w:tentative="0">
      <w:start w:val="2"/>
      <w:numFmt w:val="decimal"/>
      <w:lvlText w:val="%1.%2"/>
      <w:lvlJc w:val="left"/>
      <w:pPr>
        <w:ind w:left="925" w:hanging="601"/>
      </w:pPr>
      <w:rPr>
        <w:rFonts w:hint="default" w:cs="Times New Roman"/>
      </w:rPr>
    </w:lvl>
    <w:lvl w:ilvl="2" w:tentative="0">
      <w:start w:val="3"/>
      <w:numFmt w:val="decimal"/>
      <w:lvlText w:val="%1.%2.%3"/>
      <w:lvlJc w:val="left"/>
      <w:pPr>
        <w:ind w:left="925" w:hanging="601"/>
      </w:pPr>
      <w:rPr>
        <w:rFonts w:hint="default" w:ascii="宋体" w:hAnsi="宋体" w:eastAsia="宋体" w:cs="宋体"/>
        <w:w w:val="100"/>
        <w:sz w:val="22"/>
        <w:szCs w:val="22"/>
      </w:rPr>
    </w:lvl>
    <w:lvl w:ilvl="3" w:tentative="0">
      <w:start w:val="0"/>
      <w:numFmt w:val="bullet"/>
      <w:lvlText w:val="•"/>
      <w:lvlJc w:val="left"/>
      <w:pPr>
        <w:ind w:left="3819" w:hanging="601"/>
      </w:pPr>
      <w:rPr>
        <w:rFonts w:hint="default"/>
      </w:rPr>
    </w:lvl>
    <w:lvl w:ilvl="4" w:tentative="0">
      <w:start w:val="0"/>
      <w:numFmt w:val="bullet"/>
      <w:lvlText w:val="•"/>
      <w:lvlJc w:val="left"/>
      <w:pPr>
        <w:ind w:left="4786" w:hanging="601"/>
      </w:pPr>
      <w:rPr>
        <w:rFonts w:hint="default"/>
      </w:rPr>
    </w:lvl>
    <w:lvl w:ilvl="5" w:tentative="0">
      <w:start w:val="0"/>
      <w:numFmt w:val="bullet"/>
      <w:lvlText w:val="•"/>
      <w:lvlJc w:val="left"/>
      <w:pPr>
        <w:ind w:left="5753" w:hanging="601"/>
      </w:pPr>
      <w:rPr>
        <w:rFonts w:hint="default"/>
      </w:rPr>
    </w:lvl>
    <w:lvl w:ilvl="6" w:tentative="0">
      <w:start w:val="0"/>
      <w:numFmt w:val="bullet"/>
      <w:lvlText w:val="•"/>
      <w:lvlJc w:val="left"/>
      <w:pPr>
        <w:ind w:left="6719" w:hanging="601"/>
      </w:pPr>
      <w:rPr>
        <w:rFonts w:hint="default"/>
      </w:rPr>
    </w:lvl>
    <w:lvl w:ilvl="7" w:tentative="0">
      <w:start w:val="0"/>
      <w:numFmt w:val="bullet"/>
      <w:lvlText w:val="•"/>
      <w:lvlJc w:val="left"/>
      <w:pPr>
        <w:ind w:left="7686" w:hanging="601"/>
      </w:pPr>
      <w:rPr>
        <w:rFonts w:hint="default"/>
      </w:rPr>
    </w:lvl>
    <w:lvl w:ilvl="8" w:tentative="0">
      <w:start w:val="0"/>
      <w:numFmt w:val="bullet"/>
      <w:lvlText w:val="•"/>
      <w:lvlJc w:val="left"/>
      <w:pPr>
        <w:ind w:left="8653" w:hanging="601"/>
      </w:pPr>
      <w:rPr>
        <w:rFonts w:hint="default"/>
      </w:rPr>
    </w:lvl>
  </w:abstractNum>
  <w:abstractNum w:abstractNumId="11">
    <w:nsid w:val="1483906D"/>
    <w:multiLevelType w:val="multilevel"/>
    <w:tmpl w:val="1483906D"/>
    <w:lvl w:ilvl="0" w:tentative="0">
      <w:start w:val="6"/>
      <w:numFmt w:val="decimal"/>
      <w:lvlText w:val="%1"/>
      <w:lvlJc w:val="left"/>
      <w:pPr>
        <w:ind w:left="324" w:hanging="601"/>
      </w:pPr>
      <w:rPr>
        <w:rFonts w:hint="default" w:cs="Times New Roman"/>
      </w:rPr>
    </w:lvl>
    <w:lvl w:ilvl="1" w:tentative="0">
      <w:start w:val="8"/>
      <w:numFmt w:val="decimal"/>
      <w:lvlText w:val="%1.%2"/>
      <w:lvlJc w:val="left"/>
      <w:pPr>
        <w:ind w:left="324" w:hanging="601"/>
      </w:pPr>
      <w:rPr>
        <w:rFonts w:hint="default" w:cs="Times New Roman"/>
      </w:rPr>
    </w:lvl>
    <w:lvl w:ilvl="2" w:tentative="0">
      <w:start w:val="1"/>
      <w:numFmt w:val="decimal"/>
      <w:lvlText w:val="%1.%2.%3"/>
      <w:lvlJc w:val="left"/>
      <w:pPr>
        <w:ind w:left="324" w:hanging="601"/>
      </w:pPr>
      <w:rPr>
        <w:rFonts w:hint="default" w:ascii="宋体" w:hAnsi="宋体" w:eastAsia="宋体" w:cs="宋体"/>
        <w:w w:val="100"/>
        <w:sz w:val="22"/>
        <w:szCs w:val="22"/>
      </w:rPr>
    </w:lvl>
    <w:lvl w:ilvl="3" w:tentative="0">
      <w:start w:val="0"/>
      <w:numFmt w:val="bullet"/>
      <w:lvlText w:val="•"/>
      <w:lvlJc w:val="left"/>
      <w:pPr>
        <w:ind w:left="3399" w:hanging="601"/>
      </w:pPr>
      <w:rPr>
        <w:rFonts w:hint="default"/>
      </w:rPr>
    </w:lvl>
    <w:lvl w:ilvl="4" w:tentative="0">
      <w:start w:val="0"/>
      <w:numFmt w:val="bullet"/>
      <w:lvlText w:val="•"/>
      <w:lvlJc w:val="left"/>
      <w:pPr>
        <w:ind w:left="4426" w:hanging="601"/>
      </w:pPr>
      <w:rPr>
        <w:rFonts w:hint="default"/>
      </w:rPr>
    </w:lvl>
    <w:lvl w:ilvl="5" w:tentative="0">
      <w:start w:val="0"/>
      <w:numFmt w:val="bullet"/>
      <w:lvlText w:val="•"/>
      <w:lvlJc w:val="left"/>
      <w:pPr>
        <w:ind w:left="5453" w:hanging="601"/>
      </w:pPr>
      <w:rPr>
        <w:rFonts w:hint="default"/>
      </w:rPr>
    </w:lvl>
    <w:lvl w:ilvl="6" w:tentative="0">
      <w:start w:val="0"/>
      <w:numFmt w:val="bullet"/>
      <w:lvlText w:val="•"/>
      <w:lvlJc w:val="left"/>
      <w:pPr>
        <w:ind w:left="6479" w:hanging="601"/>
      </w:pPr>
      <w:rPr>
        <w:rFonts w:hint="default"/>
      </w:rPr>
    </w:lvl>
    <w:lvl w:ilvl="7" w:tentative="0">
      <w:start w:val="0"/>
      <w:numFmt w:val="bullet"/>
      <w:lvlText w:val="•"/>
      <w:lvlJc w:val="left"/>
      <w:pPr>
        <w:ind w:left="7506" w:hanging="601"/>
      </w:pPr>
      <w:rPr>
        <w:rFonts w:hint="default"/>
      </w:rPr>
    </w:lvl>
    <w:lvl w:ilvl="8" w:tentative="0">
      <w:start w:val="0"/>
      <w:numFmt w:val="bullet"/>
      <w:lvlText w:val="•"/>
      <w:lvlJc w:val="left"/>
      <w:pPr>
        <w:ind w:left="8533" w:hanging="601"/>
      </w:pPr>
      <w:rPr>
        <w:rFonts w:hint="default"/>
      </w:rPr>
    </w:lvl>
  </w:abstractNum>
  <w:abstractNum w:abstractNumId="12">
    <w:nsid w:val="274D3D9B"/>
    <w:multiLevelType w:val="multilevel"/>
    <w:tmpl w:val="274D3D9B"/>
    <w:lvl w:ilvl="0" w:tentative="0">
      <w:start w:val="1"/>
      <w:numFmt w:val="decimal"/>
      <w:lvlText w:val="%1"/>
      <w:lvlJc w:val="left"/>
      <w:pPr>
        <w:ind w:left="685" w:hanging="361"/>
      </w:pPr>
      <w:rPr>
        <w:rFonts w:hint="default" w:cs="Times New Roman"/>
      </w:rPr>
    </w:lvl>
    <w:lvl w:ilvl="1" w:tentative="0">
      <w:start w:val="1"/>
      <w:numFmt w:val="decimal"/>
      <w:lvlText w:val="%1.%2"/>
      <w:lvlJc w:val="left"/>
      <w:pPr>
        <w:ind w:left="685" w:hanging="361"/>
      </w:pPr>
      <w:rPr>
        <w:rFonts w:hint="default" w:ascii="宋体" w:hAnsi="宋体" w:eastAsia="宋体" w:cs="宋体"/>
        <w:spacing w:val="-1"/>
        <w:w w:val="100"/>
        <w:sz w:val="22"/>
        <w:szCs w:val="22"/>
      </w:rPr>
    </w:lvl>
    <w:lvl w:ilvl="2" w:tentative="0">
      <w:start w:val="0"/>
      <w:numFmt w:val="bullet"/>
      <w:lvlText w:val="•"/>
      <w:lvlJc w:val="left"/>
      <w:pPr>
        <w:ind w:left="2661" w:hanging="361"/>
      </w:pPr>
      <w:rPr>
        <w:rFonts w:hint="default"/>
      </w:rPr>
    </w:lvl>
    <w:lvl w:ilvl="3" w:tentative="0">
      <w:start w:val="0"/>
      <w:numFmt w:val="bullet"/>
      <w:lvlText w:val="•"/>
      <w:lvlJc w:val="left"/>
      <w:pPr>
        <w:ind w:left="3651" w:hanging="361"/>
      </w:pPr>
      <w:rPr>
        <w:rFonts w:hint="default"/>
      </w:rPr>
    </w:lvl>
    <w:lvl w:ilvl="4" w:tentative="0">
      <w:start w:val="0"/>
      <w:numFmt w:val="bullet"/>
      <w:lvlText w:val="•"/>
      <w:lvlJc w:val="left"/>
      <w:pPr>
        <w:ind w:left="4642" w:hanging="361"/>
      </w:pPr>
      <w:rPr>
        <w:rFonts w:hint="default"/>
      </w:rPr>
    </w:lvl>
    <w:lvl w:ilvl="5" w:tentative="0">
      <w:start w:val="0"/>
      <w:numFmt w:val="bullet"/>
      <w:lvlText w:val="•"/>
      <w:lvlJc w:val="left"/>
      <w:pPr>
        <w:ind w:left="5633" w:hanging="361"/>
      </w:pPr>
      <w:rPr>
        <w:rFonts w:hint="default"/>
      </w:rPr>
    </w:lvl>
    <w:lvl w:ilvl="6" w:tentative="0">
      <w:start w:val="0"/>
      <w:numFmt w:val="bullet"/>
      <w:lvlText w:val="•"/>
      <w:lvlJc w:val="left"/>
      <w:pPr>
        <w:ind w:left="6623" w:hanging="361"/>
      </w:pPr>
      <w:rPr>
        <w:rFonts w:hint="default"/>
      </w:rPr>
    </w:lvl>
    <w:lvl w:ilvl="7" w:tentative="0">
      <w:start w:val="0"/>
      <w:numFmt w:val="bullet"/>
      <w:lvlText w:val="•"/>
      <w:lvlJc w:val="left"/>
      <w:pPr>
        <w:ind w:left="7614" w:hanging="361"/>
      </w:pPr>
      <w:rPr>
        <w:rFonts w:hint="default"/>
      </w:rPr>
    </w:lvl>
    <w:lvl w:ilvl="8" w:tentative="0">
      <w:start w:val="0"/>
      <w:numFmt w:val="bullet"/>
      <w:lvlText w:val="•"/>
      <w:lvlJc w:val="left"/>
      <w:pPr>
        <w:ind w:left="8605" w:hanging="361"/>
      </w:pPr>
      <w:rPr>
        <w:rFonts w:hint="default"/>
      </w:rPr>
    </w:lvl>
  </w:abstractNum>
  <w:abstractNum w:abstractNumId="13">
    <w:nsid w:val="3AA800C6"/>
    <w:multiLevelType w:val="multilevel"/>
    <w:tmpl w:val="3AA800C6"/>
    <w:lvl w:ilvl="0" w:tentative="0">
      <w:start w:val="1"/>
      <w:numFmt w:val="decimal"/>
      <w:pStyle w:val="64"/>
      <w:lvlText w:val="第%1条"/>
      <w:lvlJc w:val="left"/>
      <w:rPr>
        <w:rFonts w:cs="Times New Roman"/>
      </w:rPr>
    </w:lvl>
    <w:lvl w:ilvl="1" w:tentative="0">
      <w:start w:val="1"/>
      <w:numFmt w:val="decimal"/>
      <w:lvlText w:val="%1.%2"/>
      <w:lvlJc w:val="left"/>
      <w:rPr>
        <w:rFonts w:cs="Times New Roman"/>
      </w:rPr>
    </w:lvl>
    <w:lvl w:ilvl="2" w:tentative="0">
      <w:start w:val="1"/>
      <w:numFmt w:val="decimal"/>
      <w:lvlText w:val="%1.%2.%3"/>
      <w:lvlJc w:val="left"/>
      <w:rPr>
        <w:rFonts w:hint="eastAsia" w:ascii="仿宋_GB2312" w:eastAsia="仿宋_GB2312" w:cs="Times New Roman"/>
      </w:rPr>
    </w:lvl>
    <w:lvl w:ilvl="3" w:tentative="0">
      <w:start w:val="1"/>
      <w:numFmt w:val="decimal"/>
      <w:lvlText w:val="%1.%2.%3.%4"/>
      <w:lvlJc w:val="left"/>
      <w:rPr>
        <w:rFonts w:cs="Times New Roman"/>
      </w:rPr>
    </w:lvl>
    <w:lvl w:ilvl="4" w:tentative="0">
      <w:start w:val="1"/>
      <w:numFmt w:val="decimal"/>
      <w:lvlText w:val="%1.%2.%3.%4.%5"/>
      <w:lvlJc w:val="left"/>
      <w:rPr>
        <w:rFonts w:cs="Times New Roman"/>
      </w:rPr>
    </w:lvl>
    <w:lvl w:ilvl="5" w:tentative="0">
      <w:start w:val="1"/>
      <w:numFmt w:val="decimal"/>
      <w:lvlText w:val="%1.%2.%3.%4.%5.%6"/>
      <w:lvlJc w:val="left"/>
      <w:rPr>
        <w:rFonts w:cs="Times New Roman"/>
      </w:rPr>
    </w:lvl>
    <w:lvl w:ilvl="6" w:tentative="0">
      <w:start w:val="1"/>
      <w:numFmt w:val="decimal"/>
      <w:lvlText w:val="%1.%2.%3.%4.%5.%6.%7"/>
      <w:lvlJc w:val="left"/>
      <w:rPr>
        <w:rFonts w:cs="Times New Roman"/>
      </w:rPr>
    </w:lvl>
    <w:lvl w:ilvl="7" w:tentative="0">
      <w:start w:val="1"/>
      <w:numFmt w:val="decimal"/>
      <w:lvlText w:val="%1.%2.%3.%4.%5.%6.%7.%8"/>
      <w:lvlJc w:val="left"/>
      <w:rPr>
        <w:rFonts w:cs="Times New Roman"/>
      </w:rPr>
    </w:lvl>
    <w:lvl w:ilvl="8" w:tentative="0">
      <w:start w:val="1"/>
      <w:numFmt w:val="decimal"/>
      <w:lvlText w:val="%1.%2.%3.%4.%5.%6.%7.%8.%9"/>
      <w:lvlJc w:val="left"/>
      <w:rPr>
        <w:rFonts w:cs="Times New Roman"/>
      </w:rPr>
    </w:lvl>
  </w:abstractNum>
  <w:abstractNum w:abstractNumId="14">
    <w:nsid w:val="408860E8"/>
    <w:multiLevelType w:val="multilevel"/>
    <w:tmpl w:val="408860E8"/>
    <w:lvl w:ilvl="0" w:tentative="0">
      <w:start w:val="16"/>
      <w:numFmt w:val="decimal"/>
      <w:lvlText w:val="%1"/>
      <w:lvlJc w:val="left"/>
      <w:pPr>
        <w:ind w:left="1292" w:hanging="486"/>
      </w:pPr>
      <w:rPr>
        <w:rFonts w:hint="default" w:cs="Times New Roman"/>
      </w:rPr>
    </w:lvl>
    <w:lvl w:ilvl="1" w:tentative="0">
      <w:start w:val="3"/>
      <w:numFmt w:val="decimal"/>
      <w:lvlText w:val="%1.%2"/>
      <w:lvlJc w:val="left"/>
      <w:pPr>
        <w:ind w:left="1292" w:hanging="486"/>
      </w:pPr>
      <w:rPr>
        <w:rFonts w:hint="default" w:ascii="微软雅黑" w:hAnsi="微软雅黑" w:eastAsia="微软雅黑" w:cs="微软雅黑"/>
        <w:b/>
        <w:bCs/>
        <w:spacing w:val="0"/>
        <w:w w:val="81"/>
        <w:sz w:val="22"/>
        <w:szCs w:val="22"/>
      </w:rPr>
    </w:lvl>
    <w:lvl w:ilvl="2" w:tentative="0">
      <w:start w:val="1"/>
      <w:numFmt w:val="decimal"/>
      <w:lvlText w:val="%1.%2.%3"/>
      <w:lvlJc w:val="left"/>
      <w:pPr>
        <w:ind w:left="324" w:hanging="721"/>
      </w:pPr>
      <w:rPr>
        <w:rFonts w:hint="default" w:ascii="宋体" w:hAnsi="宋体" w:eastAsia="宋体" w:cs="宋体"/>
        <w:w w:val="100"/>
        <w:sz w:val="22"/>
        <w:szCs w:val="22"/>
      </w:rPr>
    </w:lvl>
    <w:lvl w:ilvl="3" w:tentative="0">
      <w:start w:val="0"/>
      <w:numFmt w:val="bullet"/>
      <w:lvlText w:val="•"/>
      <w:lvlJc w:val="left"/>
      <w:pPr>
        <w:ind w:left="3363" w:hanging="721"/>
      </w:pPr>
      <w:rPr>
        <w:rFonts w:hint="default"/>
      </w:rPr>
    </w:lvl>
    <w:lvl w:ilvl="4" w:tentative="0">
      <w:start w:val="0"/>
      <w:numFmt w:val="bullet"/>
      <w:lvlText w:val="•"/>
      <w:lvlJc w:val="left"/>
      <w:pPr>
        <w:ind w:left="4395" w:hanging="721"/>
      </w:pPr>
      <w:rPr>
        <w:rFonts w:hint="default"/>
      </w:rPr>
    </w:lvl>
    <w:lvl w:ilvl="5" w:tentative="0">
      <w:start w:val="0"/>
      <w:numFmt w:val="bullet"/>
      <w:lvlText w:val="•"/>
      <w:lvlJc w:val="left"/>
      <w:pPr>
        <w:ind w:left="5427" w:hanging="721"/>
      </w:pPr>
      <w:rPr>
        <w:rFonts w:hint="default"/>
      </w:rPr>
    </w:lvl>
    <w:lvl w:ilvl="6" w:tentative="0">
      <w:start w:val="0"/>
      <w:numFmt w:val="bullet"/>
      <w:lvlText w:val="•"/>
      <w:lvlJc w:val="left"/>
      <w:pPr>
        <w:ind w:left="6459" w:hanging="721"/>
      </w:pPr>
      <w:rPr>
        <w:rFonts w:hint="default"/>
      </w:rPr>
    </w:lvl>
    <w:lvl w:ilvl="7" w:tentative="0">
      <w:start w:val="0"/>
      <w:numFmt w:val="bullet"/>
      <w:lvlText w:val="•"/>
      <w:lvlJc w:val="left"/>
      <w:pPr>
        <w:ind w:left="7490" w:hanging="721"/>
      </w:pPr>
      <w:rPr>
        <w:rFonts w:hint="default"/>
      </w:rPr>
    </w:lvl>
    <w:lvl w:ilvl="8" w:tentative="0">
      <w:start w:val="0"/>
      <w:numFmt w:val="bullet"/>
      <w:lvlText w:val="•"/>
      <w:lvlJc w:val="left"/>
      <w:pPr>
        <w:ind w:left="8522" w:hanging="721"/>
      </w:pPr>
      <w:rPr>
        <w:rFonts w:hint="default"/>
      </w:rPr>
    </w:lvl>
  </w:abstractNum>
  <w:abstractNum w:abstractNumId="15">
    <w:nsid w:val="4AD1D84F"/>
    <w:multiLevelType w:val="multilevel"/>
    <w:tmpl w:val="4AD1D84F"/>
    <w:lvl w:ilvl="0" w:tentative="0">
      <w:start w:val="6"/>
      <w:numFmt w:val="decimal"/>
      <w:lvlText w:val="%1"/>
      <w:lvlJc w:val="left"/>
      <w:pPr>
        <w:ind w:left="1405" w:hanging="601"/>
      </w:pPr>
      <w:rPr>
        <w:rFonts w:hint="default" w:cs="Times New Roman"/>
      </w:rPr>
    </w:lvl>
    <w:lvl w:ilvl="1" w:tentative="0">
      <w:start w:val="4"/>
      <w:numFmt w:val="decimal"/>
      <w:lvlText w:val="%1.%2"/>
      <w:lvlJc w:val="left"/>
      <w:pPr>
        <w:ind w:left="1405" w:hanging="601"/>
      </w:pPr>
      <w:rPr>
        <w:rFonts w:hint="default" w:cs="Times New Roman"/>
      </w:rPr>
    </w:lvl>
    <w:lvl w:ilvl="2" w:tentative="0">
      <w:start w:val="1"/>
      <w:numFmt w:val="decimal"/>
      <w:lvlText w:val="%1.%2.%3"/>
      <w:lvlJc w:val="left"/>
      <w:pPr>
        <w:ind w:left="1405" w:hanging="601"/>
      </w:pPr>
      <w:rPr>
        <w:rFonts w:hint="default" w:ascii="宋体" w:hAnsi="宋体" w:eastAsia="宋体" w:cs="宋体"/>
        <w:w w:val="100"/>
        <w:sz w:val="22"/>
        <w:szCs w:val="22"/>
      </w:rPr>
    </w:lvl>
    <w:lvl w:ilvl="3" w:tentative="0">
      <w:start w:val="0"/>
      <w:numFmt w:val="bullet"/>
      <w:lvlText w:val="•"/>
      <w:lvlJc w:val="left"/>
      <w:pPr>
        <w:ind w:left="4155" w:hanging="601"/>
      </w:pPr>
      <w:rPr>
        <w:rFonts w:hint="default"/>
      </w:rPr>
    </w:lvl>
    <w:lvl w:ilvl="4" w:tentative="0">
      <w:start w:val="0"/>
      <w:numFmt w:val="bullet"/>
      <w:lvlText w:val="•"/>
      <w:lvlJc w:val="left"/>
      <w:pPr>
        <w:ind w:left="5074" w:hanging="601"/>
      </w:pPr>
      <w:rPr>
        <w:rFonts w:hint="default"/>
      </w:rPr>
    </w:lvl>
    <w:lvl w:ilvl="5" w:tentative="0">
      <w:start w:val="0"/>
      <w:numFmt w:val="bullet"/>
      <w:lvlText w:val="•"/>
      <w:lvlJc w:val="left"/>
      <w:pPr>
        <w:ind w:left="5993" w:hanging="601"/>
      </w:pPr>
      <w:rPr>
        <w:rFonts w:hint="default"/>
      </w:rPr>
    </w:lvl>
    <w:lvl w:ilvl="6" w:tentative="0">
      <w:start w:val="0"/>
      <w:numFmt w:val="bullet"/>
      <w:lvlText w:val="•"/>
      <w:lvlJc w:val="left"/>
      <w:pPr>
        <w:ind w:left="6911" w:hanging="601"/>
      </w:pPr>
      <w:rPr>
        <w:rFonts w:hint="default"/>
      </w:rPr>
    </w:lvl>
    <w:lvl w:ilvl="7" w:tentative="0">
      <w:start w:val="0"/>
      <w:numFmt w:val="bullet"/>
      <w:lvlText w:val="•"/>
      <w:lvlJc w:val="left"/>
      <w:pPr>
        <w:ind w:left="7830" w:hanging="601"/>
      </w:pPr>
      <w:rPr>
        <w:rFonts w:hint="default"/>
      </w:rPr>
    </w:lvl>
    <w:lvl w:ilvl="8" w:tentative="0">
      <w:start w:val="0"/>
      <w:numFmt w:val="bullet"/>
      <w:lvlText w:val="•"/>
      <w:lvlJc w:val="left"/>
      <w:pPr>
        <w:ind w:left="8749" w:hanging="601"/>
      </w:pPr>
      <w:rPr>
        <w:rFonts w:hint="default"/>
      </w:rPr>
    </w:lvl>
  </w:abstractNum>
  <w:abstractNum w:abstractNumId="16">
    <w:nsid w:val="4FA7FC34"/>
    <w:multiLevelType w:val="multilevel"/>
    <w:tmpl w:val="4FA7FC34"/>
    <w:lvl w:ilvl="0" w:tentative="0">
      <w:start w:val="16"/>
      <w:numFmt w:val="decimal"/>
      <w:lvlText w:val="%1"/>
      <w:lvlJc w:val="left"/>
      <w:pPr>
        <w:ind w:left="1525" w:hanging="721"/>
      </w:pPr>
      <w:rPr>
        <w:rFonts w:hint="default" w:cs="Times New Roman"/>
      </w:rPr>
    </w:lvl>
    <w:lvl w:ilvl="1" w:tentative="0">
      <w:start w:val="2"/>
      <w:numFmt w:val="decimal"/>
      <w:lvlText w:val="%1.%2"/>
      <w:lvlJc w:val="left"/>
      <w:pPr>
        <w:ind w:left="1525" w:hanging="721"/>
      </w:pPr>
      <w:rPr>
        <w:rFonts w:hint="default" w:cs="Times New Roman"/>
      </w:rPr>
    </w:lvl>
    <w:lvl w:ilvl="2" w:tentative="0">
      <w:start w:val="1"/>
      <w:numFmt w:val="decimal"/>
      <w:lvlText w:val="%1.%2.%3"/>
      <w:lvlJc w:val="left"/>
      <w:pPr>
        <w:ind w:left="1525" w:hanging="721"/>
      </w:pPr>
      <w:rPr>
        <w:rFonts w:hint="default" w:ascii="宋体" w:hAnsi="宋体" w:eastAsia="宋体" w:cs="宋体"/>
        <w:w w:val="100"/>
        <w:sz w:val="22"/>
        <w:szCs w:val="22"/>
      </w:rPr>
    </w:lvl>
    <w:lvl w:ilvl="3" w:tentative="0">
      <w:start w:val="0"/>
      <w:numFmt w:val="bullet"/>
      <w:lvlText w:val="•"/>
      <w:lvlJc w:val="left"/>
      <w:pPr>
        <w:ind w:left="4239" w:hanging="721"/>
      </w:pPr>
      <w:rPr>
        <w:rFonts w:hint="default"/>
      </w:rPr>
    </w:lvl>
    <w:lvl w:ilvl="4" w:tentative="0">
      <w:start w:val="0"/>
      <w:numFmt w:val="bullet"/>
      <w:lvlText w:val="•"/>
      <w:lvlJc w:val="left"/>
      <w:pPr>
        <w:ind w:left="5146" w:hanging="721"/>
      </w:pPr>
      <w:rPr>
        <w:rFonts w:hint="default"/>
      </w:rPr>
    </w:lvl>
    <w:lvl w:ilvl="5" w:tentative="0">
      <w:start w:val="0"/>
      <w:numFmt w:val="bullet"/>
      <w:lvlText w:val="•"/>
      <w:lvlJc w:val="left"/>
      <w:pPr>
        <w:ind w:left="6053" w:hanging="721"/>
      </w:pPr>
      <w:rPr>
        <w:rFonts w:hint="default"/>
      </w:rPr>
    </w:lvl>
    <w:lvl w:ilvl="6" w:tentative="0">
      <w:start w:val="0"/>
      <w:numFmt w:val="bullet"/>
      <w:lvlText w:val="•"/>
      <w:lvlJc w:val="left"/>
      <w:pPr>
        <w:ind w:left="6959" w:hanging="721"/>
      </w:pPr>
      <w:rPr>
        <w:rFonts w:hint="default"/>
      </w:rPr>
    </w:lvl>
    <w:lvl w:ilvl="7" w:tentative="0">
      <w:start w:val="0"/>
      <w:numFmt w:val="bullet"/>
      <w:lvlText w:val="•"/>
      <w:lvlJc w:val="left"/>
      <w:pPr>
        <w:ind w:left="7866" w:hanging="721"/>
      </w:pPr>
      <w:rPr>
        <w:rFonts w:hint="default"/>
      </w:rPr>
    </w:lvl>
    <w:lvl w:ilvl="8" w:tentative="0">
      <w:start w:val="0"/>
      <w:numFmt w:val="bullet"/>
      <w:lvlText w:val="•"/>
      <w:lvlJc w:val="left"/>
      <w:pPr>
        <w:ind w:left="8773" w:hanging="721"/>
      </w:pPr>
      <w:rPr>
        <w:rFonts w:hint="default"/>
      </w:rPr>
    </w:lvl>
  </w:abstractNum>
  <w:abstractNum w:abstractNumId="17">
    <w:nsid w:val="6E87019F"/>
    <w:multiLevelType w:val="multilevel"/>
    <w:tmpl w:val="6E87019F"/>
    <w:lvl w:ilvl="0" w:tentative="0">
      <w:start w:val="1"/>
      <w:numFmt w:val="chineseCountingThousand"/>
      <w:pStyle w:val="62"/>
      <w:lvlText w:val="%1、"/>
      <w:lvlJc w:val="left"/>
      <w:pPr>
        <w:ind w:left="425" w:hanging="425"/>
      </w:pPr>
      <w:rPr>
        <w:rFonts w:cs="Times New Roman"/>
      </w:rPr>
    </w:lvl>
    <w:lvl w:ilvl="1" w:tentative="0">
      <w:start w:val="1"/>
      <w:numFmt w:val="decimal"/>
      <w:lvlText w:val="%1.%2"/>
      <w:lvlJc w:val="left"/>
      <w:pPr>
        <w:ind w:left="992" w:hanging="567"/>
      </w:pPr>
      <w:rPr>
        <w:rFonts w:cs="Times New Roman"/>
      </w:rPr>
    </w:lvl>
    <w:lvl w:ilvl="2" w:tentative="0">
      <w:start w:val="1"/>
      <w:numFmt w:val="decimal"/>
      <w:lvlText w:val="%1.%2.%3"/>
      <w:lvlJc w:val="left"/>
      <w:pPr>
        <w:ind w:left="1418" w:hanging="567"/>
      </w:pPr>
      <w:rPr>
        <w:rFonts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num w:numId="1">
    <w:abstractNumId w:val="17"/>
  </w:num>
  <w:num w:numId="2">
    <w:abstractNumId w:val="13"/>
  </w:num>
  <w:num w:numId="3">
    <w:abstractNumId w:val="6"/>
  </w:num>
  <w:num w:numId="4">
    <w:abstractNumId w:val="0"/>
  </w:num>
  <w:num w:numId="5">
    <w:abstractNumId w:val="2"/>
  </w:num>
  <w:num w:numId="6">
    <w:abstractNumId w:val="10"/>
  </w:num>
  <w:num w:numId="7">
    <w:abstractNumId w:val="4"/>
  </w:num>
  <w:num w:numId="8">
    <w:abstractNumId w:val="8"/>
  </w:num>
  <w:num w:numId="9">
    <w:abstractNumId w:val="15"/>
  </w:num>
  <w:num w:numId="10">
    <w:abstractNumId w:val="3"/>
  </w:num>
  <w:num w:numId="11">
    <w:abstractNumId w:val="11"/>
  </w:num>
  <w:num w:numId="12">
    <w:abstractNumId w:val="9"/>
  </w:num>
  <w:num w:numId="13">
    <w:abstractNumId w:val="5"/>
  </w:num>
  <w:num w:numId="14">
    <w:abstractNumId w:val="16"/>
  </w:num>
  <w:num w:numId="15">
    <w:abstractNumId w:val="14"/>
  </w:num>
  <w:num w:numId="16">
    <w:abstractNumId w:val="12"/>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720"/>
  <w:drawingGridHorizontalSpacing w:val="110"/>
  <w:noPunctuationKerning w:val="1"/>
  <w:characterSpacingControl w:val="doNotCompress"/>
  <w:noLineBreaksAfter w:lang="zh-CN" w:val="$([{£¥·‘“〈《「『【〔〖〝﹙﹛﹝＄（．［｛￡￥"/>
  <w:noLineBreaksBefore w:lang="zh-CN" w:val="!%),.:;&gt;?]}¢¨°·ˇˉ―‖’”…‰′″›℃∶、。〃〉》」』】〕〗〞︶︺︾﹀﹄﹚﹜﹞！＂％＇），．：；？］｀｜｝～￠"/>
  <w:hdrShapeDefaults>
    <o:shapelayout v:ext="edit">
      <o:idmap v:ext="edit" data="2"/>
    </o:shapelayout>
  </w:hdrShapeDefaults>
  <w:compat>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mY0OTEyM2M4NGNiYjg1NjUyZmE4NDRhODkxMDVmYmUifQ=="/>
  </w:docVars>
  <w:rsids>
    <w:rsidRoot w:val="007267F1"/>
    <w:rsid w:val="000C78EB"/>
    <w:rsid w:val="001B229D"/>
    <w:rsid w:val="00203474"/>
    <w:rsid w:val="002716D6"/>
    <w:rsid w:val="002D0DBC"/>
    <w:rsid w:val="002D7C83"/>
    <w:rsid w:val="0035205D"/>
    <w:rsid w:val="00406225"/>
    <w:rsid w:val="004A38E5"/>
    <w:rsid w:val="005B434C"/>
    <w:rsid w:val="006D329D"/>
    <w:rsid w:val="0070116C"/>
    <w:rsid w:val="007267F1"/>
    <w:rsid w:val="0075768F"/>
    <w:rsid w:val="007935B5"/>
    <w:rsid w:val="007A2067"/>
    <w:rsid w:val="007B04A8"/>
    <w:rsid w:val="007C68F5"/>
    <w:rsid w:val="007F0A43"/>
    <w:rsid w:val="007F7F5F"/>
    <w:rsid w:val="00811CDF"/>
    <w:rsid w:val="00830905"/>
    <w:rsid w:val="008468C0"/>
    <w:rsid w:val="00850670"/>
    <w:rsid w:val="008E6971"/>
    <w:rsid w:val="00945CAE"/>
    <w:rsid w:val="00957B4E"/>
    <w:rsid w:val="00987F26"/>
    <w:rsid w:val="009A02CA"/>
    <w:rsid w:val="009D33B5"/>
    <w:rsid w:val="00A63E5E"/>
    <w:rsid w:val="00A83609"/>
    <w:rsid w:val="00A92883"/>
    <w:rsid w:val="00A94B6F"/>
    <w:rsid w:val="00AA15FD"/>
    <w:rsid w:val="00AA71DE"/>
    <w:rsid w:val="00AD0DF1"/>
    <w:rsid w:val="00B01DA7"/>
    <w:rsid w:val="00B60E79"/>
    <w:rsid w:val="00C04BEE"/>
    <w:rsid w:val="00C22EAB"/>
    <w:rsid w:val="00C30E08"/>
    <w:rsid w:val="00C41E88"/>
    <w:rsid w:val="00C55120"/>
    <w:rsid w:val="00C8669E"/>
    <w:rsid w:val="00CF3CB2"/>
    <w:rsid w:val="00D87C70"/>
    <w:rsid w:val="00DA0704"/>
    <w:rsid w:val="00DA12F2"/>
    <w:rsid w:val="00DC79A6"/>
    <w:rsid w:val="00E66785"/>
    <w:rsid w:val="00F936B1"/>
    <w:rsid w:val="00FA71B8"/>
    <w:rsid w:val="00FF5F7B"/>
    <w:rsid w:val="0138195E"/>
    <w:rsid w:val="026D4016"/>
    <w:rsid w:val="033B119A"/>
    <w:rsid w:val="06464062"/>
    <w:rsid w:val="09670B52"/>
    <w:rsid w:val="09AE6A8F"/>
    <w:rsid w:val="0B5017B8"/>
    <w:rsid w:val="0EAF551C"/>
    <w:rsid w:val="12D87BA8"/>
    <w:rsid w:val="18881B54"/>
    <w:rsid w:val="18E83E93"/>
    <w:rsid w:val="192F37FA"/>
    <w:rsid w:val="1AE07A82"/>
    <w:rsid w:val="1EF02025"/>
    <w:rsid w:val="235A31F2"/>
    <w:rsid w:val="25CF24C5"/>
    <w:rsid w:val="2804457D"/>
    <w:rsid w:val="2D3F2064"/>
    <w:rsid w:val="2EB8613D"/>
    <w:rsid w:val="2ED723F1"/>
    <w:rsid w:val="326F2561"/>
    <w:rsid w:val="3B8A3C1F"/>
    <w:rsid w:val="3D1366E5"/>
    <w:rsid w:val="3DD024AA"/>
    <w:rsid w:val="3DF26658"/>
    <w:rsid w:val="3E3D1B80"/>
    <w:rsid w:val="3E766F6D"/>
    <w:rsid w:val="3F3C0ED6"/>
    <w:rsid w:val="3F6C7DE3"/>
    <w:rsid w:val="414D59F2"/>
    <w:rsid w:val="41DE1130"/>
    <w:rsid w:val="44FC6117"/>
    <w:rsid w:val="45B814F6"/>
    <w:rsid w:val="46FA5E5E"/>
    <w:rsid w:val="472C4F4E"/>
    <w:rsid w:val="47DC5D26"/>
    <w:rsid w:val="4ECC69B7"/>
    <w:rsid w:val="4EEF5541"/>
    <w:rsid w:val="505428F9"/>
    <w:rsid w:val="50E11FEE"/>
    <w:rsid w:val="55CF62D8"/>
    <w:rsid w:val="57FC2BD3"/>
    <w:rsid w:val="5B473F40"/>
    <w:rsid w:val="5CF6585F"/>
    <w:rsid w:val="5CFA7E45"/>
    <w:rsid w:val="5EB36F76"/>
    <w:rsid w:val="5EDC4A15"/>
    <w:rsid w:val="603D52D7"/>
    <w:rsid w:val="64E02C7C"/>
    <w:rsid w:val="64F14763"/>
    <w:rsid w:val="66ED3802"/>
    <w:rsid w:val="69CC1CD4"/>
    <w:rsid w:val="70DC68F1"/>
    <w:rsid w:val="77363DA6"/>
    <w:rsid w:val="79F2088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kern w:val="0"/>
      <w:sz w:val="22"/>
      <w:szCs w:val="22"/>
      <w:lang w:val="zh-CN" w:eastAsia="zh-CN" w:bidi="ar-SA"/>
    </w:rPr>
  </w:style>
  <w:style w:type="paragraph" w:styleId="2">
    <w:name w:val="heading 1"/>
    <w:basedOn w:val="1"/>
    <w:next w:val="1"/>
    <w:link w:val="70"/>
    <w:qFormat/>
    <w:uiPriority w:val="0"/>
    <w:pPr>
      <w:ind w:left="577"/>
      <w:outlineLvl w:val="0"/>
    </w:pPr>
    <w:rPr>
      <w:sz w:val="44"/>
      <w:szCs w:val="44"/>
    </w:rPr>
  </w:style>
  <w:style w:type="paragraph" w:styleId="3">
    <w:name w:val="heading 2"/>
    <w:basedOn w:val="1"/>
    <w:next w:val="1"/>
    <w:link w:val="71"/>
    <w:qFormat/>
    <w:uiPriority w:val="0"/>
    <w:pPr>
      <w:spacing w:before="58"/>
      <w:ind w:left="1137"/>
      <w:outlineLvl w:val="1"/>
    </w:pPr>
    <w:rPr>
      <w:sz w:val="30"/>
      <w:szCs w:val="30"/>
    </w:rPr>
  </w:style>
  <w:style w:type="paragraph" w:styleId="4">
    <w:name w:val="heading 3"/>
    <w:basedOn w:val="1"/>
    <w:next w:val="1"/>
    <w:link w:val="46"/>
    <w:qFormat/>
    <w:uiPriority w:val="0"/>
    <w:pPr>
      <w:spacing w:line="488" w:lineRule="exact"/>
      <w:ind w:left="537"/>
      <w:outlineLvl w:val="2"/>
    </w:pPr>
    <w:rPr>
      <w:rFonts w:ascii="微软雅黑" w:hAnsi="微软雅黑" w:eastAsia="微软雅黑" w:cs="微软雅黑"/>
      <w:b/>
      <w:bCs/>
      <w:sz w:val="28"/>
      <w:szCs w:val="28"/>
    </w:rPr>
  </w:style>
  <w:style w:type="paragraph" w:styleId="5">
    <w:name w:val="heading 4"/>
    <w:basedOn w:val="6"/>
    <w:next w:val="6"/>
    <w:link w:val="73"/>
    <w:qFormat/>
    <w:uiPriority w:val="0"/>
    <w:pPr>
      <w:ind w:left="104"/>
      <w:outlineLvl w:val="3"/>
    </w:pPr>
    <w:rPr>
      <w:sz w:val="28"/>
      <w:szCs w:val="28"/>
    </w:rPr>
  </w:style>
  <w:style w:type="paragraph" w:styleId="7">
    <w:name w:val="heading 5"/>
    <w:basedOn w:val="1"/>
    <w:next w:val="1"/>
    <w:link w:val="74"/>
    <w:qFormat/>
    <w:uiPriority w:val="0"/>
    <w:pPr>
      <w:ind w:left="1030" w:hanging="421"/>
      <w:outlineLvl w:val="4"/>
    </w:pPr>
    <w:rPr>
      <w:rFonts w:ascii="微软雅黑" w:hAnsi="微软雅黑" w:eastAsia="微软雅黑" w:cs="微软雅黑"/>
      <w:b/>
      <w:bCs/>
      <w:sz w:val="24"/>
      <w:szCs w:val="24"/>
    </w:rPr>
  </w:style>
  <w:style w:type="paragraph" w:styleId="8">
    <w:name w:val="heading 6"/>
    <w:basedOn w:val="1"/>
    <w:next w:val="1"/>
    <w:link w:val="75"/>
    <w:qFormat/>
    <w:locked/>
    <w:uiPriority w:val="0"/>
    <w:pPr>
      <w:keepNext/>
      <w:keepLines/>
      <w:autoSpaceDE/>
      <w:autoSpaceDN/>
      <w:spacing w:before="240" w:after="64" w:line="317" w:lineRule="auto"/>
      <w:jc w:val="both"/>
      <w:outlineLvl w:val="5"/>
    </w:pPr>
    <w:rPr>
      <w:rFonts w:ascii="Cambria" w:hAnsi="Cambria" w:cs="Times New Roman"/>
      <w:b/>
      <w:bCs/>
      <w:kern w:val="2"/>
      <w:sz w:val="24"/>
      <w:szCs w:val="24"/>
      <w:lang w:val="en-US"/>
    </w:rPr>
  </w:style>
  <w:style w:type="paragraph" w:styleId="9">
    <w:name w:val="heading 7"/>
    <w:basedOn w:val="1"/>
    <w:next w:val="1"/>
    <w:link w:val="76"/>
    <w:qFormat/>
    <w:locked/>
    <w:uiPriority w:val="0"/>
    <w:pPr>
      <w:keepNext/>
      <w:keepLines/>
      <w:autoSpaceDE/>
      <w:autoSpaceDN/>
      <w:spacing w:before="240" w:after="64" w:line="317" w:lineRule="auto"/>
      <w:jc w:val="both"/>
      <w:outlineLvl w:val="6"/>
    </w:pPr>
    <w:rPr>
      <w:rFonts w:ascii="Calibri" w:hAnsi="Calibri" w:cs="Times New Roman"/>
      <w:b/>
      <w:bCs/>
      <w:kern w:val="2"/>
      <w:sz w:val="24"/>
      <w:szCs w:val="24"/>
      <w:lang w:val="en-US"/>
    </w:rPr>
  </w:style>
  <w:style w:type="paragraph" w:styleId="10">
    <w:name w:val="heading 8"/>
    <w:basedOn w:val="1"/>
    <w:next w:val="1"/>
    <w:link w:val="77"/>
    <w:qFormat/>
    <w:locked/>
    <w:uiPriority w:val="0"/>
    <w:pPr>
      <w:keepNext/>
      <w:keepLines/>
      <w:autoSpaceDE/>
      <w:autoSpaceDN/>
      <w:spacing w:before="240" w:after="64" w:line="317" w:lineRule="auto"/>
      <w:jc w:val="both"/>
      <w:outlineLvl w:val="7"/>
    </w:pPr>
    <w:rPr>
      <w:rFonts w:ascii="Cambria" w:hAnsi="Cambria" w:cs="Times New Roman"/>
      <w:kern w:val="2"/>
      <w:sz w:val="24"/>
      <w:szCs w:val="24"/>
      <w:lang w:val="en-US"/>
    </w:rPr>
  </w:style>
  <w:style w:type="paragraph" w:styleId="11">
    <w:name w:val="heading 9"/>
    <w:basedOn w:val="1"/>
    <w:next w:val="1"/>
    <w:link w:val="78"/>
    <w:qFormat/>
    <w:locked/>
    <w:uiPriority w:val="0"/>
    <w:pPr>
      <w:keepNext/>
      <w:keepLines/>
      <w:autoSpaceDE/>
      <w:autoSpaceDN/>
      <w:spacing w:before="240" w:after="64" w:line="317" w:lineRule="auto"/>
      <w:jc w:val="both"/>
      <w:outlineLvl w:val="8"/>
    </w:pPr>
    <w:rPr>
      <w:rFonts w:ascii="Cambria" w:hAnsi="Cambria" w:cs="Times New Roman"/>
      <w:kern w:val="2"/>
      <w:sz w:val="21"/>
      <w:szCs w:val="21"/>
      <w:lang w:val="en-US"/>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6">
    <w:name w:val="Normal_0"/>
    <w:qFormat/>
    <w:uiPriority w:val="0"/>
    <w:pPr>
      <w:widowControl w:val="0"/>
      <w:jc w:val="both"/>
    </w:pPr>
    <w:rPr>
      <w:rFonts w:ascii="Calibri" w:hAnsi="Calibri" w:eastAsia="宋体" w:cs="Times New Roman"/>
      <w:kern w:val="2"/>
      <w:sz w:val="21"/>
      <w:szCs w:val="22"/>
      <w:lang w:val="en-US" w:eastAsia="zh-CN" w:bidi="ar-SA"/>
    </w:rPr>
  </w:style>
  <w:style w:type="paragraph" w:styleId="12">
    <w:name w:val="toc 7"/>
    <w:basedOn w:val="1"/>
    <w:next w:val="1"/>
    <w:qFormat/>
    <w:uiPriority w:val="0"/>
    <w:pPr>
      <w:autoSpaceDE/>
      <w:autoSpaceDN/>
      <w:ind w:left="2520" w:leftChars="1200"/>
      <w:jc w:val="both"/>
    </w:pPr>
    <w:rPr>
      <w:rFonts w:ascii="Calibri" w:hAnsi="Calibri" w:cs="Times New Roman"/>
      <w:kern w:val="2"/>
      <w:sz w:val="21"/>
      <w:lang w:val="en-US"/>
    </w:rPr>
  </w:style>
  <w:style w:type="paragraph" w:styleId="13">
    <w:name w:val="Normal Indent"/>
    <w:basedOn w:val="1"/>
    <w:qFormat/>
    <w:uiPriority w:val="0"/>
    <w:pPr>
      <w:autoSpaceDE/>
      <w:autoSpaceDN/>
      <w:adjustRightInd w:val="0"/>
      <w:spacing w:line="360" w:lineRule="atLeast"/>
      <w:ind w:firstLine="482"/>
      <w:jc w:val="both"/>
      <w:textAlignment w:val="baseline"/>
    </w:pPr>
    <w:rPr>
      <w:rFonts w:ascii="Times New Roman" w:hAnsi="Times New Roman" w:cs="Times New Roman"/>
      <w:sz w:val="24"/>
      <w:szCs w:val="20"/>
      <w:lang w:val="en-US"/>
    </w:rPr>
  </w:style>
  <w:style w:type="paragraph" w:styleId="14">
    <w:name w:val="caption"/>
    <w:basedOn w:val="1"/>
    <w:next w:val="1"/>
    <w:qFormat/>
    <w:locked/>
    <w:uiPriority w:val="0"/>
    <w:pPr>
      <w:autoSpaceDE/>
      <w:autoSpaceDN/>
      <w:jc w:val="both"/>
    </w:pPr>
    <w:rPr>
      <w:rFonts w:ascii="Cambria" w:hAnsi="Cambria" w:eastAsia="黑体" w:cs="Times New Roman"/>
      <w:kern w:val="2"/>
      <w:sz w:val="20"/>
      <w:szCs w:val="20"/>
      <w:lang w:val="en-US"/>
    </w:rPr>
  </w:style>
  <w:style w:type="paragraph" w:styleId="15">
    <w:name w:val="Document Map"/>
    <w:basedOn w:val="1"/>
    <w:link w:val="80"/>
    <w:qFormat/>
    <w:uiPriority w:val="0"/>
    <w:pPr>
      <w:shd w:val="clear" w:color="auto" w:fill="000080"/>
      <w:autoSpaceDE/>
      <w:autoSpaceDN/>
      <w:jc w:val="both"/>
    </w:pPr>
    <w:rPr>
      <w:rFonts w:ascii="Times New Roman" w:hAnsi="Times New Roman" w:cs="Times New Roman"/>
      <w:sz w:val="20"/>
      <w:szCs w:val="24"/>
      <w:shd w:val="clear" w:color="auto" w:fill="000080"/>
      <w:lang w:val="en-US"/>
    </w:rPr>
  </w:style>
  <w:style w:type="paragraph" w:styleId="16">
    <w:name w:val="annotation text"/>
    <w:basedOn w:val="1"/>
    <w:link w:val="82"/>
    <w:qFormat/>
    <w:uiPriority w:val="0"/>
    <w:pPr>
      <w:widowControl/>
      <w:autoSpaceDE/>
      <w:autoSpaceDN/>
    </w:pPr>
    <w:rPr>
      <w:rFonts w:ascii="Calibri" w:hAnsi="Calibri" w:eastAsia="Times New Roman" w:cs="Times New Roman"/>
      <w:sz w:val="20"/>
      <w:szCs w:val="20"/>
      <w:lang w:val="en-US"/>
    </w:rPr>
  </w:style>
  <w:style w:type="paragraph" w:styleId="17">
    <w:name w:val="Body Text 3"/>
    <w:basedOn w:val="1"/>
    <w:link w:val="83"/>
    <w:uiPriority w:val="0"/>
    <w:pPr>
      <w:autoSpaceDE/>
      <w:autoSpaceDN/>
      <w:jc w:val="both"/>
    </w:pPr>
    <w:rPr>
      <w:rFonts w:hAnsi="Calibri" w:cs="Times New Roman"/>
      <w:kern w:val="2"/>
      <w:sz w:val="24"/>
      <w:szCs w:val="20"/>
      <w:lang w:val="en-US"/>
    </w:rPr>
  </w:style>
  <w:style w:type="paragraph" w:styleId="18">
    <w:name w:val="Body Text"/>
    <w:basedOn w:val="1"/>
    <w:link w:val="84"/>
    <w:qFormat/>
    <w:uiPriority w:val="0"/>
    <w:rPr>
      <w:sz w:val="24"/>
      <w:szCs w:val="24"/>
    </w:rPr>
  </w:style>
  <w:style w:type="paragraph" w:styleId="19">
    <w:name w:val="index 4"/>
    <w:basedOn w:val="1"/>
    <w:next w:val="1"/>
    <w:qFormat/>
    <w:uiPriority w:val="0"/>
    <w:pPr>
      <w:autoSpaceDE/>
      <w:autoSpaceDN/>
      <w:ind w:left="600" w:leftChars="600"/>
      <w:jc w:val="both"/>
    </w:pPr>
    <w:rPr>
      <w:rFonts w:ascii="Times New Roman" w:hAnsi="Times New Roman" w:cs="Times New Roman"/>
      <w:kern w:val="2"/>
      <w:sz w:val="21"/>
      <w:szCs w:val="24"/>
      <w:lang w:val="en-US"/>
    </w:rPr>
  </w:style>
  <w:style w:type="paragraph" w:styleId="20">
    <w:name w:val="toc 5"/>
    <w:basedOn w:val="1"/>
    <w:next w:val="1"/>
    <w:qFormat/>
    <w:uiPriority w:val="0"/>
    <w:pPr>
      <w:tabs>
        <w:tab w:val="right" w:leader="dot" w:pos="8296"/>
      </w:tabs>
      <w:autoSpaceDE/>
      <w:autoSpaceDN/>
      <w:ind w:left="1050" w:leftChars="500"/>
      <w:jc w:val="both"/>
    </w:pPr>
    <w:rPr>
      <w:rFonts w:ascii="Calibri" w:hAnsi="Calibri" w:cs="Times New Roman"/>
      <w:kern w:val="2"/>
      <w:sz w:val="21"/>
      <w:lang w:val="en-US"/>
    </w:rPr>
  </w:style>
  <w:style w:type="paragraph" w:styleId="21">
    <w:name w:val="toc 3"/>
    <w:basedOn w:val="1"/>
    <w:next w:val="1"/>
    <w:qFormat/>
    <w:uiPriority w:val="0"/>
    <w:pPr>
      <w:autoSpaceDE/>
      <w:autoSpaceDN/>
      <w:ind w:left="480"/>
      <w:jc w:val="both"/>
    </w:pPr>
    <w:rPr>
      <w:rFonts w:ascii="Calibri" w:hAnsi="Calibri" w:cs="Times New Roman"/>
      <w:kern w:val="2"/>
      <w:sz w:val="21"/>
      <w:lang w:val="en-US"/>
    </w:rPr>
  </w:style>
  <w:style w:type="paragraph" w:styleId="22">
    <w:name w:val="toc 8"/>
    <w:basedOn w:val="1"/>
    <w:next w:val="1"/>
    <w:qFormat/>
    <w:uiPriority w:val="0"/>
    <w:pPr>
      <w:autoSpaceDE/>
      <w:autoSpaceDN/>
      <w:ind w:left="2940" w:leftChars="1400"/>
      <w:jc w:val="both"/>
    </w:pPr>
    <w:rPr>
      <w:rFonts w:ascii="Calibri" w:hAnsi="Calibri" w:cs="Times New Roman"/>
      <w:kern w:val="2"/>
      <w:sz w:val="21"/>
      <w:lang w:val="en-US"/>
    </w:rPr>
  </w:style>
  <w:style w:type="paragraph" w:styleId="23">
    <w:name w:val="Date"/>
    <w:basedOn w:val="1"/>
    <w:next w:val="1"/>
    <w:link w:val="86"/>
    <w:qFormat/>
    <w:uiPriority w:val="0"/>
    <w:pPr>
      <w:autoSpaceDE/>
      <w:autoSpaceDN/>
      <w:ind w:left="100" w:leftChars="2500"/>
      <w:jc w:val="both"/>
    </w:pPr>
    <w:rPr>
      <w:rFonts w:hAnsi="Times New Roman" w:cs="Times New Roman"/>
      <w:sz w:val="28"/>
      <w:szCs w:val="20"/>
      <w:lang w:val="en-US"/>
    </w:rPr>
  </w:style>
  <w:style w:type="paragraph" w:styleId="24">
    <w:name w:val="Balloon Text"/>
    <w:basedOn w:val="1"/>
    <w:link w:val="54"/>
    <w:qFormat/>
    <w:uiPriority w:val="0"/>
    <w:rPr>
      <w:sz w:val="18"/>
      <w:szCs w:val="18"/>
    </w:rPr>
  </w:style>
  <w:style w:type="paragraph" w:styleId="25">
    <w:name w:val="footer"/>
    <w:basedOn w:val="1"/>
    <w:link w:val="55"/>
    <w:qFormat/>
    <w:uiPriority w:val="0"/>
    <w:pPr>
      <w:tabs>
        <w:tab w:val="center" w:pos="4153"/>
        <w:tab w:val="right" w:pos="8306"/>
      </w:tabs>
      <w:snapToGrid w:val="0"/>
    </w:pPr>
    <w:rPr>
      <w:sz w:val="18"/>
      <w:szCs w:val="18"/>
    </w:rPr>
  </w:style>
  <w:style w:type="paragraph" w:styleId="26">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spacing w:before="240"/>
      <w:ind w:left="537"/>
    </w:pPr>
    <w:rPr>
      <w:sz w:val="30"/>
      <w:szCs w:val="30"/>
    </w:rPr>
  </w:style>
  <w:style w:type="paragraph" w:styleId="28">
    <w:name w:val="toc 4"/>
    <w:basedOn w:val="1"/>
    <w:next w:val="1"/>
    <w:qFormat/>
    <w:uiPriority w:val="0"/>
    <w:pPr>
      <w:tabs>
        <w:tab w:val="left" w:pos="1890"/>
        <w:tab w:val="right" w:leader="dot" w:pos="8296"/>
      </w:tabs>
      <w:autoSpaceDE/>
      <w:autoSpaceDN/>
      <w:ind w:left="630" w:leftChars="300"/>
      <w:jc w:val="both"/>
    </w:pPr>
    <w:rPr>
      <w:rFonts w:ascii="Calibri" w:hAnsi="Calibri" w:cs="Times New Roman"/>
      <w:kern w:val="2"/>
      <w:sz w:val="21"/>
      <w:lang w:val="en-US"/>
    </w:rPr>
  </w:style>
  <w:style w:type="paragraph" w:styleId="29">
    <w:name w:val="Subtitle"/>
    <w:basedOn w:val="1"/>
    <w:next w:val="1"/>
    <w:link w:val="91"/>
    <w:qFormat/>
    <w:locked/>
    <w:uiPriority w:val="0"/>
    <w:pPr>
      <w:autoSpaceDE/>
      <w:autoSpaceDN/>
      <w:spacing w:before="240" w:after="60" w:line="312" w:lineRule="auto"/>
      <w:jc w:val="center"/>
      <w:outlineLvl w:val="1"/>
    </w:pPr>
    <w:rPr>
      <w:rFonts w:ascii="Cambria" w:hAnsi="Cambria" w:cs="Times New Roman"/>
      <w:b/>
      <w:bCs/>
      <w:kern w:val="28"/>
      <w:sz w:val="32"/>
      <w:szCs w:val="32"/>
      <w:lang w:val="en-US"/>
    </w:rPr>
  </w:style>
  <w:style w:type="paragraph" w:styleId="30">
    <w:name w:val="toc 6"/>
    <w:basedOn w:val="1"/>
    <w:next w:val="1"/>
    <w:qFormat/>
    <w:uiPriority w:val="0"/>
    <w:pPr>
      <w:autoSpaceDE/>
      <w:autoSpaceDN/>
      <w:ind w:left="2100" w:leftChars="1000"/>
      <w:jc w:val="both"/>
    </w:pPr>
    <w:rPr>
      <w:rFonts w:ascii="Calibri" w:hAnsi="Calibri" w:cs="Times New Roman"/>
      <w:kern w:val="2"/>
      <w:sz w:val="21"/>
      <w:lang w:val="en-US"/>
    </w:rPr>
  </w:style>
  <w:style w:type="paragraph" w:styleId="31">
    <w:name w:val="toc 2"/>
    <w:basedOn w:val="1"/>
    <w:next w:val="1"/>
    <w:qFormat/>
    <w:uiPriority w:val="0"/>
    <w:pPr>
      <w:autoSpaceDE/>
      <w:autoSpaceDN/>
      <w:ind w:left="240"/>
      <w:jc w:val="both"/>
    </w:pPr>
    <w:rPr>
      <w:rFonts w:ascii="Calibri" w:hAnsi="Calibri" w:cs="Times New Roman"/>
      <w:kern w:val="2"/>
      <w:sz w:val="21"/>
      <w:lang w:val="en-US"/>
    </w:rPr>
  </w:style>
  <w:style w:type="paragraph" w:styleId="32">
    <w:name w:val="toc 9"/>
    <w:basedOn w:val="1"/>
    <w:next w:val="1"/>
    <w:qFormat/>
    <w:uiPriority w:val="0"/>
    <w:pPr>
      <w:autoSpaceDE/>
      <w:autoSpaceDN/>
      <w:ind w:left="3360" w:leftChars="1600"/>
      <w:jc w:val="both"/>
    </w:pPr>
    <w:rPr>
      <w:rFonts w:ascii="Calibri" w:hAnsi="Calibri" w:cs="Times New Roman"/>
      <w:kern w:val="2"/>
      <w:sz w:val="21"/>
      <w:lang w:val="en-US"/>
    </w:rPr>
  </w:style>
  <w:style w:type="paragraph" w:styleId="33">
    <w:name w:val="Normal (Web)"/>
    <w:basedOn w:val="1"/>
    <w:qFormat/>
    <w:uiPriority w:val="0"/>
    <w:pPr>
      <w:widowControl/>
      <w:autoSpaceDE/>
      <w:autoSpaceDN/>
      <w:spacing w:before="100" w:beforeAutospacing="1" w:after="100" w:afterAutospacing="1" w:line="320" w:lineRule="atLeast"/>
    </w:pPr>
    <w:rPr>
      <w:rFonts w:cs="Times New Roman"/>
      <w:sz w:val="18"/>
      <w:szCs w:val="18"/>
      <w:lang w:val="en-US"/>
    </w:rPr>
  </w:style>
  <w:style w:type="paragraph" w:styleId="34">
    <w:name w:val="Title"/>
    <w:basedOn w:val="1"/>
    <w:next w:val="1"/>
    <w:link w:val="93"/>
    <w:qFormat/>
    <w:locked/>
    <w:uiPriority w:val="0"/>
    <w:pPr>
      <w:autoSpaceDE/>
      <w:autoSpaceDN/>
      <w:spacing w:before="240" w:after="60"/>
      <w:jc w:val="center"/>
      <w:outlineLvl w:val="0"/>
    </w:pPr>
    <w:rPr>
      <w:rFonts w:ascii="Cambria" w:hAnsi="Cambria" w:cs="Times New Roman"/>
      <w:b/>
      <w:bCs/>
      <w:kern w:val="2"/>
      <w:sz w:val="32"/>
      <w:szCs w:val="32"/>
      <w:lang w:val="en-US"/>
    </w:rPr>
  </w:style>
  <w:style w:type="paragraph" w:styleId="35">
    <w:name w:val="annotation subject"/>
    <w:basedOn w:val="16"/>
    <w:next w:val="16"/>
    <w:link w:val="95"/>
    <w:qFormat/>
    <w:uiPriority w:val="0"/>
    <w:pPr>
      <w:widowControl w:val="0"/>
    </w:pPr>
    <w:rPr>
      <w:rFonts w:eastAsia="宋体"/>
      <w:b/>
      <w:bCs/>
      <w:kern w:val="2"/>
      <w:sz w:val="21"/>
      <w:szCs w:val="22"/>
    </w:rPr>
  </w:style>
  <w:style w:type="table" w:styleId="37">
    <w:name w:val="Table Grid"/>
    <w:basedOn w:val="36"/>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locked/>
    <w:uiPriority w:val="0"/>
    <w:rPr>
      <w:b/>
    </w:rPr>
  </w:style>
  <w:style w:type="character" w:styleId="40">
    <w:name w:val="page number"/>
    <w:basedOn w:val="38"/>
    <w:qFormat/>
    <w:uiPriority w:val="0"/>
    <w:rPr>
      <w:rFonts w:cs="Times New Roman"/>
    </w:rPr>
  </w:style>
  <w:style w:type="character" w:styleId="41">
    <w:name w:val="Emphasis"/>
    <w:basedOn w:val="38"/>
    <w:qFormat/>
    <w:locked/>
    <w:uiPriority w:val="0"/>
    <w:rPr>
      <w:i/>
    </w:rPr>
  </w:style>
  <w:style w:type="character" w:styleId="42">
    <w:name w:val="Hyperlink"/>
    <w:basedOn w:val="38"/>
    <w:qFormat/>
    <w:uiPriority w:val="0"/>
    <w:rPr>
      <w:rFonts w:cs="Times New Roman"/>
      <w:color w:val="0000FF"/>
      <w:u w:val="single"/>
    </w:rPr>
  </w:style>
  <w:style w:type="character" w:styleId="43">
    <w:name w:val="annotation reference"/>
    <w:basedOn w:val="38"/>
    <w:qFormat/>
    <w:uiPriority w:val="0"/>
    <w:rPr>
      <w:sz w:val="21"/>
    </w:rPr>
  </w:style>
  <w:style w:type="character" w:customStyle="1" w:styleId="44">
    <w:name w:val="Heading 1 Char"/>
    <w:basedOn w:val="38"/>
    <w:link w:val="2"/>
    <w:qFormat/>
    <w:uiPriority w:val="9"/>
    <w:rPr>
      <w:rFonts w:ascii="宋体" w:hAnsi="宋体" w:cs="宋体"/>
      <w:b/>
      <w:bCs/>
      <w:kern w:val="44"/>
      <w:sz w:val="44"/>
      <w:szCs w:val="44"/>
      <w:lang w:val="zh-CN"/>
    </w:rPr>
  </w:style>
  <w:style w:type="character" w:customStyle="1" w:styleId="45">
    <w:name w:val="Heading 2 Char"/>
    <w:basedOn w:val="38"/>
    <w:link w:val="3"/>
    <w:semiHidden/>
    <w:qFormat/>
    <w:uiPriority w:val="9"/>
    <w:rPr>
      <w:rFonts w:asciiTheme="majorHAnsi" w:hAnsiTheme="majorHAnsi" w:eastAsiaTheme="majorEastAsia" w:cstheme="majorBidi"/>
      <w:b/>
      <w:bCs/>
      <w:kern w:val="0"/>
      <w:sz w:val="32"/>
      <w:szCs w:val="32"/>
      <w:lang w:val="zh-CN"/>
    </w:rPr>
  </w:style>
  <w:style w:type="character" w:customStyle="1" w:styleId="46">
    <w:name w:val="标题 3 Char1"/>
    <w:basedOn w:val="38"/>
    <w:link w:val="4"/>
    <w:qFormat/>
    <w:locked/>
    <w:uiPriority w:val="99"/>
    <w:rPr>
      <w:rFonts w:ascii="微软雅黑" w:hAnsi="微软雅黑" w:eastAsia="微软雅黑"/>
      <w:b/>
      <w:sz w:val="28"/>
      <w:lang w:val="zh-CN"/>
    </w:rPr>
  </w:style>
  <w:style w:type="character" w:customStyle="1" w:styleId="47">
    <w:name w:val="Heading 4 Char"/>
    <w:basedOn w:val="38"/>
    <w:link w:val="5"/>
    <w:semiHidden/>
    <w:qFormat/>
    <w:uiPriority w:val="9"/>
    <w:rPr>
      <w:rFonts w:asciiTheme="majorHAnsi" w:hAnsiTheme="majorHAnsi" w:eastAsiaTheme="majorEastAsia" w:cstheme="majorBidi"/>
      <w:b/>
      <w:bCs/>
      <w:kern w:val="0"/>
      <w:sz w:val="28"/>
      <w:szCs w:val="28"/>
      <w:lang w:val="zh-CN"/>
    </w:rPr>
  </w:style>
  <w:style w:type="character" w:customStyle="1" w:styleId="48">
    <w:name w:val="Heading 5 Char"/>
    <w:basedOn w:val="38"/>
    <w:link w:val="7"/>
    <w:semiHidden/>
    <w:qFormat/>
    <w:uiPriority w:val="9"/>
    <w:rPr>
      <w:rFonts w:ascii="宋体" w:hAnsi="宋体" w:cs="宋体"/>
      <w:b/>
      <w:bCs/>
      <w:kern w:val="0"/>
      <w:sz w:val="28"/>
      <w:szCs w:val="28"/>
      <w:lang w:val="zh-CN"/>
    </w:rPr>
  </w:style>
  <w:style w:type="character" w:customStyle="1" w:styleId="49">
    <w:name w:val="Heading 6 Char"/>
    <w:basedOn w:val="38"/>
    <w:link w:val="8"/>
    <w:semiHidden/>
    <w:qFormat/>
    <w:uiPriority w:val="9"/>
    <w:rPr>
      <w:rFonts w:asciiTheme="majorHAnsi" w:hAnsiTheme="majorHAnsi" w:eastAsiaTheme="majorEastAsia" w:cstheme="majorBidi"/>
      <w:b/>
      <w:bCs/>
      <w:kern w:val="0"/>
      <w:sz w:val="24"/>
      <w:szCs w:val="24"/>
      <w:lang w:val="zh-CN"/>
    </w:rPr>
  </w:style>
  <w:style w:type="character" w:customStyle="1" w:styleId="50">
    <w:name w:val="Heading 7 Char"/>
    <w:basedOn w:val="38"/>
    <w:link w:val="9"/>
    <w:semiHidden/>
    <w:qFormat/>
    <w:uiPriority w:val="9"/>
    <w:rPr>
      <w:rFonts w:ascii="宋体" w:hAnsi="宋体" w:cs="宋体"/>
      <w:b/>
      <w:bCs/>
      <w:kern w:val="0"/>
      <w:sz w:val="24"/>
      <w:szCs w:val="24"/>
      <w:lang w:val="zh-CN"/>
    </w:rPr>
  </w:style>
  <w:style w:type="character" w:customStyle="1" w:styleId="51">
    <w:name w:val="Heading 8 Char"/>
    <w:basedOn w:val="38"/>
    <w:link w:val="10"/>
    <w:semiHidden/>
    <w:qFormat/>
    <w:uiPriority w:val="9"/>
    <w:rPr>
      <w:rFonts w:asciiTheme="majorHAnsi" w:hAnsiTheme="majorHAnsi" w:eastAsiaTheme="majorEastAsia" w:cstheme="majorBidi"/>
      <w:kern w:val="0"/>
      <w:sz w:val="24"/>
      <w:szCs w:val="24"/>
      <w:lang w:val="zh-CN"/>
    </w:rPr>
  </w:style>
  <w:style w:type="character" w:customStyle="1" w:styleId="52">
    <w:name w:val="Heading 9 Char"/>
    <w:basedOn w:val="38"/>
    <w:link w:val="11"/>
    <w:semiHidden/>
    <w:qFormat/>
    <w:uiPriority w:val="9"/>
    <w:rPr>
      <w:rFonts w:asciiTheme="majorHAnsi" w:hAnsiTheme="majorHAnsi" w:eastAsiaTheme="majorEastAsia" w:cstheme="majorBidi"/>
      <w:kern w:val="0"/>
      <w:szCs w:val="21"/>
      <w:lang w:val="zh-CN"/>
    </w:rPr>
  </w:style>
  <w:style w:type="character" w:customStyle="1" w:styleId="53">
    <w:name w:val="Body Text Char"/>
    <w:basedOn w:val="38"/>
    <w:link w:val="18"/>
    <w:semiHidden/>
    <w:qFormat/>
    <w:uiPriority w:val="99"/>
    <w:rPr>
      <w:rFonts w:ascii="宋体" w:hAnsi="宋体" w:cs="宋体"/>
      <w:kern w:val="0"/>
      <w:sz w:val="22"/>
      <w:lang w:val="zh-CN"/>
    </w:rPr>
  </w:style>
  <w:style w:type="character" w:customStyle="1" w:styleId="54">
    <w:name w:val="批注框文本 Char2"/>
    <w:basedOn w:val="38"/>
    <w:link w:val="24"/>
    <w:qFormat/>
    <w:locked/>
    <w:uiPriority w:val="99"/>
    <w:rPr>
      <w:rFonts w:ascii="宋体" w:hAnsi="宋体" w:eastAsia="宋体" w:cs="宋体"/>
      <w:sz w:val="18"/>
      <w:szCs w:val="18"/>
      <w:lang w:val="zh-CN"/>
    </w:rPr>
  </w:style>
  <w:style w:type="character" w:customStyle="1" w:styleId="55">
    <w:name w:val="页脚 Char1"/>
    <w:basedOn w:val="38"/>
    <w:link w:val="25"/>
    <w:qFormat/>
    <w:locked/>
    <w:uiPriority w:val="99"/>
    <w:rPr>
      <w:rFonts w:ascii="宋体" w:hAnsi="宋体" w:eastAsia="宋体" w:cs="宋体"/>
      <w:sz w:val="18"/>
      <w:szCs w:val="18"/>
      <w:lang w:val="zh-CN"/>
    </w:rPr>
  </w:style>
  <w:style w:type="character" w:customStyle="1" w:styleId="56">
    <w:name w:val="页眉 Char1"/>
    <w:basedOn w:val="38"/>
    <w:link w:val="26"/>
    <w:qFormat/>
    <w:locked/>
    <w:uiPriority w:val="99"/>
    <w:rPr>
      <w:rFonts w:ascii="宋体" w:hAnsi="宋体" w:eastAsia="宋体" w:cs="宋体"/>
      <w:sz w:val="18"/>
      <w:szCs w:val="18"/>
      <w:lang w:val="zh-CN"/>
    </w:rPr>
  </w:style>
  <w:style w:type="table" w:customStyle="1" w:styleId="57">
    <w:name w:val="Table Normal1"/>
    <w:semiHidden/>
    <w:qFormat/>
    <w:uiPriority w:val="99"/>
    <w:rPr>
      <w:kern w:val="0"/>
      <w:sz w:val="20"/>
      <w:szCs w:val="20"/>
    </w:rPr>
    <w:tblPr>
      <w:tblCellMar>
        <w:top w:w="0" w:type="dxa"/>
        <w:left w:w="0" w:type="dxa"/>
        <w:bottom w:w="0" w:type="dxa"/>
        <w:right w:w="0" w:type="dxa"/>
      </w:tblCellMar>
    </w:tblPr>
  </w:style>
  <w:style w:type="paragraph" w:styleId="58">
    <w:name w:val="List Paragraph"/>
    <w:basedOn w:val="1"/>
    <w:qFormat/>
    <w:uiPriority w:val="0"/>
    <w:pPr>
      <w:ind w:left="324" w:hanging="602"/>
    </w:pPr>
  </w:style>
  <w:style w:type="paragraph" w:customStyle="1" w:styleId="59">
    <w:name w:val="Table Paragraph"/>
    <w:basedOn w:val="1"/>
    <w:qFormat/>
    <w:uiPriority w:val="99"/>
  </w:style>
  <w:style w:type="paragraph" w:customStyle="1" w:styleId="60">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1">
    <w:name w:val="样式 标题 3 + (中文) 黑体 小四 非加粗 段前: 7.8 磅 段后: 0 磅 行距: 固定值 20 磅"/>
    <w:basedOn w:val="4"/>
    <w:qFormat/>
    <w:uiPriority w:val="0"/>
    <w:pPr>
      <w:spacing w:line="400" w:lineRule="exact"/>
    </w:pPr>
    <w:rPr>
      <w:rFonts w:ascii="Times New Roman" w:hAnsi="Times New Roman" w:eastAsia="黑体" w:cs="宋体"/>
      <w:b w:val="0"/>
      <w:bCs w:val="0"/>
      <w:sz w:val="24"/>
      <w:szCs w:val="20"/>
    </w:rPr>
  </w:style>
  <w:style w:type="paragraph" w:customStyle="1" w:styleId="62">
    <w:name w:val="协议书标题2"/>
    <w:basedOn w:val="3"/>
    <w:next w:val="1"/>
    <w:qFormat/>
    <w:uiPriority w:val="0"/>
    <w:pPr>
      <w:numPr>
        <w:ilvl w:val="0"/>
        <w:numId w:val="1"/>
      </w:numPr>
      <w:tabs>
        <w:tab w:val="left" w:pos="567"/>
      </w:tabs>
      <w:spacing w:line="360" w:lineRule="auto"/>
    </w:pPr>
    <w:rPr>
      <w:sz w:val="24"/>
    </w:rPr>
  </w:style>
  <w:style w:type="paragraph" w:customStyle="1" w:styleId="63">
    <w:name w:val="TOC 标题2"/>
    <w:basedOn w:val="2"/>
    <w:next w:val="1"/>
    <w:qFormat/>
    <w:uiPriority w:val="0"/>
    <w:pPr>
      <w:spacing w:line="576" w:lineRule="auto"/>
      <w:outlineLvl w:val="9"/>
    </w:pPr>
    <w:rPr>
      <w:rFonts w:ascii="Calibri" w:hAnsi="Calibri" w:cs="Times New Roman"/>
    </w:rPr>
  </w:style>
  <w:style w:type="paragraph" w:customStyle="1" w:styleId="64">
    <w:name w:val="通用标题2"/>
    <w:basedOn w:val="3"/>
    <w:next w:val="1"/>
    <w:qFormat/>
    <w:uiPriority w:val="0"/>
    <w:pPr>
      <w:numPr>
        <w:ilvl w:val="0"/>
        <w:numId w:val="2"/>
      </w:numPr>
      <w:tabs>
        <w:tab w:val="left" w:pos="993"/>
      </w:tabs>
      <w:spacing w:line="360" w:lineRule="auto"/>
      <w:ind w:left="0"/>
    </w:pPr>
    <w:rPr>
      <w:rFonts w:ascii="黑体" w:hAnsi="黑体"/>
    </w:rPr>
  </w:style>
  <w:style w:type="paragraph" w:customStyle="1" w:styleId="65">
    <w:name w:val="通用标题3"/>
    <w:next w:val="1"/>
    <w:qFormat/>
    <w:uiPriority w:val="0"/>
    <w:pPr>
      <w:widowControl w:val="0"/>
      <w:tabs>
        <w:tab w:val="left" w:pos="851"/>
      </w:tabs>
      <w:adjustRightInd w:val="0"/>
      <w:snapToGrid w:val="0"/>
      <w:spacing w:afterLines="50" w:line="360" w:lineRule="auto"/>
      <w:ind w:left="1843"/>
      <w:jc w:val="both"/>
      <w:outlineLvl w:val="2"/>
    </w:pPr>
    <w:rPr>
      <w:rFonts w:ascii="黑体" w:hAnsi="黑体" w:eastAsia="黑体" w:cs="Times New Roman"/>
      <w:b/>
      <w:kern w:val="2"/>
      <w:sz w:val="24"/>
      <w:szCs w:val="24"/>
      <w:lang w:val="en-US" w:eastAsia="zh-CN" w:bidi="ar-SA"/>
    </w:rPr>
  </w:style>
  <w:style w:type="paragraph" w:customStyle="1" w:styleId="66">
    <w:name w:val="通用标题4"/>
    <w:next w:val="1"/>
    <w:qFormat/>
    <w:uiPriority w:val="0"/>
    <w:pPr>
      <w:tabs>
        <w:tab w:val="left" w:pos="851"/>
      </w:tabs>
      <w:adjustRightInd w:val="0"/>
      <w:snapToGrid w:val="0"/>
      <w:spacing w:afterLines="50" w:line="360" w:lineRule="auto"/>
      <w:ind w:left="2126"/>
      <w:jc w:val="both"/>
      <w:outlineLvl w:val="3"/>
    </w:pPr>
    <w:rPr>
      <w:rFonts w:ascii="宋体" w:hAnsi="宋体" w:eastAsia="宋体" w:cs="Times New Roman"/>
      <w:kern w:val="2"/>
      <w:sz w:val="24"/>
      <w:szCs w:val="21"/>
      <w:lang w:val="en-US" w:eastAsia="zh-CN" w:bidi="ar-SA"/>
    </w:rPr>
  </w:style>
  <w:style w:type="paragraph" w:customStyle="1" w:styleId="67">
    <w:name w:val="通用标题5"/>
    <w:qFormat/>
    <w:uiPriority w:val="0"/>
    <w:pPr>
      <w:widowControl w:val="0"/>
      <w:tabs>
        <w:tab w:val="left" w:pos="1134"/>
      </w:tabs>
      <w:autoSpaceDE w:val="0"/>
      <w:autoSpaceDN w:val="0"/>
      <w:adjustRightInd w:val="0"/>
      <w:snapToGrid w:val="0"/>
      <w:spacing w:afterLines="50" w:line="360" w:lineRule="auto"/>
      <w:ind w:left="710"/>
      <w:jc w:val="both"/>
    </w:pPr>
    <w:rPr>
      <w:rFonts w:ascii="宋体" w:hAnsi="宋体" w:eastAsia="宋体" w:cs="Times New Roman"/>
      <w:kern w:val="2"/>
      <w:sz w:val="24"/>
      <w:szCs w:val="21"/>
      <w:lang w:val="en-US" w:eastAsia="zh-CN" w:bidi="ar-SA"/>
    </w:rPr>
  </w:style>
  <w:style w:type="paragraph" w:customStyle="1" w:styleId="68">
    <w:name w:val="通用标题6"/>
    <w:basedOn w:val="1"/>
    <w:qFormat/>
    <w:uiPriority w:val="0"/>
    <w:pPr>
      <w:tabs>
        <w:tab w:val="left" w:pos="993"/>
      </w:tabs>
      <w:ind w:left="310" w:firstLine="400"/>
    </w:pPr>
  </w:style>
  <w:style w:type="paragraph" w:customStyle="1" w:styleId="69">
    <w:name w:val="专用标题2"/>
    <w:basedOn w:val="3"/>
    <w:next w:val="1"/>
    <w:qFormat/>
    <w:uiPriority w:val="0"/>
    <w:pPr>
      <w:tabs>
        <w:tab w:val="left" w:pos="993"/>
      </w:tabs>
      <w:spacing w:line="360" w:lineRule="auto"/>
    </w:pPr>
    <w:rPr>
      <w:rFonts w:cs="Times"/>
    </w:rPr>
  </w:style>
  <w:style w:type="character" w:customStyle="1" w:styleId="70">
    <w:name w:val="标题 1 Char1"/>
    <w:link w:val="2"/>
    <w:qFormat/>
    <w:locked/>
    <w:uiPriority w:val="0"/>
    <w:rPr>
      <w:rFonts w:ascii="宋体" w:hAnsi="宋体" w:eastAsia="宋体"/>
      <w:sz w:val="44"/>
      <w:lang w:val="zh-CN" w:eastAsia="zh-CN"/>
    </w:rPr>
  </w:style>
  <w:style w:type="character" w:customStyle="1" w:styleId="71">
    <w:name w:val="标题 2 Char"/>
    <w:link w:val="3"/>
    <w:qFormat/>
    <w:locked/>
    <w:uiPriority w:val="0"/>
    <w:rPr>
      <w:rFonts w:ascii="宋体" w:hAnsi="宋体" w:eastAsia="宋体"/>
      <w:sz w:val="30"/>
      <w:lang w:val="zh-CN" w:eastAsia="zh-CN"/>
    </w:rPr>
  </w:style>
  <w:style w:type="character" w:customStyle="1" w:styleId="72">
    <w:name w:val="标题 3 Char"/>
    <w:qFormat/>
    <w:uiPriority w:val="0"/>
    <w:rPr>
      <w:rFonts w:ascii="Calibri" w:hAnsi="Calibri" w:eastAsia="宋体"/>
      <w:b/>
      <w:kern w:val="2"/>
      <w:sz w:val="32"/>
    </w:rPr>
  </w:style>
  <w:style w:type="character" w:customStyle="1" w:styleId="73">
    <w:name w:val="标题 4 Char"/>
    <w:link w:val="5"/>
    <w:qFormat/>
    <w:locked/>
    <w:uiPriority w:val="0"/>
    <w:rPr>
      <w:rFonts w:ascii="Calibri" w:hAnsi="Calibri" w:eastAsia="宋体"/>
      <w:kern w:val="2"/>
      <w:sz w:val="28"/>
      <w:lang w:val="en-US" w:eastAsia="zh-CN"/>
    </w:rPr>
  </w:style>
  <w:style w:type="character" w:customStyle="1" w:styleId="74">
    <w:name w:val="标题 5 Char"/>
    <w:link w:val="7"/>
    <w:qFormat/>
    <w:locked/>
    <w:uiPriority w:val="0"/>
    <w:rPr>
      <w:rFonts w:ascii="微软雅黑" w:hAnsi="微软雅黑" w:eastAsia="微软雅黑"/>
      <w:b/>
      <w:sz w:val="24"/>
      <w:lang w:val="zh-CN" w:eastAsia="zh-CN"/>
    </w:rPr>
  </w:style>
  <w:style w:type="character" w:customStyle="1" w:styleId="75">
    <w:name w:val="标题 6 Char"/>
    <w:basedOn w:val="38"/>
    <w:link w:val="8"/>
    <w:qFormat/>
    <w:locked/>
    <w:uiPriority w:val="0"/>
    <w:rPr>
      <w:rFonts w:ascii="Cambria" w:hAnsi="Cambria" w:eastAsia="宋体" w:cs="Times New Roman"/>
      <w:b/>
      <w:bCs/>
      <w:kern w:val="2"/>
      <w:sz w:val="24"/>
      <w:szCs w:val="24"/>
      <w:lang w:val="en-US" w:eastAsia="zh-CN" w:bidi="ar-SA"/>
    </w:rPr>
  </w:style>
  <w:style w:type="character" w:customStyle="1" w:styleId="76">
    <w:name w:val="标题 7 Char"/>
    <w:basedOn w:val="38"/>
    <w:link w:val="9"/>
    <w:qFormat/>
    <w:locked/>
    <w:uiPriority w:val="0"/>
    <w:rPr>
      <w:rFonts w:ascii="Calibri" w:hAnsi="Calibri" w:eastAsia="宋体" w:cs="Times New Roman"/>
      <w:b/>
      <w:bCs/>
      <w:kern w:val="2"/>
      <w:sz w:val="24"/>
      <w:szCs w:val="24"/>
      <w:lang w:val="en-US" w:eastAsia="zh-CN" w:bidi="ar-SA"/>
    </w:rPr>
  </w:style>
  <w:style w:type="character" w:customStyle="1" w:styleId="77">
    <w:name w:val="标题 8 Char"/>
    <w:basedOn w:val="38"/>
    <w:link w:val="10"/>
    <w:qFormat/>
    <w:locked/>
    <w:uiPriority w:val="0"/>
    <w:rPr>
      <w:rFonts w:ascii="Cambria" w:hAnsi="Cambria" w:eastAsia="宋体" w:cs="Times New Roman"/>
      <w:kern w:val="2"/>
      <w:sz w:val="24"/>
      <w:szCs w:val="24"/>
      <w:lang w:val="en-US" w:eastAsia="zh-CN" w:bidi="ar-SA"/>
    </w:rPr>
  </w:style>
  <w:style w:type="character" w:customStyle="1" w:styleId="78">
    <w:name w:val="标题 9 Char"/>
    <w:basedOn w:val="38"/>
    <w:link w:val="11"/>
    <w:qFormat/>
    <w:locked/>
    <w:uiPriority w:val="0"/>
    <w:rPr>
      <w:rFonts w:ascii="Cambria" w:hAnsi="Cambria" w:eastAsia="宋体" w:cs="Times New Roman"/>
      <w:kern w:val="2"/>
      <w:sz w:val="21"/>
      <w:szCs w:val="21"/>
      <w:lang w:val="en-US" w:eastAsia="zh-CN" w:bidi="ar-SA"/>
    </w:rPr>
  </w:style>
  <w:style w:type="character" w:customStyle="1" w:styleId="79">
    <w:name w:val="Document Map Char"/>
    <w:basedOn w:val="38"/>
    <w:link w:val="15"/>
    <w:semiHidden/>
    <w:uiPriority w:val="99"/>
    <w:rPr>
      <w:rFonts w:cs="宋体"/>
      <w:kern w:val="0"/>
      <w:sz w:val="0"/>
      <w:szCs w:val="0"/>
      <w:lang w:val="zh-CN"/>
    </w:rPr>
  </w:style>
  <w:style w:type="character" w:customStyle="1" w:styleId="80">
    <w:name w:val="文档结构图 Char"/>
    <w:link w:val="15"/>
    <w:qFormat/>
    <w:locked/>
    <w:uiPriority w:val="0"/>
    <w:rPr>
      <w:rFonts w:eastAsia="宋体"/>
      <w:sz w:val="24"/>
      <w:shd w:val="clear" w:color="auto" w:fill="000080"/>
      <w:lang w:val="en-US" w:eastAsia="zh-CN"/>
    </w:rPr>
  </w:style>
  <w:style w:type="character" w:customStyle="1" w:styleId="81">
    <w:name w:val="Comment Text Char"/>
    <w:basedOn w:val="38"/>
    <w:link w:val="16"/>
    <w:semiHidden/>
    <w:uiPriority w:val="99"/>
    <w:rPr>
      <w:rFonts w:ascii="宋体" w:hAnsi="宋体" w:cs="宋体"/>
      <w:kern w:val="0"/>
      <w:sz w:val="22"/>
      <w:lang w:val="zh-CN"/>
    </w:rPr>
  </w:style>
  <w:style w:type="character" w:customStyle="1" w:styleId="82">
    <w:name w:val="批注文字 Char"/>
    <w:basedOn w:val="38"/>
    <w:link w:val="16"/>
    <w:qFormat/>
    <w:locked/>
    <w:uiPriority w:val="0"/>
    <w:rPr>
      <w:rFonts w:ascii="Calibri" w:hAnsi="Calibri" w:eastAsia="Times New Roman" w:cs="Times New Roman"/>
      <w:lang w:val="en-US" w:eastAsia="zh-CN" w:bidi="ar-SA"/>
    </w:rPr>
  </w:style>
  <w:style w:type="character" w:customStyle="1" w:styleId="83">
    <w:name w:val="正文文本 3 Char"/>
    <w:basedOn w:val="38"/>
    <w:link w:val="17"/>
    <w:semiHidden/>
    <w:uiPriority w:val="99"/>
    <w:rPr>
      <w:rFonts w:ascii="宋体" w:hAnsi="宋体" w:cs="宋体"/>
      <w:kern w:val="0"/>
      <w:sz w:val="16"/>
      <w:szCs w:val="16"/>
      <w:lang w:val="zh-CN"/>
    </w:rPr>
  </w:style>
  <w:style w:type="character" w:customStyle="1" w:styleId="84">
    <w:name w:val="正文文本 Char"/>
    <w:link w:val="18"/>
    <w:qFormat/>
    <w:locked/>
    <w:uiPriority w:val="0"/>
    <w:rPr>
      <w:rFonts w:ascii="宋体" w:hAnsi="宋体" w:eastAsia="宋体"/>
      <w:sz w:val="24"/>
      <w:lang w:val="zh-CN" w:eastAsia="zh-CN"/>
    </w:rPr>
  </w:style>
  <w:style w:type="character" w:customStyle="1" w:styleId="85">
    <w:name w:val="Date Char"/>
    <w:basedOn w:val="38"/>
    <w:link w:val="23"/>
    <w:semiHidden/>
    <w:uiPriority w:val="99"/>
    <w:rPr>
      <w:rFonts w:ascii="宋体" w:hAnsi="宋体" w:cs="宋体"/>
      <w:kern w:val="0"/>
      <w:sz w:val="22"/>
      <w:lang w:val="zh-CN"/>
    </w:rPr>
  </w:style>
  <w:style w:type="character" w:customStyle="1" w:styleId="86">
    <w:name w:val="日期 Char"/>
    <w:link w:val="23"/>
    <w:qFormat/>
    <w:locked/>
    <w:uiPriority w:val="0"/>
    <w:rPr>
      <w:rFonts w:ascii="宋体" w:eastAsia="宋体"/>
      <w:sz w:val="28"/>
      <w:lang w:val="en-US" w:eastAsia="zh-CN"/>
    </w:rPr>
  </w:style>
  <w:style w:type="character" w:customStyle="1" w:styleId="87">
    <w:name w:val="批注框文本 Char"/>
    <w:basedOn w:val="38"/>
    <w:qFormat/>
    <w:uiPriority w:val="0"/>
    <w:rPr>
      <w:rFonts w:cs="Times New Roman"/>
      <w:sz w:val="18"/>
      <w:szCs w:val="18"/>
    </w:rPr>
  </w:style>
  <w:style w:type="character" w:customStyle="1" w:styleId="88">
    <w:name w:val="页脚 Char"/>
    <w:basedOn w:val="38"/>
    <w:qFormat/>
    <w:uiPriority w:val="0"/>
    <w:rPr>
      <w:rFonts w:cs="Times New Roman"/>
      <w:sz w:val="18"/>
      <w:szCs w:val="18"/>
    </w:rPr>
  </w:style>
  <w:style w:type="character" w:customStyle="1" w:styleId="89">
    <w:name w:val="页眉 Char"/>
    <w:basedOn w:val="38"/>
    <w:qFormat/>
    <w:uiPriority w:val="0"/>
    <w:rPr>
      <w:rFonts w:cs="Times New Roman"/>
      <w:sz w:val="18"/>
      <w:szCs w:val="18"/>
    </w:rPr>
  </w:style>
  <w:style w:type="character" w:customStyle="1" w:styleId="90">
    <w:name w:val="Subtitle Char"/>
    <w:basedOn w:val="38"/>
    <w:link w:val="29"/>
    <w:uiPriority w:val="11"/>
    <w:rPr>
      <w:rFonts w:asciiTheme="majorHAnsi" w:hAnsiTheme="majorHAnsi" w:cstheme="majorBidi"/>
      <w:b/>
      <w:bCs/>
      <w:kern w:val="28"/>
      <w:sz w:val="32"/>
      <w:szCs w:val="32"/>
      <w:lang w:val="zh-CN"/>
    </w:rPr>
  </w:style>
  <w:style w:type="character" w:customStyle="1" w:styleId="91">
    <w:name w:val="副标题 Char"/>
    <w:link w:val="29"/>
    <w:qFormat/>
    <w:locked/>
    <w:uiPriority w:val="0"/>
    <w:rPr>
      <w:rFonts w:ascii="Cambria" w:hAnsi="Cambria" w:eastAsia="宋体"/>
      <w:b/>
      <w:kern w:val="28"/>
      <w:sz w:val="32"/>
      <w:lang w:val="en-US" w:eastAsia="zh-CN"/>
    </w:rPr>
  </w:style>
  <w:style w:type="character" w:customStyle="1" w:styleId="92">
    <w:name w:val="Title Char"/>
    <w:basedOn w:val="38"/>
    <w:link w:val="34"/>
    <w:uiPriority w:val="10"/>
    <w:rPr>
      <w:rFonts w:asciiTheme="majorHAnsi" w:hAnsiTheme="majorHAnsi" w:cstheme="majorBidi"/>
      <w:b/>
      <w:bCs/>
      <w:kern w:val="0"/>
      <w:sz w:val="32"/>
      <w:szCs w:val="32"/>
      <w:lang w:val="zh-CN"/>
    </w:rPr>
  </w:style>
  <w:style w:type="character" w:customStyle="1" w:styleId="93">
    <w:name w:val="标题 Char"/>
    <w:link w:val="34"/>
    <w:qFormat/>
    <w:locked/>
    <w:uiPriority w:val="0"/>
    <w:rPr>
      <w:rFonts w:ascii="Cambria" w:hAnsi="Cambria" w:eastAsia="宋体"/>
      <w:b/>
      <w:kern w:val="2"/>
      <w:sz w:val="32"/>
      <w:lang w:val="en-US" w:eastAsia="zh-CN"/>
    </w:rPr>
  </w:style>
  <w:style w:type="character" w:customStyle="1" w:styleId="94">
    <w:name w:val="Comment Subject Char"/>
    <w:basedOn w:val="82"/>
    <w:link w:val="35"/>
    <w:semiHidden/>
    <w:uiPriority w:val="99"/>
    <w:rPr>
      <w:rFonts w:ascii="宋体" w:hAnsi="宋体" w:cs="宋体"/>
      <w:b/>
      <w:bCs/>
      <w:kern w:val="0"/>
      <w:sz w:val="22"/>
      <w:lang w:val="zh-CN"/>
    </w:rPr>
  </w:style>
  <w:style w:type="character" w:customStyle="1" w:styleId="95">
    <w:name w:val="批注主题 Char"/>
    <w:basedOn w:val="82"/>
    <w:link w:val="35"/>
    <w:qFormat/>
    <w:locked/>
    <w:uiPriority w:val="0"/>
    <w:rPr>
      <w:rFonts w:eastAsia="宋体"/>
      <w:b/>
      <w:bCs/>
      <w:kern w:val="2"/>
      <w:sz w:val="22"/>
      <w:szCs w:val="22"/>
    </w:rPr>
  </w:style>
  <w:style w:type="character" w:customStyle="1" w:styleId="96">
    <w:name w:val="批注框文本 Char1"/>
    <w:qFormat/>
    <w:uiPriority w:val="0"/>
    <w:rPr>
      <w:kern w:val="2"/>
      <w:sz w:val="18"/>
    </w:rPr>
  </w:style>
  <w:style w:type="character" w:customStyle="1" w:styleId="97">
    <w:name w:val="textcontents"/>
    <w:qFormat/>
    <w:uiPriority w:val="0"/>
  </w:style>
  <w:style w:type="character" w:customStyle="1" w:styleId="98">
    <w:name w:val="标题4 Char Char"/>
    <w:link w:val="99"/>
    <w:qFormat/>
    <w:locked/>
    <w:uiPriority w:val="0"/>
    <w:rPr>
      <w:rFonts w:ascii="Arial" w:hAnsi="Arial"/>
      <w:b/>
      <w:sz w:val="32"/>
    </w:rPr>
  </w:style>
  <w:style w:type="paragraph" w:customStyle="1" w:styleId="99">
    <w:name w:val="标题4"/>
    <w:basedOn w:val="3"/>
    <w:next w:val="19"/>
    <w:link w:val="98"/>
    <w:qFormat/>
    <w:uiPriority w:val="0"/>
    <w:pPr>
      <w:keepNext/>
      <w:keepLines/>
      <w:autoSpaceDE/>
      <w:autoSpaceDN/>
      <w:spacing w:before="260" w:after="260" w:line="413" w:lineRule="auto"/>
      <w:ind w:left="0"/>
      <w:jc w:val="both"/>
    </w:pPr>
    <w:rPr>
      <w:rFonts w:ascii="Arial" w:hAnsi="Arial" w:cs="Times New Roman"/>
      <w:b/>
      <w:bCs/>
      <w:sz w:val="24"/>
      <w:szCs w:val="32"/>
      <w:lang w:val="en-US"/>
    </w:rPr>
  </w:style>
  <w:style w:type="character" w:customStyle="1" w:styleId="100">
    <w:name w:val="批注文字 Char Char"/>
    <w:qFormat/>
    <w:uiPriority w:val="0"/>
    <w:rPr>
      <w:rFonts w:ascii="宋体" w:hAnsi="Times New Roman" w:eastAsia="宋体"/>
      <w:sz w:val="20"/>
    </w:rPr>
  </w:style>
  <w:style w:type="character" w:customStyle="1" w:styleId="101">
    <w:name w:val="明显引用 字符1"/>
    <w:basedOn w:val="38"/>
    <w:qFormat/>
    <w:uiPriority w:val="99"/>
    <w:rPr>
      <w:rFonts w:ascii="Calibri" w:hAnsi="Calibri" w:eastAsia="宋体" w:cs="Times New Roman"/>
      <w:i/>
      <w:iCs/>
      <w:color w:val="4F81BD"/>
      <w:kern w:val="2"/>
      <w:sz w:val="22"/>
      <w:szCs w:val="22"/>
    </w:rPr>
  </w:style>
  <w:style w:type="character" w:customStyle="1" w:styleId="102">
    <w:name w:val="标题5 Char Char"/>
    <w:link w:val="103"/>
    <w:qFormat/>
    <w:locked/>
    <w:uiPriority w:val="0"/>
    <w:rPr>
      <w:rFonts w:ascii="Arial" w:hAnsi="Arial"/>
      <w:b/>
      <w:sz w:val="32"/>
    </w:rPr>
  </w:style>
  <w:style w:type="paragraph" w:customStyle="1" w:styleId="103">
    <w:name w:val="标题5"/>
    <w:basedOn w:val="4"/>
    <w:link w:val="102"/>
    <w:qFormat/>
    <w:uiPriority w:val="0"/>
    <w:pPr>
      <w:keepNext/>
      <w:keepLines/>
      <w:autoSpaceDE/>
      <w:autoSpaceDN/>
      <w:spacing w:before="260" w:after="260" w:line="413" w:lineRule="auto"/>
      <w:ind w:left="0"/>
      <w:jc w:val="both"/>
    </w:pPr>
    <w:rPr>
      <w:rFonts w:ascii="Arial" w:hAnsi="Arial" w:eastAsia="宋体" w:cs="Times New Roman"/>
      <w:sz w:val="24"/>
      <w:szCs w:val="32"/>
      <w:lang w:val="en-US"/>
    </w:rPr>
  </w:style>
  <w:style w:type="character" w:customStyle="1" w:styleId="104">
    <w:name w:val="不明显强调1"/>
    <w:qFormat/>
    <w:uiPriority w:val="0"/>
    <w:rPr>
      <w:i/>
      <w:color w:val="808080"/>
    </w:rPr>
  </w:style>
  <w:style w:type="character" w:customStyle="1" w:styleId="105">
    <w:name w:val="正文文本 Char1"/>
    <w:qFormat/>
    <w:uiPriority w:val="0"/>
    <w:rPr>
      <w:kern w:val="2"/>
      <w:sz w:val="22"/>
    </w:rPr>
  </w:style>
  <w:style w:type="character" w:customStyle="1" w:styleId="106">
    <w:name w:val="明显引用 Char"/>
    <w:link w:val="107"/>
    <w:qFormat/>
    <w:locked/>
    <w:uiPriority w:val="0"/>
    <w:rPr>
      <w:b/>
      <w:i/>
      <w:color w:val="4F81BD"/>
      <w:kern w:val="2"/>
      <w:sz w:val="22"/>
    </w:rPr>
  </w:style>
  <w:style w:type="paragraph" w:customStyle="1" w:styleId="107">
    <w:name w:val="明显引用1"/>
    <w:basedOn w:val="1"/>
    <w:next w:val="1"/>
    <w:link w:val="106"/>
    <w:uiPriority w:val="99"/>
    <w:pPr>
      <w:pBdr>
        <w:bottom w:val="single" w:color="4F81BD" w:sz="4" w:space="4"/>
      </w:pBdr>
      <w:autoSpaceDE/>
      <w:autoSpaceDN/>
      <w:spacing w:before="200" w:after="280"/>
      <w:ind w:left="936" w:right="936"/>
      <w:jc w:val="both"/>
    </w:pPr>
    <w:rPr>
      <w:rFonts w:ascii="Times New Roman" w:hAnsi="Times New Roman" w:cs="Times New Roman"/>
      <w:b/>
      <w:bCs/>
      <w:i/>
      <w:iCs/>
      <w:color w:val="4F81BD"/>
      <w:kern w:val="2"/>
      <w:sz w:val="21"/>
      <w:lang w:val="en-US"/>
    </w:rPr>
  </w:style>
  <w:style w:type="character" w:customStyle="1" w:styleId="108">
    <w:name w:val="引用 Char"/>
    <w:link w:val="109"/>
    <w:qFormat/>
    <w:locked/>
    <w:uiPriority w:val="0"/>
    <w:rPr>
      <w:i/>
      <w:color w:val="000000"/>
      <w:kern w:val="2"/>
      <w:sz w:val="22"/>
    </w:rPr>
  </w:style>
  <w:style w:type="paragraph" w:customStyle="1" w:styleId="109">
    <w:name w:val="引用1"/>
    <w:basedOn w:val="1"/>
    <w:next w:val="1"/>
    <w:link w:val="108"/>
    <w:uiPriority w:val="99"/>
    <w:pPr>
      <w:autoSpaceDE/>
      <w:autoSpaceDN/>
      <w:jc w:val="both"/>
    </w:pPr>
    <w:rPr>
      <w:rFonts w:ascii="Times New Roman" w:hAnsi="Times New Roman" w:cs="Times New Roman"/>
      <w:i/>
      <w:iCs/>
      <w:color w:val="000000"/>
      <w:kern w:val="2"/>
      <w:sz w:val="21"/>
      <w:lang w:val="en-US"/>
    </w:rPr>
  </w:style>
  <w:style w:type="character" w:customStyle="1" w:styleId="110">
    <w:name w:val="标题 字符1"/>
    <w:basedOn w:val="38"/>
    <w:qFormat/>
    <w:uiPriority w:val="10"/>
    <w:rPr>
      <w:rFonts w:ascii="Cambria" w:hAnsi="Cambria" w:eastAsia="宋体" w:cs="Times New Roman"/>
      <w:b/>
      <w:bCs/>
      <w:kern w:val="2"/>
      <w:sz w:val="32"/>
      <w:szCs w:val="32"/>
    </w:rPr>
  </w:style>
  <w:style w:type="character" w:customStyle="1" w:styleId="111">
    <w:name w:val="文档结构图 字符1"/>
    <w:basedOn w:val="38"/>
    <w:semiHidden/>
    <w:qFormat/>
    <w:uiPriority w:val="99"/>
    <w:rPr>
      <w:rFonts w:ascii="Microsoft YaHei UI" w:hAnsi="Calibri" w:eastAsia="Microsoft YaHei UI" w:cs="Times New Roman"/>
      <w:kern w:val="2"/>
      <w:sz w:val="18"/>
      <w:szCs w:val="18"/>
    </w:rPr>
  </w:style>
  <w:style w:type="character" w:customStyle="1" w:styleId="112">
    <w:name w:val="不明显参考1"/>
    <w:qFormat/>
    <w:uiPriority w:val="0"/>
    <w:rPr>
      <w:smallCaps/>
      <w:color w:val="C0504D"/>
      <w:u w:val="single"/>
    </w:rPr>
  </w:style>
  <w:style w:type="character" w:customStyle="1" w:styleId="113">
    <w:name w:val="日期 Char1"/>
    <w:qFormat/>
    <w:uiPriority w:val="0"/>
    <w:rPr>
      <w:kern w:val="2"/>
      <w:sz w:val="22"/>
    </w:rPr>
  </w:style>
  <w:style w:type="character" w:customStyle="1" w:styleId="114">
    <w:name w:val="书籍标题1"/>
    <w:qFormat/>
    <w:uiPriority w:val="0"/>
    <w:rPr>
      <w:b/>
      <w:smallCaps/>
      <w:spacing w:val="5"/>
    </w:rPr>
  </w:style>
  <w:style w:type="character" w:customStyle="1" w:styleId="115">
    <w:name w:val="文档结构图 Char1"/>
    <w:qFormat/>
    <w:uiPriority w:val="0"/>
    <w:rPr>
      <w:rFonts w:ascii="宋体"/>
      <w:kern w:val="2"/>
      <w:sz w:val="18"/>
    </w:rPr>
  </w:style>
  <w:style w:type="character" w:customStyle="1" w:styleId="116">
    <w:name w:val="明显参考1"/>
    <w:qFormat/>
    <w:uiPriority w:val="0"/>
    <w:rPr>
      <w:b/>
      <w:smallCaps/>
      <w:color w:val="C0504D"/>
      <w:spacing w:val="5"/>
      <w:u w:val="single"/>
    </w:rPr>
  </w:style>
  <w:style w:type="character" w:customStyle="1" w:styleId="117">
    <w:name w:val="明显强调1"/>
    <w:qFormat/>
    <w:uiPriority w:val="0"/>
    <w:rPr>
      <w:b/>
      <w:i/>
      <w:color w:val="4F81BD"/>
    </w:rPr>
  </w:style>
  <w:style w:type="character" w:customStyle="1" w:styleId="118">
    <w:name w:val="标题 1 Char"/>
    <w:basedOn w:val="38"/>
    <w:link w:val="119"/>
    <w:qFormat/>
    <w:locked/>
    <w:uiPriority w:val="9"/>
    <w:rPr>
      <w:rFonts w:cs="Times New Roman"/>
      <w:b/>
      <w:bCs/>
      <w:kern w:val="44"/>
      <w:sz w:val="44"/>
      <w:szCs w:val="44"/>
      <w:lang w:bidi="ar-SA"/>
    </w:rPr>
  </w:style>
  <w:style w:type="paragraph" w:customStyle="1" w:styleId="119">
    <w:name w:val="Heading 1_0"/>
    <w:basedOn w:val="6"/>
    <w:next w:val="6"/>
    <w:link w:val="118"/>
    <w:qFormat/>
    <w:uiPriority w:val="9"/>
    <w:pPr>
      <w:keepNext/>
      <w:keepLines/>
      <w:spacing w:line="360" w:lineRule="auto"/>
      <w:outlineLvl w:val="0"/>
    </w:pPr>
    <w:rPr>
      <w:rFonts w:ascii="Times New Roman" w:hAnsi="Times New Roman"/>
      <w:b/>
      <w:bCs/>
      <w:kern w:val="44"/>
      <w:sz w:val="44"/>
      <w:szCs w:val="44"/>
    </w:rPr>
  </w:style>
  <w:style w:type="character" w:customStyle="1" w:styleId="120">
    <w:name w:val="副标题 字符1"/>
    <w:basedOn w:val="38"/>
    <w:qFormat/>
    <w:uiPriority w:val="11"/>
    <w:rPr>
      <w:rFonts w:ascii="Calibri" w:hAnsi="Calibri" w:eastAsia="宋体" w:cs="Times New Roman"/>
      <w:b/>
      <w:bCs/>
      <w:kern w:val="28"/>
      <w:sz w:val="32"/>
      <w:szCs w:val="32"/>
    </w:rPr>
  </w:style>
  <w:style w:type="character" w:customStyle="1" w:styleId="121">
    <w:name w:val="日期 字符1"/>
    <w:basedOn w:val="38"/>
    <w:semiHidden/>
    <w:qFormat/>
    <w:uiPriority w:val="99"/>
    <w:rPr>
      <w:rFonts w:ascii="Calibri" w:hAnsi="Calibri" w:eastAsia="宋体" w:cs="Times New Roman"/>
      <w:kern w:val="2"/>
      <w:sz w:val="22"/>
      <w:szCs w:val="22"/>
    </w:rPr>
  </w:style>
  <w:style w:type="character" w:customStyle="1" w:styleId="122">
    <w:name w:val="引用 字符1"/>
    <w:basedOn w:val="38"/>
    <w:qFormat/>
    <w:uiPriority w:val="99"/>
    <w:rPr>
      <w:rFonts w:ascii="Calibri" w:hAnsi="Calibri" w:eastAsia="宋体" w:cs="Times New Roman"/>
      <w:i/>
      <w:iCs/>
      <w:color w:val="3F3F3F"/>
      <w:kern w:val="2"/>
      <w:sz w:val="22"/>
      <w:szCs w:val="22"/>
    </w:rPr>
  </w:style>
  <w:style w:type="character" w:customStyle="1" w:styleId="123">
    <w:name w:val="批注主题 Char1"/>
    <w:qFormat/>
    <w:uiPriority w:val="0"/>
    <w:rPr>
      <w:b/>
      <w:kern w:val="2"/>
      <w:sz w:val="22"/>
    </w:rPr>
  </w:style>
  <w:style w:type="character" w:customStyle="1" w:styleId="124">
    <w:name w:val="正文文本 字符1"/>
    <w:basedOn w:val="38"/>
    <w:semiHidden/>
    <w:qFormat/>
    <w:uiPriority w:val="99"/>
    <w:rPr>
      <w:rFonts w:ascii="Calibri" w:hAnsi="Calibri" w:eastAsia="宋体" w:cs="Times New Roman"/>
      <w:kern w:val="2"/>
      <w:sz w:val="22"/>
      <w:szCs w:val="22"/>
    </w:rPr>
  </w:style>
  <w:style w:type="paragraph" w:customStyle="1" w:styleId="125">
    <w:name w:val="修订3"/>
    <w:semiHidden/>
    <w:qFormat/>
    <w:uiPriority w:val="99"/>
    <w:rPr>
      <w:rFonts w:ascii="Calibri" w:hAnsi="Calibri" w:eastAsia="宋体" w:cs="Times New Roman"/>
      <w:kern w:val="2"/>
      <w:sz w:val="21"/>
      <w:szCs w:val="22"/>
      <w:lang w:val="en-US" w:eastAsia="zh-CN" w:bidi="ar-SA"/>
    </w:rPr>
  </w:style>
  <w:style w:type="paragraph" w:customStyle="1" w:styleId="126">
    <w:name w:val="修订1"/>
    <w:semiHidden/>
    <w:qFormat/>
    <w:uiPriority w:val="99"/>
    <w:rPr>
      <w:rFonts w:ascii="Calibri" w:hAnsi="Calibri" w:eastAsia="宋体" w:cs="Times New Roman"/>
      <w:kern w:val="2"/>
      <w:sz w:val="21"/>
      <w:szCs w:val="22"/>
      <w:lang w:val="en-US" w:eastAsia="zh-CN" w:bidi="ar-SA"/>
    </w:rPr>
  </w:style>
  <w:style w:type="paragraph" w:customStyle="1" w:styleId="127">
    <w:name w:val="修订4"/>
    <w:qFormat/>
    <w:uiPriority w:val="99"/>
    <w:rPr>
      <w:rFonts w:ascii="Calibri" w:hAnsi="Calibri" w:eastAsia="宋体" w:cs="Times New Roman"/>
      <w:kern w:val="2"/>
      <w:sz w:val="21"/>
      <w:szCs w:val="22"/>
      <w:lang w:val="en-US" w:eastAsia="zh-CN" w:bidi="ar-SA"/>
    </w:rPr>
  </w:style>
  <w:style w:type="paragraph" w:customStyle="1" w:styleId="128">
    <w:name w:val="修订2"/>
    <w:qFormat/>
    <w:uiPriority w:val="0"/>
    <w:rPr>
      <w:rFonts w:ascii="Calibri" w:hAnsi="Calibri" w:eastAsia="宋体" w:cs="Times New Roman"/>
      <w:kern w:val="2"/>
      <w:sz w:val="21"/>
      <w:szCs w:val="22"/>
      <w:lang w:val="en-US" w:eastAsia="zh-CN" w:bidi="ar-SA"/>
    </w:rPr>
  </w:style>
  <w:style w:type="paragraph" w:customStyle="1" w:styleId="129">
    <w:name w:val="列出段落1"/>
    <w:basedOn w:val="1"/>
    <w:uiPriority w:val="99"/>
    <w:pPr>
      <w:autoSpaceDE/>
      <w:autoSpaceDN/>
      <w:ind w:firstLine="420" w:firstLineChars="200"/>
      <w:jc w:val="both"/>
    </w:pPr>
    <w:rPr>
      <w:rFonts w:ascii="Calibri" w:hAnsi="Calibri" w:cs="Times New Roman"/>
      <w:kern w:val="2"/>
      <w:sz w:val="21"/>
      <w:lang w:val="en-US"/>
    </w:rPr>
  </w:style>
  <w:style w:type="paragraph" w:customStyle="1" w:styleId="130">
    <w:name w:val="flNote"/>
    <w:basedOn w:val="1"/>
    <w:qFormat/>
    <w:uiPriority w:val="0"/>
    <w:pPr>
      <w:autoSpaceDE/>
      <w:autoSpaceDN/>
      <w:adjustRightInd w:val="0"/>
      <w:spacing w:before="320" w:after="160" w:line="360" w:lineRule="atLeast"/>
      <w:jc w:val="center"/>
      <w:textAlignment w:val="baseline"/>
    </w:pPr>
    <w:rPr>
      <w:rFonts w:ascii="Arial" w:hAnsi="Times New Roman" w:eastAsia="黑体" w:cs="Times New Roman"/>
      <w:sz w:val="30"/>
      <w:szCs w:val="20"/>
      <w:lang w:val="en-US"/>
    </w:rPr>
  </w:style>
  <w:style w:type="paragraph" w:customStyle="1" w:styleId="131">
    <w:name w:val="1.1.1.1A"/>
    <w:basedOn w:val="1"/>
    <w:qFormat/>
    <w:uiPriority w:val="0"/>
    <w:pPr>
      <w:tabs>
        <w:tab w:val="left" w:pos="1134"/>
        <w:tab w:val="left" w:pos="1843"/>
      </w:tabs>
      <w:autoSpaceDE/>
      <w:autoSpaceDN/>
      <w:adjustRightInd w:val="0"/>
      <w:spacing w:before="60" w:after="60" w:line="400" w:lineRule="atLeast"/>
      <w:ind w:left="1560" w:right="200" w:rightChars="200" w:hanging="426"/>
      <w:jc w:val="both"/>
      <w:textAlignment w:val="baseline"/>
    </w:pPr>
    <w:rPr>
      <w:rFonts w:ascii="Arial" w:hAnsi="Arial" w:cs="Times New Roman"/>
      <w:sz w:val="24"/>
      <w:szCs w:val="20"/>
      <w:lang w:val="en-US"/>
    </w:rPr>
  </w:style>
  <w:style w:type="paragraph" w:customStyle="1" w:styleId="132">
    <w:name w:val="TOC 标题1"/>
    <w:basedOn w:val="119"/>
    <w:next w:val="1"/>
    <w:qFormat/>
    <w:uiPriority w:val="39"/>
    <w:pPr>
      <w:widowControl/>
      <w:spacing w:before="480" w:line="276" w:lineRule="auto"/>
      <w:jc w:val="left"/>
      <w:outlineLvl w:val="9"/>
    </w:pPr>
    <w:rPr>
      <w:rFonts w:ascii="Cambria" w:hAnsi="Cambria"/>
      <w:color w:val="366091"/>
      <w:kern w:val="0"/>
      <w:sz w:val="28"/>
      <w:szCs w:val="28"/>
    </w:rPr>
  </w:style>
  <w:style w:type="paragraph" w:customStyle="1" w:styleId="133">
    <w:name w:val="样式 标题 2 + Times New Roman 四号 非加粗 段前: 5 磅 段后: 0 磅 行距: 固定值 20..."/>
    <w:basedOn w:val="3"/>
    <w:qFormat/>
    <w:uiPriority w:val="0"/>
    <w:pPr>
      <w:keepNext/>
      <w:keepLines/>
      <w:autoSpaceDE/>
      <w:autoSpaceDN/>
      <w:spacing w:before="100" w:line="400" w:lineRule="exact"/>
      <w:ind w:left="0"/>
      <w:jc w:val="both"/>
    </w:pPr>
    <w:rPr>
      <w:rFonts w:ascii="Times New Roman" w:hAnsi="Times New Roman" w:eastAsia="黑体"/>
      <w:sz w:val="28"/>
      <w:szCs w:val="20"/>
      <w:lang w:val="en-US"/>
    </w:rPr>
  </w:style>
  <w:style w:type="paragraph" w:customStyle="1" w:styleId="134">
    <w:name w:val="WPSOffice手动目录 1"/>
    <w:qFormat/>
    <w:uiPriority w:val="0"/>
    <w:rPr>
      <w:rFonts w:ascii="Calibri" w:hAnsi="Calibri" w:eastAsia="宋体" w:cs="Arial"/>
      <w:kern w:val="0"/>
      <w:sz w:val="20"/>
      <w:szCs w:val="20"/>
      <w:lang w:val="en-US" w:eastAsia="zh-CN" w:bidi="ar-SA"/>
    </w:rPr>
  </w:style>
  <w:style w:type="paragraph" w:customStyle="1" w:styleId="135">
    <w:name w:val="空半行"/>
    <w:basedOn w:val="1"/>
    <w:qFormat/>
    <w:uiPriority w:val="0"/>
    <w:pPr>
      <w:autoSpaceDE/>
      <w:autoSpaceDN/>
      <w:adjustRightInd w:val="0"/>
      <w:spacing w:line="120" w:lineRule="exact"/>
      <w:jc w:val="both"/>
      <w:textAlignment w:val="baseline"/>
    </w:pPr>
    <w:rPr>
      <w:rFonts w:ascii="Times New Roman" w:hAnsi="Times New Roman" w:eastAsia="仿宋_GB2312" w:cs="Times New Roman"/>
      <w:color w:val="FFFFFF"/>
      <w:sz w:val="30"/>
      <w:szCs w:val="20"/>
      <w:lang w:val="en-US"/>
    </w:rPr>
  </w:style>
  <w:style w:type="paragraph" w:customStyle="1" w:styleId="136">
    <w:name w:val="无间隔1"/>
    <w:uiPriority w:val="99"/>
    <w:pPr>
      <w:widowControl w:val="0"/>
      <w:jc w:val="both"/>
    </w:pPr>
    <w:rPr>
      <w:rFonts w:ascii="Calibri" w:hAnsi="Calibri" w:eastAsia="宋体" w:cs="Times New Roman"/>
      <w:kern w:val="2"/>
      <w:sz w:val="21"/>
      <w:szCs w:val="22"/>
      <w:lang w:val="en-US" w:eastAsia="zh-CN" w:bidi="ar-SA"/>
    </w:rPr>
  </w:style>
  <w:style w:type="paragraph" w:customStyle="1" w:styleId="137">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138">
    <w:name w:val="附件标题1"/>
    <w:next w:val="1"/>
    <w:qFormat/>
    <w:uiPriority w:val="0"/>
    <w:pPr>
      <w:tabs>
        <w:tab w:val="left" w:pos="567"/>
      </w:tabs>
      <w:adjustRightInd w:val="0"/>
      <w:snapToGrid w:val="0"/>
      <w:spacing w:afterLines="50" w:line="312" w:lineRule="auto"/>
      <w:ind w:left="425" w:hanging="425"/>
    </w:pPr>
    <w:rPr>
      <w:rFonts w:ascii="黑体" w:hAnsi="黑体" w:eastAsia="黑体" w:cs="Times New Roman"/>
      <w:b/>
      <w:kern w:val="2"/>
      <w:sz w:val="24"/>
      <w:szCs w:val="24"/>
      <w:lang w:val="en-US" w:eastAsia="zh-CN" w:bidi="ar-SA"/>
    </w:rPr>
  </w:style>
  <w:style w:type="paragraph" w:customStyle="1" w:styleId="139">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40">
    <w:name w:val="附件标题"/>
    <w:basedOn w:val="3"/>
    <w:next w:val="1"/>
    <w:qFormat/>
    <w:uiPriority w:val="0"/>
    <w:pPr>
      <w:keepNext/>
      <w:keepLines/>
      <w:tabs>
        <w:tab w:val="left" w:pos="1134"/>
      </w:tabs>
      <w:autoSpaceDE/>
      <w:autoSpaceDN/>
      <w:spacing w:before="260" w:after="260" w:line="360" w:lineRule="auto"/>
      <w:jc w:val="center"/>
    </w:pPr>
    <w:rPr>
      <w:rFonts w:ascii="黑体" w:hAnsi="黑体" w:cs="Times New Roman"/>
      <w:b/>
      <w:bCs/>
      <w:kern w:val="2"/>
      <w:lang w:val="en-US"/>
    </w:rPr>
  </w:style>
  <w:style w:type="paragraph" w:styleId="141">
    <w:name w:val="Intense Quote"/>
    <w:basedOn w:val="1"/>
    <w:next w:val="1"/>
    <w:link w:val="142"/>
    <w:qFormat/>
    <w:uiPriority w:val="0"/>
    <w:pPr>
      <w:pBdr>
        <w:bottom w:val="single" w:color="4F81BD" w:sz="4" w:space="4"/>
      </w:pBdr>
      <w:autoSpaceDE/>
      <w:autoSpaceDN/>
      <w:spacing w:before="200" w:after="280"/>
      <w:ind w:left="936" w:right="936"/>
      <w:jc w:val="both"/>
    </w:pPr>
    <w:rPr>
      <w:rFonts w:ascii="Times New Roman" w:hAnsi="Times New Roman" w:cs="Times New Roman"/>
      <w:b/>
      <w:bCs/>
      <w:i/>
      <w:iCs/>
      <w:color w:val="4F81BD"/>
      <w:kern w:val="2"/>
      <w:sz w:val="21"/>
      <w:lang w:val="en-US"/>
    </w:rPr>
  </w:style>
  <w:style w:type="character" w:customStyle="1" w:styleId="142">
    <w:name w:val="明显引用 Char1"/>
    <w:basedOn w:val="38"/>
    <w:link w:val="141"/>
    <w:uiPriority w:val="30"/>
    <w:rPr>
      <w:rFonts w:ascii="宋体" w:hAnsi="宋体" w:cs="宋体"/>
      <w:b/>
      <w:bCs/>
      <w:i/>
      <w:iCs/>
      <w:color w:val="4F81BD" w:themeColor="accent1"/>
      <w:kern w:val="0"/>
      <w:sz w:val="22"/>
      <w:lang w:val="zh-CN"/>
    </w:rPr>
  </w:style>
  <w:style w:type="paragraph" w:styleId="143">
    <w:name w:val="Quote"/>
    <w:basedOn w:val="1"/>
    <w:next w:val="1"/>
    <w:link w:val="144"/>
    <w:qFormat/>
    <w:uiPriority w:val="0"/>
    <w:pPr>
      <w:autoSpaceDE/>
      <w:autoSpaceDN/>
      <w:jc w:val="both"/>
    </w:pPr>
    <w:rPr>
      <w:rFonts w:ascii="Times New Roman" w:hAnsi="Times New Roman" w:cs="Times New Roman"/>
      <w:i/>
      <w:iCs/>
      <w:color w:val="000000"/>
      <w:kern w:val="2"/>
      <w:sz w:val="21"/>
      <w:lang w:val="en-US"/>
    </w:rPr>
  </w:style>
  <w:style w:type="character" w:customStyle="1" w:styleId="144">
    <w:name w:val="引用 Char1"/>
    <w:basedOn w:val="38"/>
    <w:link w:val="143"/>
    <w:uiPriority w:val="29"/>
    <w:rPr>
      <w:rFonts w:ascii="宋体" w:hAnsi="宋体" w:cs="宋体"/>
      <w:i/>
      <w:iCs/>
      <w:color w:val="000000" w:themeColor="text1"/>
      <w:kern w:val="0"/>
      <w:sz w:val="22"/>
      <w:lang w:val="zh-CN"/>
    </w:rPr>
  </w:style>
  <w:style w:type="paragraph" w:styleId="14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6">
    <w:name w:val="Heading 3"/>
    <w:basedOn w:val="1"/>
    <w:qFormat/>
    <w:uiPriority w:val="1"/>
    <w:pPr>
      <w:spacing w:before="44"/>
      <w:outlineLvl w:val="3"/>
    </w:pPr>
    <w:rPr>
      <w:sz w:val="28"/>
      <w:szCs w:val="28"/>
    </w:rPr>
  </w:style>
  <w:style w:type="character" w:customStyle="1" w:styleId="147">
    <w:name w:val="font61"/>
    <w:basedOn w:val="38"/>
    <w:qFormat/>
    <w:uiPriority w:val="0"/>
    <w:rPr>
      <w:rFonts w:hint="default" w:ascii="Times New Roman" w:hAnsi="Times New Roman" w:cs="Times New Roman"/>
      <w:color w:val="000000"/>
      <w:sz w:val="20"/>
      <w:szCs w:val="20"/>
      <w:u w:val="none"/>
    </w:rPr>
  </w:style>
  <w:style w:type="character" w:customStyle="1" w:styleId="148">
    <w:name w:val="font01"/>
    <w:basedOn w:val="38"/>
    <w:qFormat/>
    <w:uiPriority w:val="0"/>
    <w:rPr>
      <w:rFonts w:hint="eastAsia" w:ascii="宋体" w:hAnsi="宋体" w:eastAsia="宋体" w:cs="宋体"/>
      <w:color w:val="000000"/>
      <w:sz w:val="24"/>
      <w:szCs w:val="24"/>
      <w:u w:val="none"/>
    </w:rPr>
  </w:style>
  <w:style w:type="character" w:customStyle="1" w:styleId="149">
    <w:name w:val="font31"/>
    <w:basedOn w:val="3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png"/><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26.xml"/><Relationship Id="rId30" Type="http://schemas.openxmlformats.org/officeDocument/2006/relationships/header" Target="header3.xml"/><Relationship Id="rId3" Type="http://schemas.openxmlformats.org/officeDocument/2006/relationships/header" Target="header1.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4"/>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1026"/>
    <customShpInfo spid="_x0000_s1032"/>
    <customShpInfo spid="_x0000_s1033"/>
    <customShpInfo spid="_x0000_s1034"/>
    <customShpInfo spid="_x0000_s1035"/>
    <customShpInfo spid="_x0000_s1040"/>
    <customShpInfo spid="_x0000_s1039"/>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358</Pages>
  <Words>199395</Words>
  <Characters>208022</Characters>
  <Lines>294</Lines>
  <Paragraphs>468</Paragraphs>
  <TotalTime>1</TotalTime>
  <ScaleCrop>false</ScaleCrop>
  <LinksUpToDate>false</LinksUpToDate>
  <CharactersWithSpaces>223542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2022-03-08T09:53:00Z</dcterms:created>
  <dc:creator>蔡迪</dc:creator>
  <cp:lastModifiedBy>Lenovo</cp:lastModifiedBy>
  <cp:lastPrinted>2022-03-16T03:17:00Z</cp:lastPrinted>
  <dcterms:modified xsi:type="dcterms:W3CDTF">2022-07-29T08:38:14Z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y fmtid="{D5CDD505-2E9C-101B-9397-08002B2CF9AE}" pid="3" name="KSOProductBuildVer">
    <vt:lpwstr>2052-11.1.0.11875</vt:lpwstr>
  </property>
  <property fmtid="{D5CDD505-2E9C-101B-9397-08002B2CF9AE}" pid="4" name="ICV">
    <vt:lpwstr>110399A2D8B747FBB22A1DED11CF7C89</vt:lpwstr>
  </property>
</Properties>
</file>